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371D" w14:textId="77777777" w:rsidR="005C140F" w:rsidRDefault="005C140F" w:rsidP="005C140F">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2C724D3" wp14:editId="593FED89">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80A1AC9" w:rsidR="00C02410" w:rsidRPr="00D117D6" w:rsidRDefault="005C140F" w:rsidP="005C140F">
      <w:pPr>
        <w:pStyle w:val="ProductNumber"/>
        <w:rPr>
          <w:lang w:val="en-GB"/>
        </w:rPr>
      </w:pPr>
      <w:r>
        <w:t>9B21M065</w:t>
      </w:r>
    </w:p>
    <w:p w14:paraId="4E057522" w14:textId="7A113CB1" w:rsidR="00D75295" w:rsidRPr="00D117D6" w:rsidRDefault="00D75295" w:rsidP="00D75295">
      <w:pPr>
        <w:jc w:val="right"/>
        <w:rPr>
          <w:rFonts w:ascii="Arial" w:hAnsi="Arial"/>
          <w:b/>
          <w:lang w:val="en-GB"/>
        </w:rPr>
      </w:pPr>
    </w:p>
    <w:p w14:paraId="02524312" w14:textId="77777777" w:rsidR="001901C0" w:rsidRPr="00D117D6" w:rsidRDefault="001901C0" w:rsidP="00D75295">
      <w:pPr>
        <w:jc w:val="right"/>
        <w:rPr>
          <w:rFonts w:ascii="Arial" w:hAnsi="Arial"/>
          <w:b/>
          <w:lang w:val="en-GB"/>
        </w:rPr>
      </w:pPr>
    </w:p>
    <w:p w14:paraId="2F03D26A" w14:textId="767D9686" w:rsidR="00013360" w:rsidRPr="00D117D6" w:rsidRDefault="00F7486B" w:rsidP="00013360">
      <w:pPr>
        <w:pStyle w:val="CaseTitle"/>
        <w:spacing w:after="0" w:line="240" w:lineRule="auto"/>
        <w:rPr>
          <w:sz w:val="20"/>
          <w:szCs w:val="20"/>
          <w:lang w:val="en-GB"/>
        </w:rPr>
      </w:pPr>
      <w:r w:rsidRPr="00D117D6">
        <w:rPr>
          <w:lang w:val="en-GB"/>
        </w:rPr>
        <w:t xml:space="preserve">SATS </w:t>
      </w:r>
      <w:r w:rsidR="0004183B">
        <w:rPr>
          <w:lang w:val="en-GB"/>
        </w:rPr>
        <w:t>Ltd.</w:t>
      </w:r>
      <w:r w:rsidRPr="00D117D6">
        <w:rPr>
          <w:lang w:val="en-GB"/>
        </w:rPr>
        <w:t>: GEARING FOR GROWTH</w:t>
      </w:r>
    </w:p>
    <w:p w14:paraId="40ABF6FD" w14:textId="77777777" w:rsidR="00CA3976" w:rsidRPr="00D117D6" w:rsidRDefault="00CA3976" w:rsidP="00013360">
      <w:pPr>
        <w:pStyle w:val="CaseTitle"/>
        <w:spacing w:after="0" w:line="240" w:lineRule="auto"/>
        <w:rPr>
          <w:sz w:val="20"/>
          <w:szCs w:val="20"/>
          <w:lang w:val="en-GB"/>
        </w:rPr>
      </w:pPr>
    </w:p>
    <w:p w14:paraId="202F1085" w14:textId="77777777" w:rsidR="00013360" w:rsidRPr="00D117D6" w:rsidRDefault="00013360" w:rsidP="00013360">
      <w:pPr>
        <w:pStyle w:val="CaseTitle"/>
        <w:spacing w:after="0" w:line="240" w:lineRule="auto"/>
        <w:rPr>
          <w:sz w:val="20"/>
          <w:szCs w:val="20"/>
          <w:lang w:val="en-GB"/>
        </w:rPr>
      </w:pPr>
    </w:p>
    <w:p w14:paraId="58B0C73F" w14:textId="2EB6AA7B" w:rsidR="00086B26" w:rsidRPr="00D117D6" w:rsidRDefault="00F7486B" w:rsidP="00086B26">
      <w:pPr>
        <w:pStyle w:val="StyleCopyrightStatementAfter0ptBottomSinglesolidline1"/>
        <w:rPr>
          <w:lang w:val="en-GB"/>
        </w:rPr>
      </w:pPr>
      <w:bookmarkStart w:id="0" w:name="_Hlk81332538"/>
      <w:bookmarkStart w:id="1" w:name="_GoBack"/>
      <w:r w:rsidRPr="00D117D6">
        <w:rPr>
          <w:lang w:val="en-GB"/>
        </w:rPr>
        <w:t>Sarah Cheah</w:t>
      </w:r>
      <w:r w:rsidR="006B2C22">
        <w:rPr>
          <w:lang w:val="en-GB"/>
        </w:rPr>
        <w:t xml:space="preserve">, </w:t>
      </w:r>
      <w:r w:rsidRPr="00D117D6">
        <w:rPr>
          <w:lang w:val="en-GB"/>
        </w:rPr>
        <w:t>Kritesh Patel</w:t>
      </w:r>
      <w:r w:rsidR="00BC5AF0">
        <w:rPr>
          <w:lang w:val="en-GB"/>
        </w:rPr>
        <w:t>,</w:t>
      </w:r>
      <w:r w:rsidR="00ED7922" w:rsidRPr="00D117D6">
        <w:rPr>
          <w:rFonts w:cs="Arial"/>
          <w:szCs w:val="16"/>
          <w:lang w:val="en-GB"/>
        </w:rPr>
        <w:t xml:space="preserve"> </w:t>
      </w:r>
      <w:r w:rsidR="006B2C22">
        <w:rPr>
          <w:rFonts w:cs="Arial"/>
          <w:szCs w:val="16"/>
          <w:lang w:val="en-GB"/>
        </w:rPr>
        <w:t xml:space="preserve">and Matthew Lim </w:t>
      </w:r>
      <w:bookmarkEnd w:id="0"/>
      <w:bookmarkEnd w:id="1"/>
      <w:r w:rsidR="00086B26" w:rsidRPr="00D117D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117D6" w:rsidRDefault="00086B26" w:rsidP="00086B26">
      <w:pPr>
        <w:pStyle w:val="StyleCopyrightStatementAfter0ptBottomSinglesolidline1"/>
        <w:rPr>
          <w:lang w:val="en-GB"/>
        </w:rPr>
      </w:pPr>
    </w:p>
    <w:p w14:paraId="6F4E5439" w14:textId="77777777" w:rsidR="005C140F" w:rsidRPr="00A323B0" w:rsidRDefault="005C140F" w:rsidP="005C140F">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B01F9C8" w14:textId="77777777" w:rsidR="005C140F" w:rsidRPr="00A323B0" w:rsidRDefault="005C140F" w:rsidP="005C140F">
      <w:pPr>
        <w:pStyle w:val="StyleStyleCopyrightStatementAfter0ptBottomSinglesolid"/>
        <w:rPr>
          <w:rFonts w:cs="Arial"/>
          <w:szCs w:val="16"/>
        </w:rPr>
      </w:pPr>
    </w:p>
    <w:p w14:paraId="3922E14F" w14:textId="09DA6131" w:rsidR="00751E0B" w:rsidRPr="00D117D6" w:rsidRDefault="005C140F" w:rsidP="005C140F">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2021-08-31</w:t>
      </w:r>
    </w:p>
    <w:p w14:paraId="0A2A54E4" w14:textId="77777777" w:rsidR="00751E0B" w:rsidRPr="008213EA" w:rsidRDefault="00751E0B" w:rsidP="00751E0B">
      <w:pPr>
        <w:pStyle w:val="StyleCopyrightStatementAfter0ptBottomSinglesolidline1"/>
        <w:rPr>
          <w:rFonts w:ascii="Times New Roman" w:hAnsi="Times New Roman"/>
          <w:i w:val="0"/>
          <w:sz w:val="22"/>
          <w:lang w:val="en-GB"/>
        </w:rPr>
      </w:pPr>
    </w:p>
    <w:p w14:paraId="2C183161" w14:textId="41742F08" w:rsidR="00B87DC0" w:rsidRPr="008213EA" w:rsidRDefault="00B87DC0" w:rsidP="002B40FF">
      <w:pPr>
        <w:pStyle w:val="Casehead1"/>
        <w:rPr>
          <w:rFonts w:ascii="Times New Roman" w:hAnsi="Times New Roman" w:cs="Times New Roman"/>
          <w:b w:val="0"/>
          <w:sz w:val="22"/>
          <w:lang w:val="en-GB"/>
        </w:rPr>
      </w:pPr>
    </w:p>
    <w:p w14:paraId="76BC0E65" w14:textId="3A7B0ACA" w:rsidR="008E46A6" w:rsidRPr="00D117D6" w:rsidRDefault="00F7486B" w:rsidP="00F7486B">
      <w:pPr>
        <w:pStyle w:val="BodyTextMain"/>
        <w:rPr>
          <w:lang w:val="en-GB"/>
        </w:rPr>
      </w:pPr>
      <w:r w:rsidRPr="00D117D6">
        <w:rPr>
          <w:lang w:val="en-GB"/>
        </w:rPr>
        <w:t>On August</w:t>
      </w:r>
      <w:r w:rsidR="00B976DE">
        <w:rPr>
          <w:lang w:val="en-GB"/>
        </w:rPr>
        <w:t xml:space="preserve"> 5,</w:t>
      </w:r>
      <w:r w:rsidRPr="00D117D6">
        <w:rPr>
          <w:lang w:val="en-GB"/>
        </w:rPr>
        <w:t xml:space="preserve"> 2019, Khoo Seng Thiam, the </w:t>
      </w:r>
      <w:r w:rsidR="006B3B06">
        <w:rPr>
          <w:lang w:val="en-GB"/>
        </w:rPr>
        <w:t>senior vice-president</w:t>
      </w:r>
      <w:r w:rsidRPr="00D117D6">
        <w:rPr>
          <w:lang w:val="en-GB"/>
        </w:rPr>
        <w:t xml:space="preserve"> of SATS </w:t>
      </w:r>
      <w:r w:rsidR="006B3B06">
        <w:rPr>
          <w:lang w:val="en-GB"/>
        </w:rPr>
        <w:t xml:space="preserve">Ltd. </w:t>
      </w:r>
      <w:r w:rsidRPr="00D117D6">
        <w:rPr>
          <w:lang w:val="en-GB"/>
        </w:rPr>
        <w:t xml:space="preserve">(SATS), the primary ground handling and </w:t>
      </w:r>
      <w:r w:rsidR="006C4DBE">
        <w:rPr>
          <w:lang w:val="en-GB"/>
        </w:rPr>
        <w:t>inflight</w:t>
      </w:r>
      <w:r w:rsidRPr="00D117D6">
        <w:rPr>
          <w:lang w:val="en-GB"/>
        </w:rPr>
        <w:t xml:space="preserve"> catering service provider at </w:t>
      </w:r>
      <w:r w:rsidR="006B3B06">
        <w:rPr>
          <w:lang w:val="en-GB"/>
        </w:rPr>
        <w:t>Singapore’s</w:t>
      </w:r>
      <w:r w:rsidRPr="00D117D6">
        <w:rPr>
          <w:lang w:val="en-GB"/>
        </w:rPr>
        <w:t xml:space="preserve"> Changi Airport, was reviewing the latest air cargo market report produced by the trade association of the world’s airlines, </w:t>
      </w:r>
      <w:r w:rsidR="006B3B06">
        <w:rPr>
          <w:lang w:val="en-GB"/>
        </w:rPr>
        <w:t xml:space="preserve">the </w:t>
      </w:r>
      <w:r w:rsidRPr="00D117D6">
        <w:rPr>
          <w:lang w:val="en-GB"/>
        </w:rPr>
        <w:t>International Air Transport Association (IATA</w:t>
      </w:r>
      <w:bookmarkStart w:id="2" w:name="_Hlk9436386"/>
      <w:r w:rsidRPr="00D117D6">
        <w:rPr>
          <w:lang w:val="en-GB"/>
        </w:rPr>
        <w:t>).</w:t>
      </w:r>
      <w:bookmarkEnd w:id="2"/>
      <w:r w:rsidRPr="00D117D6">
        <w:rPr>
          <w:lang w:val="en-GB"/>
        </w:rPr>
        <w:t xml:space="preserve"> According to the report, global </w:t>
      </w:r>
      <w:r w:rsidR="006B3B06">
        <w:rPr>
          <w:lang w:val="en-GB"/>
        </w:rPr>
        <w:t>air cargo</w:t>
      </w:r>
      <w:r w:rsidRPr="00D117D6">
        <w:rPr>
          <w:lang w:val="en-GB"/>
        </w:rPr>
        <w:t xml:space="preserve"> volume would increase at a moderate rate after registering an unusually strong growth in 2017. Many indicators pointed </w:t>
      </w:r>
      <w:r w:rsidR="006B3B06">
        <w:rPr>
          <w:lang w:val="en-GB"/>
        </w:rPr>
        <w:t>toward</w:t>
      </w:r>
      <w:r w:rsidR="006B3B06" w:rsidRPr="00D117D6">
        <w:rPr>
          <w:lang w:val="en-GB"/>
        </w:rPr>
        <w:t xml:space="preserve"> </w:t>
      </w:r>
      <w:r w:rsidRPr="00D117D6">
        <w:rPr>
          <w:lang w:val="en-GB"/>
        </w:rPr>
        <w:t xml:space="preserve">a sustained annual growth </w:t>
      </w:r>
      <w:r w:rsidR="006B3B06">
        <w:rPr>
          <w:lang w:val="en-GB"/>
        </w:rPr>
        <w:t>of</w:t>
      </w:r>
      <w:r w:rsidRPr="00D117D6">
        <w:rPr>
          <w:lang w:val="en-GB"/>
        </w:rPr>
        <w:t xml:space="preserve"> 4.4 per cent for the next five years.</w:t>
      </w:r>
      <w:r w:rsidR="008E46A6" w:rsidRPr="00D117D6">
        <w:rPr>
          <w:rStyle w:val="EndnoteReference"/>
          <w:lang w:val="en-GB"/>
        </w:rPr>
        <w:endnoteReference w:id="1"/>
      </w:r>
      <w:r w:rsidR="008E46A6" w:rsidRPr="00D117D6">
        <w:rPr>
          <w:lang w:val="en-GB"/>
        </w:rPr>
        <w:t xml:space="preserve"> The surge in e-commerce, particularly in time-sensitive and </w:t>
      </w:r>
      <w:r w:rsidR="008E46A6">
        <w:rPr>
          <w:lang w:val="en-GB"/>
        </w:rPr>
        <w:t>high-value</w:t>
      </w:r>
      <w:r w:rsidR="008E46A6" w:rsidRPr="00D117D6">
        <w:rPr>
          <w:lang w:val="en-GB"/>
        </w:rPr>
        <w:t xml:space="preserve"> goods, had fuelled more air cargo movements across borders. While there were potential risks to the market from trade tensions, volatile fuel prices</w:t>
      </w:r>
      <w:r w:rsidR="008E46A6">
        <w:rPr>
          <w:lang w:val="en-GB"/>
        </w:rPr>
        <w:t>,</w:t>
      </w:r>
      <w:r w:rsidR="008E46A6" w:rsidRPr="00D117D6">
        <w:rPr>
          <w:lang w:val="en-GB"/>
        </w:rPr>
        <w:t xml:space="preserve"> and external competition, the general outlook was favourable for air cargo business.</w:t>
      </w:r>
    </w:p>
    <w:p w14:paraId="728ECCFC" w14:textId="77777777" w:rsidR="008E46A6" w:rsidRPr="008213EA" w:rsidRDefault="008E46A6" w:rsidP="00F7486B">
      <w:pPr>
        <w:pStyle w:val="BodyTextMain"/>
        <w:rPr>
          <w:szCs w:val="20"/>
          <w:lang w:val="en-GB"/>
        </w:rPr>
      </w:pPr>
    </w:p>
    <w:p w14:paraId="27811CF3" w14:textId="1D348C3A" w:rsidR="008E46A6" w:rsidRPr="00913BC7" w:rsidRDefault="008E46A6" w:rsidP="00F7486B">
      <w:pPr>
        <w:pStyle w:val="BodyTextMain"/>
        <w:rPr>
          <w:spacing w:val="-2"/>
          <w:lang w:val="en-GB"/>
        </w:rPr>
      </w:pPr>
      <w:r w:rsidRPr="00913BC7">
        <w:rPr>
          <w:spacing w:val="-2"/>
          <w:lang w:val="en-GB"/>
        </w:rPr>
        <w:t>With strategic foresight, SATS had built its capabilities to capitalize on these future trends. In 2010, it launched the world’s first temperature-sensitive cargo handling facility.</w:t>
      </w:r>
      <w:r w:rsidRPr="00913BC7">
        <w:rPr>
          <w:rStyle w:val="EndnoteReference"/>
          <w:spacing w:val="-2"/>
          <w:lang w:val="en-GB"/>
        </w:rPr>
        <w:endnoteReference w:id="2"/>
      </w:r>
      <w:r w:rsidRPr="00913BC7">
        <w:rPr>
          <w:spacing w:val="-2"/>
          <w:lang w:val="en-GB"/>
        </w:rPr>
        <w:t xml:space="preserve"> This facility became the first in the world to receive certifications by IATA’s Center of Excellence for Independent Validators (CEIV) in Pharmaceutical Logistics and CEIV for Perishable Logistics for its excellence in handling pharmaceutical and perishable cargoes, respectively.</w:t>
      </w:r>
      <w:r w:rsidRPr="00913BC7">
        <w:rPr>
          <w:rStyle w:val="EndnoteReference"/>
          <w:spacing w:val="-2"/>
          <w:lang w:val="en-GB"/>
        </w:rPr>
        <w:endnoteReference w:id="3"/>
      </w:r>
      <w:r w:rsidRPr="00913BC7">
        <w:rPr>
          <w:spacing w:val="-2"/>
          <w:lang w:val="en-GB"/>
        </w:rPr>
        <w:t xml:space="preserve"> Further, the SATS eCommerce AirHub, established in 2017, improved productivity by automating the sortation processes of mail and e-commerce goods.</w:t>
      </w:r>
      <w:r w:rsidRPr="00913BC7">
        <w:rPr>
          <w:rStyle w:val="EndnoteReference"/>
          <w:spacing w:val="-2"/>
          <w:lang w:val="en-GB"/>
        </w:rPr>
        <w:endnoteReference w:id="4"/>
      </w:r>
      <w:r w:rsidRPr="00913BC7">
        <w:rPr>
          <w:spacing w:val="-2"/>
          <w:lang w:val="en-GB"/>
        </w:rPr>
        <w:t xml:space="preserve"> SATS’s aim was to grow its operations across Asia through strategic mergers and acquisitions in overseas airports. Over the years, it had expanded its cargo handling operations in Oman, Saudi Arabia, and India. The global growth in demand of pharmaceutical and perishable goods presented new opportunities for air freight handlers. With major players building cold chain facilities at airports, the market was fast becoming competitive.</w:t>
      </w:r>
    </w:p>
    <w:p w14:paraId="181B7C5D" w14:textId="77777777" w:rsidR="008E46A6" w:rsidRPr="008213EA" w:rsidRDefault="008E46A6" w:rsidP="00F7486B">
      <w:pPr>
        <w:pStyle w:val="BodyTextMain"/>
        <w:rPr>
          <w:szCs w:val="20"/>
          <w:lang w:val="en-GB"/>
        </w:rPr>
      </w:pPr>
    </w:p>
    <w:p w14:paraId="1F404B41" w14:textId="2F6BD144" w:rsidR="008E46A6" w:rsidRPr="00D117D6" w:rsidRDefault="008E46A6" w:rsidP="00F7486B">
      <w:pPr>
        <w:pStyle w:val="BodyTextMain"/>
        <w:rPr>
          <w:lang w:val="en-GB"/>
        </w:rPr>
      </w:pPr>
      <w:r w:rsidRPr="00D117D6">
        <w:rPr>
          <w:lang w:val="en-GB"/>
        </w:rPr>
        <w:t>As SATS considered its growth strategy for the next five years, China and Japan were identified as target markets in the cold</w:t>
      </w:r>
      <w:r>
        <w:rPr>
          <w:lang w:val="en-GB"/>
        </w:rPr>
        <w:t xml:space="preserve"> chain</w:t>
      </w:r>
      <w:r w:rsidRPr="00D117D6">
        <w:rPr>
          <w:lang w:val="en-GB"/>
        </w:rPr>
        <w:t xml:space="preserve"> logistics sector. The Chinese cold</w:t>
      </w:r>
      <w:r>
        <w:rPr>
          <w:lang w:val="en-GB"/>
        </w:rPr>
        <w:t xml:space="preserve"> chain</w:t>
      </w:r>
      <w:r w:rsidRPr="00D117D6">
        <w:rPr>
          <w:lang w:val="en-GB"/>
        </w:rPr>
        <w:t xml:space="preserve"> market was poised for growth in the coming years</w:t>
      </w:r>
      <w:r>
        <w:rPr>
          <w:lang w:val="en-GB"/>
        </w:rPr>
        <w:t>,</w:t>
      </w:r>
      <w:r w:rsidRPr="00D117D6">
        <w:rPr>
          <w:lang w:val="en-GB"/>
        </w:rPr>
        <w:t xml:space="preserve"> with </w:t>
      </w:r>
      <w:r>
        <w:rPr>
          <w:lang w:val="en-GB"/>
        </w:rPr>
        <w:t xml:space="preserve">a </w:t>
      </w:r>
      <w:r w:rsidRPr="00D117D6">
        <w:rPr>
          <w:lang w:val="en-GB"/>
        </w:rPr>
        <w:t>forecasted compound annual growth rate (CAGR) of 15.6 per cent for 2018</w:t>
      </w:r>
      <w:r>
        <w:rPr>
          <w:lang w:val="en-GB"/>
        </w:rPr>
        <w:t>–</w:t>
      </w:r>
      <w:r w:rsidRPr="00D117D6">
        <w:rPr>
          <w:lang w:val="en-GB"/>
        </w:rPr>
        <w:t>2022. However, competition from international and local existing operators, the threat of substitution in the form of rail freight</w:t>
      </w:r>
      <w:r>
        <w:rPr>
          <w:lang w:val="en-GB"/>
        </w:rPr>
        <w:t>,</w:t>
      </w:r>
      <w:r w:rsidRPr="00D117D6">
        <w:rPr>
          <w:lang w:val="en-GB"/>
        </w:rPr>
        <w:t xml:space="preserve"> and compliance with stringent government regulations would have to be surmounted expeditiously.</w:t>
      </w:r>
      <w:r w:rsidRPr="00D117D6">
        <w:rPr>
          <w:rStyle w:val="EndnoteReference"/>
          <w:lang w:val="en-GB"/>
        </w:rPr>
        <w:endnoteReference w:id="5"/>
      </w:r>
      <w:r>
        <w:rPr>
          <w:lang w:val="en-GB"/>
        </w:rPr>
        <w:t xml:space="preserve"> </w:t>
      </w:r>
      <w:r w:rsidRPr="00D117D6">
        <w:rPr>
          <w:lang w:val="en-GB"/>
        </w:rPr>
        <w:t>Japan, on the other hand, seemed to be an attractive market</w:t>
      </w:r>
      <w:r>
        <w:rPr>
          <w:lang w:val="en-GB"/>
        </w:rPr>
        <w:t>,</w:t>
      </w:r>
      <w:r w:rsidRPr="00D117D6">
        <w:rPr>
          <w:lang w:val="en-GB"/>
        </w:rPr>
        <w:t xml:space="preserve"> as it was among the </w:t>
      </w:r>
      <w:r>
        <w:rPr>
          <w:lang w:val="en-GB"/>
        </w:rPr>
        <w:t>world’s largest food importers</w:t>
      </w:r>
      <w:r w:rsidRPr="00D117D6">
        <w:rPr>
          <w:lang w:val="en-GB"/>
        </w:rPr>
        <w:t xml:space="preserve">, </w:t>
      </w:r>
      <w:r>
        <w:rPr>
          <w:lang w:val="en-GB"/>
        </w:rPr>
        <w:t xml:space="preserve">with imports </w:t>
      </w:r>
      <w:r w:rsidRPr="00D117D6">
        <w:rPr>
          <w:lang w:val="en-GB"/>
        </w:rPr>
        <w:t>reaching US$64 billion</w:t>
      </w:r>
      <w:r>
        <w:rPr>
          <w:rStyle w:val="EndnoteReference"/>
          <w:lang w:val="en-GB"/>
        </w:rPr>
        <w:endnoteReference w:id="6"/>
      </w:r>
      <w:r w:rsidRPr="00D117D6">
        <w:rPr>
          <w:lang w:val="en-GB"/>
        </w:rPr>
        <w:t xml:space="preserve"> in 2018. </w:t>
      </w:r>
      <w:r>
        <w:rPr>
          <w:lang w:val="en-GB"/>
        </w:rPr>
        <w:t>In 2017–2018,</w:t>
      </w:r>
      <w:r w:rsidRPr="00D117D6">
        <w:rPr>
          <w:lang w:val="en-GB"/>
        </w:rPr>
        <w:t xml:space="preserve"> </w:t>
      </w:r>
      <w:r>
        <w:rPr>
          <w:lang w:val="en-GB"/>
        </w:rPr>
        <w:t>Japan</w:t>
      </w:r>
      <w:r w:rsidRPr="00D117D6">
        <w:rPr>
          <w:lang w:val="en-GB"/>
        </w:rPr>
        <w:t xml:space="preserve"> imported pharmaceutical goods from Singapore worth $665 million.</w:t>
      </w:r>
      <w:r w:rsidRPr="00D117D6">
        <w:rPr>
          <w:rStyle w:val="EndnoteReference"/>
          <w:lang w:val="en-GB"/>
        </w:rPr>
        <w:endnoteReference w:id="7"/>
      </w:r>
      <w:r w:rsidRPr="00D117D6">
        <w:rPr>
          <w:lang w:val="en-GB"/>
        </w:rPr>
        <w:t xml:space="preserve"> This accounted for 4 per cent of </w:t>
      </w:r>
      <w:r>
        <w:rPr>
          <w:lang w:val="en-GB"/>
        </w:rPr>
        <w:t>Japan’s total</w:t>
      </w:r>
      <w:r w:rsidRPr="00D117D6">
        <w:rPr>
          <w:lang w:val="en-GB"/>
        </w:rPr>
        <w:t xml:space="preserve"> pharmaceutical imports.</w:t>
      </w:r>
      <w:r w:rsidRPr="00D117D6">
        <w:rPr>
          <w:rStyle w:val="EndnoteReference"/>
          <w:lang w:val="en-GB"/>
        </w:rPr>
        <w:endnoteReference w:id="8"/>
      </w:r>
      <w:r w:rsidRPr="00D117D6">
        <w:rPr>
          <w:lang w:val="en-GB"/>
        </w:rPr>
        <w:t xml:space="preserve"> However, expansion into Japan would not be without challenges, as any new venture would face competition from the cheaper ocean cargo services offered by other operators in China, South Korea, Taiwan</w:t>
      </w:r>
      <w:r>
        <w:rPr>
          <w:lang w:val="en-GB"/>
        </w:rPr>
        <w:t>,</w:t>
      </w:r>
      <w:r w:rsidRPr="00D117D6">
        <w:rPr>
          <w:lang w:val="en-GB"/>
        </w:rPr>
        <w:t xml:space="preserve"> and Hong Kong</w:t>
      </w:r>
      <w:r>
        <w:rPr>
          <w:lang w:val="en-GB"/>
        </w:rPr>
        <w:t>, which</w:t>
      </w:r>
      <w:r w:rsidRPr="00D117D6">
        <w:rPr>
          <w:lang w:val="en-GB"/>
        </w:rPr>
        <w:t xml:space="preserve"> were geographically closer to Japan than Singapore.</w:t>
      </w:r>
      <w:r w:rsidRPr="00D117D6">
        <w:rPr>
          <w:rStyle w:val="EndnoteReference"/>
          <w:lang w:val="en-GB"/>
        </w:rPr>
        <w:endnoteReference w:id="9"/>
      </w:r>
      <w:r w:rsidRPr="00D117D6">
        <w:rPr>
          <w:lang w:val="en-GB"/>
        </w:rPr>
        <w:t xml:space="preserve"> High </w:t>
      </w:r>
      <w:r w:rsidRPr="00D117D6">
        <w:rPr>
          <w:lang w:val="en-GB"/>
        </w:rPr>
        <w:lastRenderedPageBreak/>
        <w:t xml:space="preserve">tax rates and labour costs, lower net operating loss </w:t>
      </w:r>
      <w:r>
        <w:rPr>
          <w:lang w:val="en-GB"/>
        </w:rPr>
        <w:t xml:space="preserve">(NOL) </w:t>
      </w:r>
      <w:r w:rsidRPr="00D117D6">
        <w:rPr>
          <w:lang w:val="en-GB"/>
        </w:rPr>
        <w:t xml:space="preserve">carrying periods, and a </w:t>
      </w:r>
      <w:r>
        <w:rPr>
          <w:lang w:val="en-GB"/>
        </w:rPr>
        <w:t>non-English-speaking</w:t>
      </w:r>
      <w:r w:rsidRPr="00D117D6">
        <w:rPr>
          <w:lang w:val="en-GB"/>
        </w:rPr>
        <w:t xml:space="preserve"> environment with strong cultural differences would have important cost implications for new entrants.</w:t>
      </w:r>
      <w:r w:rsidRPr="00D117D6">
        <w:rPr>
          <w:rStyle w:val="EndnoteReference"/>
          <w:lang w:val="en-GB"/>
        </w:rPr>
        <w:endnoteReference w:id="10"/>
      </w:r>
    </w:p>
    <w:p w14:paraId="278BC72E" w14:textId="77777777" w:rsidR="008E46A6" w:rsidRPr="00913BC7" w:rsidRDefault="008E46A6" w:rsidP="00F7486B">
      <w:pPr>
        <w:pStyle w:val="BodyTextMain"/>
        <w:rPr>
          <w:sz w:val="18"/>
          <w:szCs w:val="20"/>
          <w:lang w:val="en-GB"/>
        </w:rPr>
      </w:pPr>
    </w:p>
    <w:p w14:paraId="0093C034" w14:textId="7E5CF38A" w:rsidR="008E46A6" w:rsidRPr="00D117D6" w:rsidRDefault="008E46A6" w:rsidP="00C100EC">
      <w:pPr>
        <w:pStyle w:val="BodyTextMain"/>
        <w:rPr>
          <w:lang w:val="en-GB"/>
        </w:rPr>
      </w:pPr>
      <w:r w:rsidRPr="00D117D6">
        <w:rPr>
          <w:lang w:val="en-GB"/>
        </w:rPr>
        <w:t>It was apparent that both China and Japan had high potential that merited further attention from SAT</w:t>
      </w:r>
      <w:r>
        <w:rPr>
          <w:lang w:val="en-GB"/>
        </w:rPr>
        <w:t>S, and</w:t>
      </w:r>
      <w:r w:rsidRPr="00D117D6">
        <w:rPr>
          <w:lang w:val="en-GB"/>
        </w:rPr>
        <w:t xml:space="preserve"> Khoo and his team needed to </w:t>
      </w:r>
      <w:r>
        <w:rPr>
          <w:lang w:val="en-GB"/>
        </w:rPr>
        <w:t xml:space="preserve">choose </w:t>
      </w:r>
      <w:r w:rsidRPr="00D117D6">
        <w:rPr>
          <w:lang w:val="en-GB"/>
        </w:rPr>
        <w:t xml:space="preserve">between the two opportunities. For future growth in the next five years, </w:t>
      </w:r>
      <w:r>
        <w:rPr>
          <w:lang w:val="en-GB"/>
        </w:rPr>
        <w:t>would</w:t>
      </w:r>
      <w:r w:rsidRPr="00D117D6">
        <w:rPr>
          <w:lang w:val="en-GB"/>
        </w:rPr>
        <w:t xml:space="preserve"> the company consider the Chinese air cargo market</w:t>
      </w:r>
      <w:r>
        <w:rPr>
          <w:lang w:val="en-GB"/>
        </w:rPr>
        <w:t>, which</w:t>
      </w:r>
      <w:r w:rsidRPr="00D117D6">
        <w:rPr>
          <w:lang w:val="en-GB"/>
        </w:rPr>
        <w:t xml:space="preserve"> was in a stage of high growth but fraught with bureaucracy? Or </w:t>
      </w:r>
      <w:r>
        <w:rPr>
          <w:lang w:val="en-GB"/>
        </w:rPr>
        <w:t>would</w:t>
      </w:r>
      <w:r w:rsidRPr="00D117D6">
        <w:rPr>
          <w:lang w:val="en-GB"/>
        </w:rPr>
        <w:t xml:space="preserve"> it focus on the Japanese air freight industry</w:t>
      </w:r>
      <w:r>
        <w:rPr>
          <w:lang w:val="en-GB"/>
        </w:rPr>
        <w:t>, which</w:t>
      </w:r>
      <w:r w:rsidRPr="00D117D6">
        <w:rPr>
          <w:lang w:val="en-GB"/>
        </w:rPr>
        <w:t xml:space="preserve"> was more established but challenging to foreign investment?</w:t>
      </w:r>
    </w:p>
    <w:p w14:paraId="3F413839" w14:textId="386505F4" w:rsidR="008E46A6" w:rsidRPr="00913BC7" w:rsidRDefault="008E46A6" w:rsidP="00F7486B">
      <w:pPr>
        <w:pStyle w:val="BodyTextMain"/>
        <w:rPr>
          <w:sz w:val="18"/>
          <w:szCs w:val="20"/>
          <w:lang w:val="en-GB"/>
        </w:rPr>
      </w:pPr>
    </w:p>
    <w:p w14:paraId="16A23E1B" w14:textId="77777777" w:rsidR="008E46A6" w:rsidRPr="00913BC7" w:rsidRDefault="008E46A6" w:rsidP="00F7486B">
      <w:pPr>
        <w:pStyle w:val="BodyTextMain"/>
        <w:rPr>
          <w:sz w:val="18"/>
          <w:szCs w:val="20"/>
          <w:lang w:val="en-GB"/>
        </w:rPr>
      </w:pPr>
    </w:p>
    <w:p w14:paraId="4416B86D" w14:textId="4C50BDCA" w:rsidR="008E46A6" w:rsidRPr="00D117D6" w:rsidRDefault="008E46A6" w:rsidP="00F7486B">
      <w:pPr>
        <w:pStyle w:val="Casehead1"/>
        <w:rPr>
          <w:lang w:val="en-GB"/>
        </w:rPr>
      </w:pPr>
      <w:r w:rsidRPr="00D117D6">
        <w:rPr>
          <w:lang w:val="en-GB"/>
        </w:rPr>
        <w:t xml:space="preserve">OVERVIEW OF </w:t>
      </w:r>
      <w:r>
        <w:rPr>
          <w:lang w:val="en-GB"/>
        </w:rPr>
        <w:t xml:space="preserve">the </w:t>
      </w:r>
      <w:r w:rsidRPr="00D117D6">
        <w:rPr>
          <w:lang w:val="en-GB"/>
        </w:rPr>
        <w:t>GLOBAL AIR CARGO INDUSTRY</w:t>
      </w:r>
    </w:p>
    <w:p w14:paraId="3C84899F" w14:textId="77777777" w:rsidR="008E46A6" w:rsidRPr="00913BC7" w:rsidRDefault="008E46A6" w:rsidP="00F7486B">
      <w:pPr>
        <w:pStyle w:val="BodyTextMain"/>
        <w:rPr>
          <w:sz w:val="18"/>
          <w:szCs w:val="20"/>
          <w:lang w:val="en-GB"/>
        </w:rPr>
      </w:pPr>
    </w:p>
    <w:p w14:paraId="36AE0B1C" w14:textId="48E398D0" w:rsidR="008E46A6" w:rsidRPr="00D117D6" w:rsidRDefault="008E46A6" w:rsidP="00F7486B">
      <w:pPr>
        <w:pStyle w:val="BodyTextMain"/>
        <w:rPr>
          <w:lang w:val="en-GB"/>
        </w:rPr>
      </w:pPr>
      <w:r w:rsidRPr="00D117D6">
        <w:rPr>
          <w:lang w:val="en-GB"/>
        </w:rPr>
        <w:t xml:space="preserve">Since the turn of the century, the global air cargo industry had seen its fastest growth </w:t>
      </w:r>
      <w:r>
        <w:rPr>
          <w:lang w:val="en-GB"/>
        </w:rPr>
        <w:t>in</w:t>
      </w:r>
      <w:r w:rsidRPr="00D117D6">
        <w:rPr>
          <w:lang w:val="en-GB"/>
        </w:rPr>
        <w:t xml:space="preserve"> the past three years.</w:t>
      </w:r>
      <w:r w:rsidRPr="00D117D6">
        <w:rPr>
          <w:rStyle w:val="EndnoteReference"/>
          <w:lang w:val="en-GB"/>
        </w:rPr>
        <w:endnoteReference w:id="11"/>
      </w:r>
      <w:r w:rsidRPr="00D117D6">
        <w:rPr>
          <w:lang w:val="en-GB"/>
        </w:rPr>
        <w:t xml:space="preserve"> Starting from a seven-year low of $80.8 billion in 2016, industry revenue shot </w:t>
      </w:r>
      <w:r>
        <w:rPr>
          <w:lang w:val="en-GB"/>
        </w:rPr>
        <w:t xml:space="preserve">up </w:t>
      </w:r>
      <w:r w:rsidRPr="00D117D6">
        <w:rPr>
          <w:lang w:val="en-GB"/>
        </w:rPr>
        <w:t xml:space="preserve">to $109.8 billion in 2018. </w:t>
      </w:r>
      <w:r>
        <w:rPr>
          <w:lang w:val="en-GB"/>
        </w:rPr>
        <w:t>Air</w:t>
      </w:r>
      <w:r w:rsidRPr="00D117D6">
        <w:rPr>
          <w:lang w:val="en-GB"/>
        </w:rPr>
        <w:t xml:space="preserve"> cargo volume growth was forecast by IATA to rise in tandem by 4.5 per cent</w:t>
      </w:r>
      <w:r>
        <w:rPr>
          <w:lang w:val="en-GB"/>
        </w:rPr>
        <w:t>—</w:t>
      </w:r>
      <w:r w:rsidRPr="00D117D6">
        <w:rPr>
          <w:lang w:val="en-GB"/>
        </w:rPr>
        <w:t xml:space="preserve">from 59.9 million </w:t>
      </w:r>
      <w:r>
        <w:rPr>
          <w:lang w:val="en-GB"/>
        </w:rPr>
        <w:t>metric tons</w:t>
      </w:r>
      <w:r w:rsidRPr="00D117D6">
        <w:rPr>
          <w:lang w:val="en-GB"/>
        </w:rPr>
        <w:t xml:space="preserve"> in 2017 to 62.5 million </w:t>
      </w:r>
      <w:r>
        <w:rPr>
          <w:lang w:val="en-GB"/>
        </w:rPr>
        <w:t>metric tons</w:t>
      </w:r>
      <w:r w:rsidRPr="00D117D6">
        <w:rPr>
          <w:lang w:val="en-GB"/>
        </w:rPr>
        <w:t xml:space="preserve"> in 2018.</w:t>
      </w:r>
      <w:r w:rsidRPr="00D117D6">
        <w:rPr>
          <w:rStyle w:val="EndnoteReference"/>
          <w:lang w:val="en-GB"/>
        </w:rPr>
        <w:endnoteReference w:id="12"/>
      </w:r>
      <w:r w:rsidRPr="00D117D6">
        <w:rPr>
          <w:lang w:val="en-GB"/>
        </w:rPr>
        <w:t xml:space="preserve"> Although this tonnage represented less than </w:t>
      </w:r>
      <w:r>
        <w:rPr>
          <w:lang w:val="en-GB"/>
        </w:rPr>
        <w:t>1</w:t>
      </w:r>
      <w:r w:rsidRPr="00D117D6">
        <w:rPr>
          <w:lang w:val="en-GB"/>
        </w:rPr>
        <w:t xml:space="preserve"> per cent of global trade by volume, it exceeded 35 per cent by value. The air cargo industry was slated to continue its ascent into the following years</w:t>
      </w:r>
      <w:r>
        <w:rPr>
          <w:lang w:val="en-GB"/>
        </w:rPr>
        <w:t>,</w:t>
      </w:r>
      <w:r w:rsidRPr="00D117D6">
        <w:rPr>
          <w:lang w:val="en-GB"/>
        </w:rPr>
        <w:t xml:space="preserve"> doubling its </w:t>
      </w:r>
      <w:r>
        <w:rPr>
          <w:lang w:val="en-GB"/>
        </w:rPr>
        <w:t>revenue ton-kilometre</w:t>
      </w:r>
      <w:r w:rsidRPr="00D117D6">
        <w:rPr>
          <w:rStyle w:val="EndnoteReference"/>
          <w:lang w:val="en-GB"/>
        </w:rPr>
        <w:endnoteReference w:id="13"/>
      </w:r>
      <w:r w:rsidRPr="00D117D6">
        <w:rPr>
          <w:lang w:val="en-GB"/>
        </w:rPr>
        <w:t xml:space="preserve"> by 2035 at a forecasted CAGR of 4.9 per cent.</w:t>
      </w:r>
      <w:r w:rsidRPr="00D117D6">
        <w:rPr>
          <w:rStyle w:val="EndnoteReference"/>
          <w:lang w:val="en-GB"/>
        </w:rPr>
        <w:endnoteReference w:id="14"/>
      </w:r>
    </w:p>
    <w:p w14:paraId="7D92CD07" w14:textId="77777777" w:rsidR="008E46A6" w:rsidRPr="00913BC7" w:rsidRDefault="008E46A6" w:rsidP="00F7486B">
      <w:pPr>
        <w:pStyle w:val="BodyTextMain"/>
        <w:rPr>
          <w:sz w:val="18"/>
          <w:szCs w:val="20"/>
          <w:lang w:val="en-GB"/>
        </w:rPr>
      </w:pPr>
    </w:p>
    <w:p w14:paraId="4DECFF06" w14:textId="3939BB7F" w:rsidR="008E46A6" w:rsidRPr="00913BC7" w:rsidRDefault="008E46A6" w:rsidP="00F7486B">
      <w:pPr>
        <w:pStyle w:val="BodyTextMain"/>
        <w:rPr>
          <w:spacing w:val="-4"/>
          <w:lang w:val="en-GB"/>
        </w:rPr>
      </w:pPr>
      <w:r w:rsidRPr="00913BC7">
        <w:rPr>
          <w:spacing w:val="-4"/>
          <w:lang w:val="en-GB"/>
        </w:rPr>
        <w:t>The air cargo supply chain was highly complex. The point of origin, also known as the shipper, would initiate the movement of goods by handing them over to the freight forwarder for delivery to the airport. The freight forwarder was also responsible for booking space on the aircraft for the goods that were ready to travel. The crucial link between the freight forwarder and airline was completed by the exporting ground handling agent. Based on instructions furnished by the airline, the exporting ground handling agent would make provisions for warehousing and palletizing the goods into cargoes for loading onto flights. Upon reaching the destination, the importing ground handling agent would unload and de-palletize the cargoes at its warehouse into goods before passing them onto the local freight forwarder for making final delivery to the consignee (see Exhibit 1).</w:t>
      </w:r>
    </w:p>
    <w:p w14:paraId="61FEC998" w14:textId="77777777" w:rsidR="008E46A6" w:rsidRPr="00913BC7" w:rsidRDefault="008E46A6" w:rsidP="00F7486B">
      <w:pPr>
        <w:pStyle w:val="BodyTextMain"/>
        <w:rPr>
          <w:sz w:val="18"/>
          <w:szCs w:val="20"/>
          <w:lang w:val="en-GB"/>
        </w:rPr>
      </w:pPr>
    </w:p>
    <w:p w14:paraId="18005875" w14:textId="60ED799F" w:rsidR="008E46A6" w:rsidRPr="00D117D6" w:rsidRDefault="008E46A6" w:rsidP="00F7486B">
      <w:pPr>
        <w:pStyle w:val="BodyTextMain"/>
        <w:rPr>
          <w:lang w:val="en-GB"/>
        </w:rPr>
      </w:pPr>
      <w:r w:rsidRPr="00D117D6">
        <w:rPr>
          <w:lang w:val="en-GB"/>
        </w:rPr>
        <w:t xml:space="preserve">There were several economic factors driving the industry’s growth. Among them was a rise in the global demand for pharmaceutical products. </w:t>
      </w:r>
      <w:r>
        <w:rPr>
          <w:lang w:val="en-GB"/>
        </w:rPr>
        <w:t>In 2015, pharmaceutical</w:t>
      </w:r>
      <w:r w:rsidRPr="00D117D6">
        <w:rPr>
          <w:lang w:val="en-GB"/>
        </w:rPr>
        <w:t xml:space="preserve"> industry intelligence providers such as IMS Health and Evaluate </w:t>
      </w:r>
      <w:r>
        <w:rPr>
          <w:lang w:val="en-GB"/>
        </w:rPr>
        <w:t>Ltd.</w:t>
      </w:r>
      <w:r w:rsidRPr="00D117D6">
        <w:rPr>
          <w:lang w:val="en-GB"/>
        </w:rPr>
        <w:t xml:space="preserve"> forecast that the global biopharmaceutical market would see sales revenues of $1.12 trillion in 2022 (</w:t>
      </w:r>
      <w:r>
        <w:rPr>
          <w:lang w:val="en-GB"/>
        </w:rPr>
        <w:t xml:space="preserve">see </w:t>
      </w:r>
      <w:r w:rsidRPr="00D117D6">
        <w:rPr>
          <w:lang w:val="en-GB"/>
        </w:rPr>
        <w:t>Exhibit 2).</w:t>
      </w:r>
      <w:r w:rsidRPr="00D117D6">
        <w:rPr>
          <w:rStyle w:val="EndnoteReference"/>
          <w:lang w:val="en-GB"/>
        </w:rPr>
        <w:endnoteReference w:id="15"/>
      </w:r>
      <w:r w:rsidRPr="00D117D6">
        <w:rPr>
          <w:lang w:val="en-GB"/>
        </w:rPr>
        <w:t xml:space="preserve"> As the transportation of most biopharmaceuticals would require a temperature-controlled environment, the air cargo industry would be poised to benefit from the rise in demand. Another economic driver of the industry was the boom in e-commerce demand. Global retail e-commerce sales were $2.3 trillion in 2017</w:t>
      </w:r>
      <w:r>
        <w:rPr>
          <w:lang w:val="en-GB"/>
        </w:rPr>
        <w:t>—</w:t>
      </w:r>
      <w:r w:rsidRPr="00D117D6">
        <w:rPr>
          <w:lang w:val="en-GB"/>
        </w:rPr>
        <w:t xml:space="preserve">more than double the $1.1 trillion spent in 2012. With no signs of slowing down, the e-commerce market size was projected to double again by 2021, reaching nearly $4.9 trillion in global sales. Riding on the e-commerce boom, many third-party logistics companies were offering </w:t>
      </w:r>
      <w:r>
        <w:rPr>
          <w:lang w:val="en-GB"/>
        </w:rPr>
        <w:t>multimodal</w:t>
      </w:r>
      <w:r w:rsidRPr="00D117D6">
        <w:rPr>
          <w:lang w:val="en-GB"/>
        </w:rPr>
        <w:t xml:space="preserve"> services</w:t>
      </w:r>
      <w:r>
        <w:rPr>
          <w:lang w:val="en-GB"/>
        </w:rPr>
        <w:t>,</w:t>
      </w:r>
      <w:r w:rsidRPr="00D117D6">
        <w:rPr>
          <w:lang w:val="en-GB"/>
        </w:rPr>
        <w:t xml:space="preserve"> which included air cargo services as a critical mode of transportation. Leading the world market in 2017 was </w:t>
      </w:r>
      <w:r>
        <w:rPr>
          <w:lang w:val="en-GB"/>
        </w:rPr>
        <w:t xml:space="preserve">the </w:t>
      </w:r>
      <w:r w:rsidRPr="00D117D6">
        <w:rPr>
          <w:lang w:val="en-GB"/>
        </w:rPr>
        <w:t>Asia-Pacific region</w:t>
      </w:r>
      <w:r>
        <w:rPr>
          <w:lang w:val="en-GB"/>
        </w:rPr>
        <w:t>,</w:t>
      </w:r>
      <w:r w:rsidRPr="00D117D6">
        <w:rPr>
          <w:lang w:val="en-GB"/>
        </w:rPr>
        <w:t xml:space="preserve"> at 34.7 per cent share, followed by North America</w:t>
      </w:r>
      <w:r>
        <w:rPr>
          <w:lang w:val="en-GB"/>
        </w:rPr>
        <w:t>,</w:t>
      </w:r>
      <w:r w:rsidRPr="00D117D6">
        <w:rPr>
          <w:lang w:val="en-GB"/>
        </w:rPr>
        <w:t xml:space="preserve"> at 23.2 per cent (</w:t>
      </w:r>
      <w:r>
        <w:rPr>
          <w:lang w:val="en-GB"/>
        </w:rPr>
        <w:t>see</w:t>
      </w:r>
      <w:r w:rsidRPr="00D117D6">
        <w:rPr>
          <w:lang w:val="en-GB"/>
        </w:rPr>
        <w:t xml:space="preserve"> Exhibit 3).</w:t>
      </w:r>
      <w:r w:rsidRPr="00D117D6">
        <w:rPr>
          <w:rStyle w:val="EndnoteReference"/>
          <w:lang w:val="en-GB"/>
        </w:rPr>
        <w:endnoteReference w:id="16"/>
      </w:r>
      <w:r w:rsidRPr="00D117D6">
        <w:rPr>
          <w:lang w:val="en-GB"/>
        </w:rPr>
        <w:t xml:space="preserve"> The region’s dominance was forecast to continue from 2018 to 2037 due to the rising affluence and increased spending of </w:t>
      </w:r>
      <w:r>
        <w:rPr>
          <w:lang w:val="en-GB"/>
        </w:rPr>
        <w:t>its</w:t>
      </w:r>
      <w:r w:rsidRPr="00D117D6">
        <w:rPr>
          <w:lang w:val="en-GB"/>
        </w:rPr>
        <w:t xml:space="preserve"> </w:t>
      </w:r>
      <w:r>
        <w:rPr>
          <w:lang w:val="en-GB"/>
        </w:rPr>
        <w:t>middle class</w:t>
      </w:r>
      <w:r w:rsidRPr="00D117D6">
        <w:rPr>
          <w:lang w:val="en-GB"/>
        </w:rPr>
        <w:t>.</w:t>
      </w:r>
      <w:r w:rsidRPr="00D117D6">
        <w:rPr>
          <w:rStyle w:val="EndnoteReference"/>
          <w:lang w:val="en-GB"/>
        </w:rPr>
        <w:endnoteReference w:id="17"/>
      </w:r>
      <w:r>
        <w:rPr>
          <w:lang w:val="en-GB"/>
        </w:rPr>
        <w:t xml:space="preserve"> </w:t>
      </w:r>
      <w:r w:rsidRPr="00D117D6">
        <w:rPr>
          <w:lang w:val="en-GB"/>
        </w:rPr>
        <w:t xml:space="preserve">According to </w:t>
      </w:r>
      <w:r>
        <w:rPr>
          <w:lang w:val="en-GB"/>
        </w:rPr>
        <w:t>a Boeing Company (Boeing)</w:t>
      </w:r>
      <w:r w:rsidRPr="00D117D6">
        <w:rPr>
          <w:lang w:val="en-GB"/>
        </w:rPr>
        <w:t xml:space="preserve"> forecast, the routes leading in air cargo traffic growth included </w:t>
      </w:r>
      <w:r>
        <w:rPr>
          <w:lang w:val="en-GB"/>
        </w:rPr>
        <w:t xml:space="preserve">routes within </w:t>
      </w:r>
      <w:r w:rsidRPr="00D117D6">
        <w:rPr>
          <w:lang w:val="en-GB"/>
        </w:rPr>
        <w:t>domestic China</w:t>
      </w:r>
      <w:r>
        <w:rPr>
          <w:lang w:val="en-GB"/>
        </w:rPr>
        <w:t xml:space="preserve"> and </w:t>
      </w:r>
      <w:r w:rsidRPr="00D117D6">
        <w:rPr>
          <w:lang w:val="en-GB"/>
        </w:rPr>
        <w:t>East Asia, East Asia</w:t>
      </w:r>
      <w:r>
        <w:rPr>
          <w:lang w:val="en-GB"/>
        </w:rPr>
        <w:t>–</w:t>
      </w:r>
      <w:r w:rsidRPr="00D117D6">
        <w:rPr>
          <w:lang w:val="en-GB"/>
        </w:rPr>
        <w:t>North America</w:t>
      </w:r>
      <w:r>
        <w:rPr>
          <w:lang w:val="en-GB"/>
        </w:rPr>
        <w:t xml:space="preserve"> routes,</w:t>
      </w:r>
      <w:r w:rsidRPr="00D117D6">
        <w:rPr>
          <w:lang w:val="en-GB"/>
        </w:rPr>
        <w:t xml:space="preserve"> and Europe–East Asia markets.</w:t>
      </w:r>
      <w:r w:rsidRPr="00D117D6">
        <w:rPr>
          <w:rStyle w:val="EndnoteReference"/>
          <w:lang w:val="en-GB"/>
        </w:rPr>
        <w:endnoteReference w:id="18"/>
      </w:r>
    </w:p>
    <w:p w14:paraId="445453BE" w14:textId="77777777" w:rsidR="008E46A6" w:rsidRPr="00913BC7" w:rsidRDefault="008E46A6" w:rsidP="00F7486B">
      <w:pPr>
        <w:pStyle w:val="BodyTextMain"/>
        <w:rPr>
          <w:sz w:val="18"/>
          <w:szCs w:val="20"/>
          <w:lang w:val="en-GB"/>
        </w:rPr>
      </w:pPr>
    </w:p>
    <w:p w14:paraId="604E3AB9" w14:textId="22E51813" w:rsidR="008E46A6" w:rsidRPr="00D117D6" w:rsidRDefault="008E46A6" w:rsidP="00F7486B">
      <w:pPr>
        <w:pStyle w:val="BodyTextMain"/>
        <w:rPr>
          <w:lang w:val="en-GB"/>
        </w:rPr>
      </w:pPr>
      <w:r w:rsidRPr="00D117D6">
        <w:rPr>
          <w:lang w:val="en-GB"/>
        </w:rPr>
        <w:t>As consumers’ expectations of fast goods delivery through e-commerce channels continued to rise, their preference for air freight over ocean freight became more compelling. A 2018 survey conducted by Dropoff found that 43 per cent of respondents expected companies to have much faster delivery times</w:t>
      </w:r>
      <w:r>
        <w:rPr>
          <w:lang w:val="en-GB"/>
        </w:rPr>
        <w:t>,</w:t>
      </w:r>
      <w:r w:rsidRPr="00D117D6">
        <w:rPr>
          <w:lang w:val="en-GB"/>
        </w:rPr>
        <w:t xml:space="preserve"> compared to 35 per cent of respondents in the previous year.</w:t>
      </w:r>
      <w:r w:rsidRPr="00D117D6">
        <w:rPr>
          <w:rStyle w:val="EndnoteReference"/>
          <w:lang w:val="en-GB"/>
        </w:rPr>
        <w:t xml:space="preserve"> </w:t>
      </w:r>
      <w:r w:rsidRPr="00D117D6">
        <w:rPr>
          <w:rStyle w:val="EndnoteReference"/>
          <w:lang w:val="en-GB"/>
        </w:rPr>
        <w:endnoteReference w:id="19"/>
      </w:r>
      <w:r w:rsidRPr="00D117D6">
        <w:rPr>
          <w:lang w:val="en-GB"/>
        </w:rPr>
        <w:t xml:space="preserve"> The rising trend was evident in global online shopping events such as Amazon Day, launched in 2019 by </w:t>
      </w:r>
      <w:r>
        <w:rPr>
          <w:lang w:val="en-GB"/>
        </w:rPr>
        <w:t>Amazon.com Inc., which allowed</w:t>
      </w:r>
      <w:r w:rsidRPr="00D117D6">
        <w:rPr>
          <w:lang w:val="en-GB"/>
        </w:rPr>
        <w:t xml:space="preserve"> packages to be delivered more quickly on exact </w:t>
      </w:r>
      <w:r>
        <w:rPr>
          <w:lang w:val="en-GB"/>
        </w:rPr>
        <w:t xml:space="preserve">delivery </w:t>
      </w:r>
      <w:r w:rsidRPr="00D117D6">
        <w:rPr>
          <w:lang w:val="en-GB"/>
        </w:rPr>
        <w:t>dates specified by the consumers.</w:t>
      </w:r>
      <w:r w:rsidRPr="00D117D6">
        <w:rPr>
          <w:rStyle w:val="EndnoteReference"/>
          <w:lang w:val="en-GB"/>
        </w:rPr>
        <w:endnoteReference w:id="20"/>
      </w:r>
    </w:p>
    <w:p w14:paraId="23A1E61C" w14:textId="10A89B18" w:rsidR="008E46A6" w:rsidRPr="00D117D6" w:rsidRDefault="008E46A6" w:rsidP="00DA2518">
      <w:pPr>
        <w:pStyle w:val="BodyTextMain"/>
        <w:rPr>
          <w:lang w:val="en-GB"/>
        </w:rPr>
      </w:pPr>
      <w:r w:rsidRPr="00D117D6">
        <w:rPr>
          <w:lang w:val="en-GB"/>
        </w:rPr>
        <w:lastRenderedPageBreak/>
        <w:t xml:space="preserve">A white paper produced by IATA in March 2019 highlighted the future possibilities of technological advances for cargo facilities. Many cargo facilities were envisioned to be automated by 2030, on the back of several key technologies. First, </w:t>
      </w:r>
      <w:r>
        <w:rPr>
          <w:lang w:val="en-GB"/>
        </w:rPr>
        <w:t>robotics</w:t>
      </w:r>
      <w:r w:rsidRPr="00D117D6">
        <w:rPr>
          <w:lang w:val="en-GB"/>
        </w:rPr>
        <w:t xml:space="preserve"> and automated systems were slated to increase productivity, precision, and quality of processes in cargo facilities. Brendan Sullivan, </w:t>
      </w:r>
      <w:r>
        <w:rPr>
          <w:lang w:val="en-GB"/>
        </w:rPr>
        <w:t>head of cargo operations for IATA</w:t>
      </w:r>
      <w:r w:rsidRPr="00D117D6">
        <w:rPr>
          <w:lang w:val="en-GB"/>
        </w:rPr>
        <w:t xml:space="preserve">, reported that 80 per cent of operations were outsourced to third-party ground </w:t>
      </w:r>
      <w:r>
        <w:rPr>
          <w:lang w:val="en-GB"/>
        </w:rPr>
        <w:t>handlers and that, given this,</w:t>
      </w:r>
      <w:r w:rsidRPr="00D117D6">
        <w:rPr>
          <w:lang w:val="en-GB"/>
        </w:rPr>
        <w:t xml:space="preserve"> the introduction of robotics was crucial for the accurate and constant flow of information down the value chain.</w:t>
      </w:r>
      <w:r w:rsidRPr="00D117D6">
        <w:rPr>
          <w:rStyle w:val="EndnoteReference"/>
          <w:lang w:val="en-GB"/>
        </w:rPr>
        <w:endnoteReference w:id="21"/>
      </w:r>
      <w:r w:rsidRPr="00D117D6">
        <w:rPr>
          <w:lang w:val="en-GB"/>
        </w:rPr>
        <w:t xml:space="preserve"> Second, Internet of </w:t>
      </w:r>
      <w:r>
        <w:rPr>
          <w:lang w:val="en-GB"/>
        </w:rPr>
        <w:t>things</w:t>
      </w:r>
      <w:r w:rsidRPr="00D117D6">
        <w:rPr>
          <w:lang w:val="en-GB"/>
        </w:rPr>
        <w:t xml:space="preserve"> (IoT) technology would drive the interconnectedness of cargo </w:t>
      </w:r>
      <w:r>
        <w:rPr>
          <w:lang w:val="en-GB"/>
        </w:rPr>
        <w:t xml:space="preserve">and </w:t>
      </w:r>
      <w:r w:rsidRPr="00D117D6">
        <w:rPr>
          <w:lang w:val="en-GB"/>
        </w:rPr>
        <w:t>allow for better identification, tracking, monitoring, and interaction between everything and everyone within the entire cargo facility. Growing at a CAGR of 19.6 per cent, the number of IoT-enabled devices used in the cargo industry was expected to reach 8.9 million by 2022.</w:t>
      </w:r>
      <w:r w:rsidRPr="00D117D6">
        <w:rPr>
          <w:rStyle w:val="EndnoteReference"/>
          <w:lang w:val="en-GB"/>
        </w:rPr>
        <w:endnoteReference w:id="22"/>
      </w:r>
      <w:r w:rsidRPr="00D117D6">
        <w:rPr>
          <w:lang w:val="en-GB"/>
        </w:rPr>
        <w:t xml:space="preserve"> Finally, introducing IoT</w:t>
      </w:r>
      <w:r>
        <w:rPr>
          <w:lang w:val="en-GB"/>
        </w:rPr>
        <w:t>, as well as</w:t>
      </w:r>
      <w:r w:rsidRPr="00D117D6">
        <w:rPr>
          <w:lang w:val="en-GB"/>
        </w:rPr>
        <w:t xml:space="preserve"> the use of predictive artificial intelligence for deep learning </w:t>
      </w:r>
      <w:r>
        <w:rPr>
          <w:lang w:val="en-GB"/>
        </w:rPr>
        <w:t xml:space="preserve">that it would enable, </w:t>
      </w:r>
      <w:r w:rsidRPr="00D117D6">
        <w:rPr>
          <w:lang w:val="en-GB"/>
        </w:rPr>
        <w:t>would enhance the ability of cargo companies to capitalize on the big data it generated. This was projected to contribute to internal process optimization, better predictability of maintenance needs</w:t>
      </w:r>
      <w:r>
        <w:rPr>
          <w:lang w:val="en-GB"/>
        </w:rPr>
        <w:t>,</w:t>
      </w:r>
      <w:r w:rsidRPr="00D117D6">
        <w:rPr>
          <w:lang w:val="en-GB"/>
        </w:rPr>
        <w:t xml:space="preserve"> and improvement </w:t>
      </w:r>
      <w:r>
        <w:rPr>
          <w:lang w:val="en-GB"/>
        </w:rPr>
        <w:t>in employee</w:t>
      </w:r>
      <w:r w:rsidRPr="00D117D6">
        <w:rPr>
          <w:lang w:val="en-GB"/>
        </w:rPr>
        <w:t xml:space="preserve"> health and safety, resulting in overall cost reductions. For instance, Erica Brinker</w:t>
      </w:r>
      <w:r>
        <w:rPr>
          <w:lang w:val="en-GB"/>
        </w:rPr>
        <w:t>,</w:t>
      </w:r>
      <w:r w:rsidRPr="00D117D6">
        <w:rPr>
          <w:lang w:val="en-GB"/>
        </w:rPr>
        <w:t xml:space="preserve"> </w:t>
      </w:r>
      <w:r>
        <w:rPr>
          <w:lang w:val="en-GB"/>
        </w:rPr>
        <w:t>senior director</w:t>
      </w:r>
      <w:r w:rsidRPr="00D117D6">
        <w:rPr>
          <w:lang w:val="en-GB"/>
        </w:rPr>
        <w:t xml:space="preserve"> of Honeywell’s </w:t>
      </w:r>
      <w:r>
        <w:rPr>
          <w:lang w:val="en-GB"/>
        </w:rPr>
        <w:t xml:space="preserve">Boeing </w:t>
      </w:r>
      <w:r w:rsidRPr="00D117D6">
        <w:rPr>
          <w:lang w:val="en-GB"/>
        </w:rPr>
        <w:t xml:space="preserve">757 </w:t>
      </w:r>
      <w:r>
        <w:rPr>
          <w:lang w:val="en-GB"/>
        </w:rPr>
        <w:t>Connected Aircraft</w:t>
      </w:r>
      <w:r w:rsidRPr="00D117D6">
        <w:rPr>
          <w:lang w:val="en-GB"/>
        </w:rPr>
        <w:t xml:space="preserve"> program</w:t>
      </w:r>
      <w:r>
        <w:rPr>
          <w:lang w:val="en-GB"/>
        </w:rPr>
        <w:t>,</w:t>
      </w:r>
      <w:r w:rsidRPr="00D117D6">
        <w:rPr>
          <w:lang w:val="en-GB"/>
        </w:rPr>
        <w:t xml:space="preserve"> highlighted the potential cost savings by as much as 25 per cent from data-enabled predictive maintenance</w:t>
      </w:r>
      <w:r>
        <w:rPr>
          <w:lang w:val="en-GB"/>
        </w:rPr>
        <w:t>:</w:t>
      </w:r>
      <w:r w:rsidRPr="00D117D6">
        <w:rPr>
          <w:lang w:val="en-GB"/>
        </w:rPr>
        <w:t xml:space="preserve"> </w:t>
      </w:r>
      <w:r>
        <w:rPr>
          <w:lang w:val="en-GB"/>
        </w:rPr>
        <w:t>“</w:t>
      </w:r>
      <w:r w:rsidRPr="00D117D6">
        <w:rPr>
          <w:lang w:val="en-GB"/>
        </w:rPr>
        <w:t xml:space="preserve">The airplane will tell the company what needs to be done or fixed before the next flight so that maintenance can be waiting at the gate at the end of the current flight and mitigate or eliminate a future flight delay, which costs the industry </w:t>
      </w:r>
      <w:r>
        <w:rPr>
          <w:lang w:val="en-GB"/>
        </w:rPr>
        <w:t>[$]</w:t>
      </w:r>
      <w:r w:rsidRPr="00D117D6">
        <w:rPr>
          <w:lang w:val="en-GB"/>
        </w:rPr>
        <w:t>25 billion annually.</w:t>
      </w:r>
      <w:r>
        <w:rPr>
          <w:lang w:val="en-GB"/>
        </w:rPr>
        <w:t>”</w:t>
      </w:r>
      <w:r w:rsidRPr="00D117D6">
        <w:rPr>
          <w:rStyle w:val="EndnoteReference"/>
          <w:lang w:val="en-GB"/>
        </w:rPr>
        <w:endnoteReference w:id="23"/>
      </w:r>
    </w:p>
    <w:p w14:paraId="388E48C3" w14:textId="77777777" w:rsidR="008E46A6" w:rsidRPr="00D117D6" w:rsidRDefault="008E46A6" w:rsidP="00F7486B">
      <w:pPr>
        <w:pStyle w:val="BodyTextMain"/>
        <w:rPr>
          <w:lang w:val="en-GB"/>
        </w:rPr>
      </w:pPr>
    </w:p>
    <w:p w14:paraId="150589C1" w14:textId="472DA9B4" w:rsidR="008E46A6" w:rsidRPr="00D117D6" w:rsidRDefault="008E46A6" w:rsidP="00F7486B">
      <w:pPr>
        <w:pStyle w:val="BodyTextMain"/>
        <w:rPr>
          <w:lang w:val="en-GB"/>
        </w:rPr>
      </w:pPr>
      <w:r w:rsidRPr="00D117D6">
        <w:rPr>
          <w:lang w:val="en-GB"/>
        </w:rPr>
        <w:t>The air cargo industry had received fair attention for its negative environmental impact</w:t>
      </w:r>
      <w:r>
        <w:rPr>
          <w:lang w:val="en-GB"/>
        </w:rPr>
        <w:t>,</w:t>
      </w:r>
      <w:r w:rsidRPr="00D117D6">
        <w:rPr>
          <w:lang w:val="en-GB"/>
        </w:rPr>
        <w:t xml:space="preserve"> primarily </w:t>
      </w:r>
      <w:r>
        <w:rPr>
          <w:lang w:val="en-GB"/>
        </w:rPr>
        <w:t>through</w:t>
      </w:r>
      <w:r w:rsidRPr="00D117D6">
        <w:rPr>
          <w:lang w:val="en-GB"/>
        </w:rPr>
        <w:t xml:space="preserve"> its contribution to greenhouse gas (GHG) emissions. According to 2014 preliminary data compiled by the European Environment Agency, GHG emissions had doubled since 1990 and were 18.3 per cent higher in 2014 than in 2000. As the upward trend was expected to continue, industry regulations such as the Carbon Offsetting and Reduction Scheme for International Aviation (CORSIA) were launched by IATA to manage carbon emissions.</w:t>
      </w:r>
      <w:r w:rsidRPr="00D117D6">
        <w:rPr>
          <w:rStyle w:val="EndnoteReference"/>
          <w:lang w:val="en-GB"/>
        </w:rPr>
        <w:endnoteReference w:id="24"/>
      </w:r>
      <w:r w:rsidRPr="00D117D6">
        <w:rPr>
          <w:lang w:val="en-GB"/>
        </w:rPr>
        <w:t xml:space="preserve"> Carbon offsetting was an action by a company or individual to compensate for their emissions by financing a reduction in emissions elsewhere. As of January</w:t>
      </w:r>
      <w:r>
        <w:rPr>
          <w:lang w:val="en-GB"/>
        </w:rPr>
        <w:t xml:space="preserve"> 1,</w:t>
      </w:r>
      <w:r w:rsidRPr="00D117D6">
        <w:rPr>
          <w:lang w:val="en-GB"/>
        </w:rPr>
        <w:t xml:space="preserve"> 2019, CORSIA mandated that all carriers were required to report their carbon dioxide (CO</w:t>
      </w:r>
      <w:r w:rsidRPr="001C4464">
        <w:rPr>
          <w:vertAlign w:val="subscript"/>
          <w:lang w:val="en-GB"/>
        </w:rPr>
        <w:t>2</w:t>
      </w:r>
      <w:r w:rsidRPr="00D117D6">
        <w:rPr>
          <w:lang w:val="en-GB"/>
        </w:rPr>
        <w:t xml:space="preserve">) emissions on an annual basis. IATA forecast that CORSIA would mitigate around 2.5 billion </w:t>
      </w:r>
      <w:r>
        <w:rPr>
          <w:lang w:val="en-GB"/>
        </w:rPr>
        <w:t>metric tons</w:t>
      </w:r>
      <w:r w:rsidRPr="00D117D6">
        <w:rPr>
          <w:lang w:val="en-GB"/>
        </w:rPr>
        <w:t xml:space="preserve"> of CO</w:t>
      </w:r>
      <w:r w:rsidRPr="001C4464">
        <w:rPr>
          <w:vertAlign w:val="subscript"/>
          <w:lang w:val="en-GB"/>
        </w:rPr>
        <w:t>2</w:t>
      </w:r>
      <w:r>
        <w:rPr>
          <w:lang w:val="en-GB"/>
        </w:rPr>
        <w:t>,</w:t>
      </w:r>
      <w:r w:rsidRPr="00D117D6">
        <w:rPr>
          <w:lang w:val="en-GB"/>
        </w:rPr>
        <w:t xml:space="preserve"> at an annual average of 164 million </w:t>
      </w:r>
      <w:r>
        <w:rPr>
          <w:lang w:val="en-GB"/>
        </w:rPr>
        <w:t>metric tons</w:t>
      </w:r>
      <w:r w:rsidRPr="00D117D6">
        <w:rPr>
          <w:lang w:val="en-GB"/>
        </w:rPr>
        <w:t xml:space="preserve"> of CO</w:t>
      </w:r>
      <w:r w:rsidRPr="001C4464">
        <w:rPr>
          <w:vertAlign w:val="subscript"/>
          <w:lang w:val="en-GB"/>
        </w:rPr>
        <w:t>2</w:t>
      </w:r>
      <w:r>
        <w:rPr>
          <w:lang w:val="en-GB"/>
        </w:rPr>
        <w:t>,</w:t>
      </w:r>
      <w:r w:rsidRPr="00D117D6">
        <w:rPr>
          <w:lang w:val="en-GB"/>
        </w:rPr>
        <w:t xml:space="preserve"> and generate over $40 billion in climate </w:t>
      </w:r>
      <w:r>
        <w:rPr>
          <w:lang w:val="en-GB"/>
        </w:rPr>
        <w:t>financing</w:t>
      </w:r>
      <w:r w:rsidRPr="00D117D6">
        <w:rPr>
          <w:lang w:val="en-GB"/>
        </w:rPr>
        <w:t xml:space="preserve"> between 2021 and 2035. The initiative was pegged to international standards adopted by the </w:t>
      </w:r>
      <w:r>
        <w:rPr>
          <w:lang w:val="en-GB"/>
        </w:rPr>
        <w:t>United Nations</w:t>
      </w:r>
      <w:r w:rsidRPr="00D117D6">
        <w:rPr>
          <w:lang w:val="en-GB"/>
        </w:rPr>
        <w:t xml:space="preserve"> Framework Convention on Climate Change and the Paris Agreement, thus ensuring uniformity in regulation throughout the industry.</w:t>
      </w:r>
      <w:r w:rsidRPr="00D117D6">
        <w:rPr>
          <w:rStyle w:val="EndnoteReference"/>
          <w:lang w:val="en-GB"/>
        </w:rPr>
        <w:endnoteReference w:id="25"/>
      </w:r>
    </w:p>
    <w:p w14:paraId="60847334" w14:textId="77777777" w:rsidR="008E46A6" w:rsidRPr="00D117D6" w:rsidRDefault="008E46A6" w:rsidP="00F7486B">
      <w:pPr>
        <w:pStyle w:val="BodyTextMain"/>
        <w:rPr>
          <w:lang w:val="en-GB"/>
        </w:rPr>
      </w:pPr>
    </w:p>
    <w:p w14:paraId="777BEDF4" w14:textId="76E24DC4" w:rsidR="008E46A6" w:rsidRPr="008213EA" w:rsidRDefault="008E46A6" w:rsidP="00573B98">
      <w:pPr>
        <w:pStyle w:val="BodyTextMain"/>
        <w:rPr>
          <w:spacing w:val="-2"/>
          <w:lang w:val="en-GB"/>
        </w:rPr>
      </w:pPr>
      <w:r w:rsidRPr="008213EA">
        <w:rPr>
          <w:spacing w:val="-2"/>
          <w:lang w:val="en-GB"/>
        </w:rPr>
        <w:t>The relentless expansion of air trade routes among countries would have political implications, especially for developing nations that would leverage their national airlines for economic development and political legitimacy. A 2017 report by the International Civil Aviation Organization (ICAO) applauded air cargo services as a tremendous enabler for economic progress in developing nations, as they would connect markets across countries.</w:t>
      </w:r>
      <w:r w:rsidRPr="008213EA">
        <w:rPr>
          <w:rStyle w:val="EndnoteReference"/>
          <w:spacing w:val="-2"/>
          <w:lang w:val="en-GB"/>
        </w:rPr>
        <w:endnoteReference w:id="26"/>
      </w:r>
      <w:r w:rsidRPr="008213EA">
        <w:rPr>
          <w:spacing w:val="-2"/>
          <w:lang w:val="en-GB"/>
        </w:rPr>
        <w:t xml:space="preserve"> For example, Kenya’s cut-flower industry had supported over 100,000 jobs and 500,000 livelihoods since opening its markets through the air cargo industry. Each year the industry generated $1 billion in foreign exchange, as 90 per cent of fresh horticultural products were air freighted. These air trade routes were enabled by international agreements on the liberalization of airspace. Most notably, America’s Open Skies policy, launched in 1992, had provided operational flexibility for cross-national airline alliances among over 120 partners.</w:t>
      </w:r>
      <w:r w:rsidRPr="008213EA">
        <w:rPr>
          <w:rStyle w:val="EndnoteReference"/>
          <w:spacing w:val="-2"/>
          <w:lang w:val="en-GB"/>
        </w:rPr>
        <w:endnoteReference w:id="27"/>
      </w:r>
      <w:r w:rsidRPr="008213EA">
        <w:rPr>
          <w:spacing w:val="-2"/>
          <w:lang w:val="en-GB"/>
        </w:rPr>
        <w:t xml:space="preserve"> Multilateral agreements had been made, including the 2001 Multilateral Agreement on the Liberalization of International Air Transportation between the United States and New Zealand, Singapore, Brunei, and Chile, later joined by Samoa, Tonga, and Mongolia. These legal frameworks facilitated the cross-border trade and value chain that existed in the air cargo industry and provided economic benefit to the countries involved. For instance, IATA found that open-skies liberalization policies had benefited Singapore by increasing international air traffic by 21 per cent in just one year, from 2007 to 2008, generating SG$921 million</w:t>
      </w:r>
      <w:r w:rsidRPr="008213EA">
        <w:rPr>
          <w:rStyle w:val="EndnoteReference"/>
          <w:spacing w:val="-2"/>
          <w:lang w:val="en-GB"/>
        </w:rPr>
        <w:endnoteReference w:id="28"/>
      </w:r>
      <w:r w:rsidRPr="008213EA">
        <w:rPr>
          <w:spacing w:val="-2"/>
          <w:lang w:val="en-GB"/>
        </w:rPr>
        <w:t xml:space="preserve"> in gross domestic product (GDP).</w:t>
      </w:r>
      <w:r w:rsidRPr="008213EA">
        <w:rPr>
          <w:rStyle w:val="EndnoteReference"/>
          <w:spacing w:val="-2"/>
          <w:lang w:val="en-GB"/>
        </w:rPr>
        <w:endnoteReference w:id="29"/>
      </w:r>
      <w:r w:rsidRPr="008213EA">
        <w:rPr>
          <w:spacing w:val="-2"/>
          <w:lang w:val="en-GB"/>
        </w:rPr>
        <w:t xml:space="preserve"> Another key factor affecting the air cargo industry’s political front was global trade tensions amid increasing populism and protectionism. Since the </w:t>
      </w:r>
      <w:r w:rsidRPr="008213EA">
        <w:rPr>
          <w:spacing w:val="-2"/>
          <w:lang w:val="en-GB"/>
        </w:rPr>
        <w:lastRenderedPageBreak/>
        <w:t xml:space="preserve">intensification of </w:t>
      </w:r>
      <w:bookmarkStart w:id="5" w:name="_Hlk65829770"/>
      <w:r w:rsidRPr="008213EA">
        <w:rPr>
          <w:spacing w:val="-2"/>
          <w:lang w:val="en-GB"/>
        </w:rPr>
        <w:t xml:space="preserve">the China–United States trade war </w:t>
      </w:r>
      <w:bookmarkEnd w:id="5"/>
      <w:r w:rsidRPr="008213EA">
        <w:rPr>
          <w:spacing w:val="-2"/>
          <w:lang w:val="en-GB"/>
        </w:rPr>
        <w:t xml:space="preserve">in early 2019, the air cargo industry had seen a fall in demand, resulting </w:t>
      </w:r>
      <w:bookmarkStart w:id="6" w:name="_Hlk65829802"/>
      <w:r w:rsidRPr="008213EA">
        <w:rPr>
          <w:spacing w:val="-2"/>
          <w:lang w:val="en-GB"/>
        </w:rPr>
        <w:t>in the downward revision of its 2019 growth forecast to zero by IATA</w:t>
      </w:r>
      <w:bookmarkEnd w:id="6"/>
      <w:r w:rsidRPr="008213EA">
        <w:rPr>
          <w:spacing w:val="-2"/>
          <w:lang w:val="en-GB"/>
        </w:rPr>
        <w:t>.</w:t>
      </w:r>
      <w:r w:rsidRPr="008213EA">
        <w:rPr>
          <w:rStyle w:val="EndnoteReference"/>
          <w:spacing w:val="-2"/>
          <w:lang w:val="en-GB"/>
        </w:rPr>
        <w:endnoteReference w:id="30"/>
      </w:r>
      <w:r w:rsidRPr="008213EA">
        <w:rPr>
          <w:spacing w:val="-2"/>
          <w:lang w:val="en-GB"/>
        </w:rPr>
        <w:t xml:space="preserve"> IATA’s director general and chief executive officer (CEO), Alexandre de Juniac, commented on the risk of protectionist policies: “The positive outlook for the rest of 2018 . . . faces some potentially strong headwinds, including escalation of protectionist measures into a full-blown trade war. Prosperity grows when borders are open to people and to trade, and we are all held back when they are not.”</w:t>
      </w:r>
      <w:r w:rsidRPr="008213EA">
        <w:rPr>
          <w:rStyle w:val="EndnoteReference"/>
          <w:spacing w:val="-2"/>
          <w:lang w:val="en-GB"/>
        </w:rPr>
        <w:endnoteReference w:id="31"/>
      </w:r>
    </w:p>
    <w:p w14:paraId="6234D394" w14:textId="77777777" w:rsidR="008E46A6" w:rsidRPr="008213EA" w:rsidRDefault="008E46A6" w:rsidP="00F7486B">
      <w:pPr>
        <w:pStyle w:val="BodyTextMain"/>
        <w:rPr>
          <w:sz w:val="16"/>
          <w:szCs w:val="16"/>
          <w:lang w:val="en-GB"/>
        </w:rPr>
      </w:pPr>
    </w:p>
    <w:p w14:paraId="686499A8" w14:textId="2CE00787" w:rsidR="008E46A6" w:rsidRPr="008213EA" w:rsidRDefault="008E46A6" w:rsidP="00F7486B">
      <w:pPr>
        <w:pStyle w:val="BodyTextMain"/>
        <w:rPr>
          <w:spacing w:val="-2"/>
          <w:lang w:val="en-GB"/>
        </w:rPr>
      </w:pPr>
      <w:r w:rsidRPr="008213EA">
        <w:rPr>
          <w:spacing w:val="-2"/>
          <w:lang w:val="en-GB"/>
        </w:rPr>
        <w:t>Regulatory bodies such as ICAO and IATA had put their pressure on the air cargo industry by increasing regulation on safety for aircraft, passengers, and crew. For instance, IATA Resolution 753 was passed and became effective on June 1, 2018, mandating that airlines should track baggage at four key points in the baggage journey: (a) when the airline acquires the passenger’s bag; (b) when the passenger’s bag is delivered to the aircraft; (c) at custody changes between carriers; and (d) at return to the passenger.</w:t>
      </w:r>
      <w:r w:rsidRPr="008213EA">
        <w:rPr>
          <w:rStyle w:val="EndnoteReference"/>
          <w:spacing w:val="-2"/>
          <w:lang w:val="en-GB"/>
        </w:rPr>
        <w:endnoteReference w:id="32"/>
      </w:r>
      <w:r w:rsidRPr="008213EA">
        <w:rPr>
          <w:spacing w:val="-2"/>
          <w:lang w:val="en-GB"/>
        </w:rPr>
        <w:t xml:space="preserve"> Airlines were required to share the tracking information with their interline journey partners as needed. ICAO had also set in place Annex 18 on the safe transport of goods by air, aimed to safeguard against security and safety mishaps by mandating the handling and inspection of dangerous goods in accordance with stipulated procedures.</w:t>
      </w:r>
      <w:r w:rsidRPr="008213EA">
        <w:rPr>
          <w:rStyle w:val="EndnoteReference"/>
          <w:spacing w:val="-2"/>
          <w:lang w:val="en-GB"/>
        </w:rPr>
        <w:endnoteReference w:id="33"/>
      </w:r>
      <w:r w:rsidRPr="008213EA">
        <w:rPr>
          <w:spacing w:val="-2"/>
          <w:lang w:val="en-GB"/>
        </w:rPr>
        <w:t xml:space="preserve"> The rising costs of compliance with increasing security regulations and data handling had eaten into the profit margin of not only the airlines but also the air cargo service providers. According to Deutsche Lufthansa AG, the mounting regulation had hindered its operational efficiency, as security was a double-edged sword, and its costs of compliance with security regulations had risen tenfold from 2001 to 2012.</w:t>
      </w:r>
      <w:r w:rsidRPr="008213EA">
        <w:rPr>
          <w:rStyle w:val="EndnoteReference"/>
          <w:spacing w:val="-2"/>
          <w:lang w:val="en-GB"/>
        </w:rPr>
        <w:endnoteReference w:id="34"/>
      </w:r>
    </w:p>
    <w:p w14:paraId="7667B126" w14:textId="1FA5C16A" w:rsidR="008E46A6" w:rsidRPr="008213EA" w:rsidRDefault="008E46A6" w:rsidP="00F7486B">
      <w:pPr>
        <w:pStyle w:val="BodyTextMain"/>
        <w:rPr>
          <w:spacing w:val="-2"/>
          <w:sz w:val="16"/>
          <w:szCs w:val="16"/>
          <w:lang w:val="en-GB"/>
        </w:rPr>
      </w:pPr>
    </w:p>
    <w:p w14:paraId="34F9C185" w14:textId="77777777" w:rsidR="008E46A6" w:rsidRPr="008213EA" w:rsidRDefault="008E46A6" w:rsidP="00F7486B">
      <w:pPr>
        <w:pStyle w:val="BodyTextMain"/>
        <w:rPr>
          <w:sz w:val="16"/>
          <w:szCs w:val="16"/>
          <w:lang w:val="en-GB"/>
        </w:rPr>
      </w:pPr>
    </w:p>
    <w:p w14:paraId="0303E6F6" w14:textId="77777777" w:rsidR="008E46A6" w:rsidRPr="00D117D6" w:rsidRDefault="008E46A6" w:rsidP="00F7486B">
      <w:pPr>
        <w:pStyle w:val="Casehead1"/>
        <w:rPr>
          <w:lang w:val="en-GB"/>
        </w:rPr>
      </w:pPr>
      <w:r w:rsidRPr="00D117D6">
        <w:rPr>
          <w:lang w:val="en-GB"/>
        </w:rPr>
        <w:t>SATS</w:t>
      </w:r>
    </w:p>
    <w:p w14:paraId="4E665F85" w14:textId="77777777" w:rsidR="008E46A6" w:rsidRPr="008213EA" w:rsidRDefault="008E46A6" w:rsidP="00F7486B">
      <w:pPr>
        <w:pStyle w:val="BodyTextMain"/>
        <w:rPr>
          <w:sz w:val="16"/>
          <w:szCs w:val="16"/>
          <w:lang w:val="en-GB"/>
        </w:rPr>
      </w:pPr>
    </w:p>
    <w:p w14:paraId="47C00B10" w14:textId="081243D9" w:rsidR="008E46A6" w:rsidRPr="008213EA" w:rsidRDefault="008E46A6" w:rsidP="00F7486B">
      <w:pPr>
        <w:pStyle w:val="BodyTextMain"/>
        <w:rPr>
          <w:spacing w:val="-2"/>
          <w:lang w:val="en-GB"/>
        </w:rPr>
      </w:pPr>
      <w:r w:rsidRPr="008213EA">
        <w:rPr>
          <w:spacing w:val="-2"/>
          <w:lang w:val="en-GB"/>
        </w:rPr>
        <w:t>Headquartered in Singapore, SATS was Asia’s leading provider of food solutions and gateway services. Formally corporatized in 1972 as a part of Singapore Airlines (SIA), SATS became an independent organization after divestment from SIA in 2009. In the financial year (FY) ending in March 2019, SATS posted revenue of SG$1.8 billion, split 64 per cent to 36 per cent between gateway services and food solutions, respectively (see Exhibit 4). While 86 per cent of its revenue was driven by its aviation services, SATS also provided non-aviation services such as commercial catering, cruise terminal management, security, and hospitality services.</w:t>
      </w:r>
      <w:r w:rsidRPr="008213EA">
        <w:rPr>
          <w:rStyle w:val="EndnoteReference"/>
          <w:spacing w:val="-2"/>
          <w:lang w:val="en-GB"/>
        </w:rPr>
        <w:endnoteReference w:id="35"/>
      </w:r>
      <w:r w:rsidRPr="008213EA">
        <w:rPr>
          <w:spacing w:val="-2"/>
          <w:lang w:val="en-GB"/>
        </w:rPr>
        <w:t xml:space="preserve"> By 2019, SATS was serving the majority of airlines that flew out of Singapore, along with major operations in China, Japan, India, and Southeast Asia. In 2016, it was among the top five players in the global airport service market by revenue, with other players in this space including Dubai-based airport service provider Dnata, Switzerland-based and Chinese-owned ground handler Swissport International Ltd., UK-based Menzies Aviation, and US-based </w:t>
      </w:r>
      <w:bookmarkStart w:id="7" w:name="_Hlk65583884"/>
      <w:r w:rsidRPr="008213EA">
        <w:rPr>
          <w:spacing w:val="-2"/>
          <w:lang w:val="en-GB"/>
        </w:rPr>
        <w:t xml:space="preserve">Worldwide Flight Services </w:t>
      </w:r>
      <w:bookmarkEnd w:id="7"/>
      <w:r w:rsidRPr="008213EA">
        <w:rPr>
          <w:spacing w:val="-2"/>
          <w:lang w:val="en-GB"/>
        </w:rPr>
        <w:t>(see Exhibit 5). Together, these operators dominated the global aviation service market, which was projected to grow to $32 billion by 2023.</w:t>
      </w:r>
      <w:r w:rsidRPr="008213EA">
        <w:rPr>
          <w:rStyle w:val="EndnoteReference"/>
          <w:spacing w:val="-2"/>
          <w:lang w:val="en-GB"/>
        </w:rPr>
        <w:endnoteReference w:id="36"/>
      </w:r>
    </w:p>
    <w:p w14:paraId="5A98E7E3" w14:textId="77777777" w:rsidR="008E46A6" w:rsidRPr="008213EA" w:rsidRDefault="008E46A6" w:rsidP="00F7486B">
      <w:pPr>
        <w:pStyle w:val="BodyTextMain"/>
        <w:rPr>
          <w:sz w:val="16"/>
          <w:szCs w:val="16"/>
          <w:lang w:val="en-GB"/>
        </w:rPr>
      </w:pPr>
    </w:p>
    <w:p w14:paraId="04FD2057" w14:textId="65775F49" w:rsidR="008E46A6" w:rsidRPr="00D117D6" w:rsidRDefault="008E46A6" w:rsidP="00F7486B">
      <w:pPr>
        <w:pStyle w:val="BodyTextMain"/>
        <w:rPr>
          <w:lang w:val="en-GB"/>
        </w:rPr>
      </w:pPr>
      <w:r w:rsidRPr="00D117D6">
        <w:rPr>
          <w:lang w:val="en-GB"/>
        </w:rPr>
        <w:t xml:space="preserve">SATS Airport Services, a wholly owned subsidiary of SATS, managed cargo and freight operations. From </w:t>
      </w:r>
      <w:r>
        <w:rPr>
          <w:lang w:val="en-GB"/>
        </w:rPr>
        <w:t>FY</w:t>
      </w:r>
      <w:r w:rsidRPr="00D117D6">
        <w:rPr>
          <w:lang w:val="en-GB"/>
        </w:rPr>
        <w:t xml:space="preserve"> 2014</w:t>
      </w:r>
      <w:r>
        <w:rPr>
          <w:lang w:val="en-GB"/>
        </w:rPr>
        <w:t>–</w:t>
      </w:r>
      <w:r w:rsidRPr="00D117D6">
        <w:rPr>
          <w:lang w:val="en-GB"/>
        </w:rPr>
        <w:t xml:space="preserve">15 to </w:t>
      </w:r>
      <w:r>
        <w:rPr>
          <w:lang w:val="en-GB"/>
        </w:rPr>
        <w:t xml:space="preserve">FY </w:t>
      </w:r>
      <w:r w:rsidRPr="00D117D6">
        <w:rPr>
          <w:lang w:val="en-GB"/>
        </w:rPr>
        <w:t>2017</w:t>
      </w:r>
      <w:r>
        <w:rPr>
          <w:lang w:val="en-GB"/>
        </w:rPr>
        <w:t>–</w:t>
      </w:r>
      <w:r w:rsidRPr="00D117D6">
        <w:rPr>
          <w:lang w:val="en-GB"/>
        </w:rPr>
        <w:t>18, SATS</w:t>
      </w:r>
      <w:r>
        <w:rPr>
          <w:lang w:val="en-GB"/>
        </w:rPr>
        <w:t>’s</w:t>
      </w:r>
      <w:r w:rsidRPr="00D117D6">
        <w:rPr>
          <w:lang w:val="en-GB"/>
        </w:rPr>
        <w:t xml:space="preserve"> cargo operations saw </w:t>
      </w:r>
      <w:r>
        <w:rPr>
          <w:lang w:val="en-GB"/>
        </w:rPr>
        <w:t>a revenue increase of more than</w:t>
      </w:r>
      <w:r w:rsidRPr="00D117D6">
        <w:rPr>
          <w:lang w:val="en-GB"/>
        </w:rPr>
        <w:t xml:space="preserve"> 7 per cent</w:t>
      </w:r>
      <w:r>
        <w:rPr>
          <w:lang w:val="en-GB"/>
        </w:rPr>
        <w:t>—</w:t>
      </w:r>
      <w:r w:rsidRPr="00D117D6">
        <w:rPr>
          <w:lang w:val="en-GB"/>
        </w:rPr>
        <w:t>from SG$697 million to SG$776.5 million</w:t>
      </w:r>
      <w:r>
        <w:rPr>
          <w:lang w:val="en-GB"/>
        </w:rPr>
        <w:t>—</w:t>
      </w:r>
      <w:r w:rsidRPr="00D117D6">
        <w:rPr>
          <w:lang w:val="en-GB"/>
        </w:rPr>
        <w:t>contributing 45 per cent of SATS’</w:t>
      </w:r>
      <w:r>
        <w:rPr>
          <w:lang w:val="en-GB"/>
        </w:rPr>
        <w:t>s</w:t>
      </w:r>
      <w:r w:rsidRPr="00D117D6">
        <w:rPr>
          <w:lang w:val="en-GB"/>
        </w:rPr>
        <w:t xml:space="preserve"> revenue.</w:t>
      </w:r>
      <w:r w:rsidRPr="00D117D6">
        <w:rPr>
          <w:rStyle w:val="EndnoteReference"/>
          <w:lang w:val="en-GB"/>
        </w:rPr>
        <w:endnoteReference w:id="37"/>
      </w:r>
      <w:r w:rsidRPr="00D117D6">
        <w:rPr>
          <w:lang w:val="en-GB"/>
        </w:rPr>
        <w:t xml:space="preserve"> Its operating profit in the same time period rose from SG$39.6 million to SG$78.3 million. In 2014, the company clinched </w:t>
      </w:r>
      <w:r w:rsidRPr="00335786">
        <w:rPr>
          <w:lang w:val="en-GB"/>
        </w:rPr>
        <w:t>the title of “Best Air Cargo Terminal in Asia” at the Asian Freight and Supply Chain Awards</w:t>
      </w:r>
      <w:r w:rsidRPr="00335786" w:rsidDel="00335786">
        <w:rPr>
          <w:lang w:val="en-GB"/>
        </w:rPr>
        <w:t xml:space="preserve"> </w:t>
      </w:r>
      <w:r w:rsidRPr="00D117D6">
        <w:rPr>
          <w:lang w:val="en-GB"/>
        </w:rPr>
        <w:t xml:space="preserve">for the </w:t>
      </w:r>
      <w:r>
        <w:rPr>
          <w:lang w:val="en-GB"/>
        </w:rPr>
        <w:t>16th</w:t>
      </w:r>
      <w:r w:rsidRPr="00D117D6">
        <w:rPr>
          <w:lang w:val="en-GB"/>
        </w:rPr>
        <w:t xml:space="preserve"> time.</w:t>
      </w:r>
      <w:r w:rsidRPr="00D117D6">
        <w:rPr>
          <w:rStyle w:val="EndnoteReference"/>
          <w:lang w:val="en-GB"/>
        </w:rPr>
        <w:endnoteReference w:id="38"/>
      </w:r>
      <w:r w:rsidRPr="00D117D6">
        <w:rPr>
          <w:lang w:val="en-GB"/>
        </w:rPr>
        <w:t xml:space="preserve"> In 2019, with a staff strength of more than 14,000, SATS handled 5.4 million </w:t>
      </w:r>
      <w:r>
        <w:rPr>
          <w:lang w:val="en-GB"/>
        </w:rPr>
        <w:t>metric tons</w:t>
      </w:r>
      <w:r w:rsidRPr="00D117D6">
        <w:rPr>
          <w:lang w:val="en-GB"/>
        </w:rPr>
        <w:t xml:space="preserve"> of cargo and close to 682,000 flights across its various operations </w:t>
      </w:r>
      <w:r>
        <w:rPr>
          <w:lang w:val="en-GB"/>
        </w:rPr>
        <w:t>around</w:t>
      </w:r>
      <w:r w:rsidRPr="00D117D6">
        <w:rPr>
          <w:lang w:val="en-GB"/>
        </w:rPr>
        <w:t xml:space="preserve"> the globe.</w:t>
      </w:r>
      <w:r w:rsidRPr="00D117D6">
        <w:rPr>
          <w:rStyle w:val="EndnoteReference"/>
          <w:lang w:val="en-GB"/>
        </w:rPr>
        <w:endnoteReference w:id="39"/>
      </w:r>
      <w:r>
        <w:rPr>
          <w:lang w:val="en-GB"/>
        </w:rPr>
        <w:t xml:space="preserve"> </w:t>
      </w:r>
      <w:r w:rsidRPr="00D117D6">
        <w:rPr>
          <w:lang w:val="en-GB"/>
        </w:rPr>
        <w:t>Among the resources and capabilities that SATS possessed, its temperature-controlled cargo facility</w:t>
      </w:r>
      <w:r>
        <w:rPr>
          <w:lang w:val="en-GB"/>
        </w:rPr>
        <w:t xml:space="preserve">, </w:t>
      </w:r>
      <w:r w:rsidRPr="00D117D6">
        <w:rPr>
          <w:lang w:val="en-GB"/>
        </w:rPr>
        <w:t>SATS Coolport</w:t>
      </w:r>
      <w:r>
        <w:rPr>
          <w:lang w:val="en-GB"/>
        </w:rPr>
        <w:t>,</w:t>
      </w:r>
      <w:r w:rsidRPr="00D117D6">
        <w:rPr>
          <w:lang w:val="en-GB"/>
        </w:rPr>
        <w:t xml:space="preserve"> stood out prominently as a market leader.</w:t>
      </w:r>
    </w:p>
    <w:p w14:paraId="7DCE5895" w14:textId="3704D60B" w:rsidR="008E46A6" w:rsidRPr="008213EA" w:rsidRDefault="008E46A6" w:rsidP="00F7486B">
      <w:pPr>
        <w:pStyle w:val="BodyTextMain"/>
        <w:rPr>
          <w:rFonts w:eastAsiaTheme="minorEastAsia"/>
          <w:sz w:val="16"/>
          <w:szCs w:val="16"/>
          <w:lang w:val="en-GB"/>
        </w:rPr>
      </w:pPr>
    </w:p>
    <w:p w14:paraId="4F943106" w14:textId="77777777" w:rsidR="008E46A6" w:rsidRPr="008213EA" w:rsidRDefault="008E46A6" w:rsidP="00F7486B">
      <w:pPr>
        <w:pStyle w:val="BodyTextMain"/>
        <w:rPr>
          <w:rFonts w:eastAsiaTheme="minorEastAsia"/>
          <w:sz w:val="16"/>
          <w:szCs w:val="16"/>
          <w:lang w:val="en-GB"/>
        </w:rPr>
      </w:pPr>
    </w:p>
    <w:p w14:paraId="7029480F" w14:textId="5BC1BBA3" w:rsidR="008E46A6" w:rsidRPr="00D117D6" w:rsidRDefault="008E46A6" w:rsidP="00F7486B">
      <w:pPr>
        <w:pStyle w:val="Casehead1"/>
        <w:rPr>
          <w:lang w:val="en-GB"/>
        </w:rPr>
      </w:pPr>
      <w:r w:rsidRPr="00D117D6">
        <w:rPr>
          <w:lang w:val="en-GB"/>
        </w:rPr>
        <w:t xml:space="preserve">RISING DEMAND FOR </w:t>
      </w:r>
      <w:r>
        <w:rPr>
          <w:lang w:val="en-GB"/>
        </w:rPr>
        <w:t xml:space="preserve">A </w:t>
      </w:r>
      <w:r w:rsidRPr="00D117D6">
        <w:rPr>
          <w:lang w:val="en-GB"/>
        </w:rPr>
        <w:t>TEMPERATURE-CONTROLLED FACILITY</w:t>
      </w:r>
    </w:p>
    <w:p w14:paraId="6A815C97" w14:textId="77777777" w:rsidR="008E46A6" w:rsidRPr="008213EA" w:rsidRDefault="008E46A6" w:rsidP="00F7486B">
      <w:pPr>
        <w:pStyle w:val="BodyTextMain"/>
        <w:rPr>
          <w:sz w:val="16"/>
          <w:szCs w:val="16"/>
          <w:lang w:val="en-GB"/>
        </w:rPr>
      </w:pPr>
    </w:p>
    <w:p w14:paraId="725F68A8" w14:textId="49BECB58" w:rsidR="008E46A6" w:rsidRPr="005223BD" w:rsidRDefault="008E46A6" w:rsidP="00231201">
      <w:pPr>
        <w:pStyle w:val="BodyTextMain"/>
        <w:rPr>
          <w:spacing w:val="-2"/>
          <w:lang w:val="en-GB"/>
        </w:rPr>
      </w:pPr>
      <w:r w:rsidRPr="005223BD">
        <w:rPr>
          <w:spacing w:val="-2"/>
          <w:lang w:val="en-GB"/>
        </w:rPr>
        <w:t xml:space="preserve">A series of decisions and deliberations preceded the launch and success of SATS Coolport in 2010, which was achieved mainly through SATS’s commitment to being responsive to industry trends. The facility where SATS Coolport resided had originally been an ordinary freight terminal. The lead-up to its conversion into an </w:t>
      </w:r>
      <w:r w:rsidRPr="005223BD">
        <w:rPr>
          <w:spacing w:val="-2"/>
          <w:lang w:val="en-GB"/>
        </w:rPr>
        <w:lastRenderedPageBreak/>
        <w:t>advanced temperature-controlled warehouse began from a thorough process of formulating future scenarios. On the vision of SATS Coolport, Khoo highlighted the following: “In a nutshell, when we looked into future-planning, with SATS Coolport being one of the examples, it was clear how the future of cargo in terms of commodities or the nature of cargo would evolve. We had to begin to plan ahead and embrace that.”</w:t>
      </w:r>
      <w:r w:rsidRPr="005223BD">
        <w:rPr>
          <w:rStyle w:val="EndnoteReference"/>
          <w:spacing w:val="-2"/>
          <w:lang w:val="en-GB"/>
        </w:rPr>
        <w:endnoteReference w:id="40"/>
      </w:r>
    </w:p>
    <w:p w14:paraId="1350740A" w14:textId="77777777" w:rsidR="008E46A6" w:rsidRPr="008213EA" w:rsidRDefault="008E46A6" w:rsidP="00F7486B">
      <w:pPr>
        <w:pStyle w:val="BodyTextMain"/>
        <w:rPr>
          <w:sz w:val="20"/>
          <w:lang w:val="en-GB"/>
        </w:rPr>
      </w:pPr>
    </w:p>
    <w:p w14:paraId="513EF96E" w14:textId="2F8F5CCC" w:rsidR="008E46A6" w:rsidRPr="008213EA" w:rsidRDefault="008E46A6" w:rsidP="00F7486B">
      <w:pPr>
        <w:pStyle w:val="BodyTextMain"/>
        <w:rPr>
          <w:spacing w:val="-4"/>
          <w:lang w:val="en-GB"/>
        </w:rPr>
      </w:pPr>
      <w:r w:rsidRPr="008213EA">
        <w:rPr>
          <w:spacing w:val="-4"/>
          <w:lang w:val="en-GB"/>
        </w:rPr>
        <w:t>At the turn of the second millennium, the economic imperative in Singapore’s development had started to shift away from low value-added manufacturing toward an economy driven by high value-added knowledge production. Most notably, the pharmaceutical and biomedical industries were identified as new domains that would accrue Singapore the high-value growth it desired. The country aimed to be the hub of biomedical sciences in Asia and beyond. As a testament to this ambition, in 2003 it started to build and develop, in several phases, a 185,000-square-metre complex of offices and laboratories dedicated to the development of these industries. The SG$500 million complex, fittingly called Biopolis, housed an international cast of leading biomedical and pharmaceutical companies.</w:t>
      </w:r>
      <w:r w:rsidRPr="008213EA">
        <w:rPr>
          <w:rStyle w:val="EndnoteReference"/>
          <w:spacing w:val="-4"/>
          <w:lang w:val="en-GB"/>
        </w:rPr>
        <w:endnoteReference w:id="41"/>
      </w:r>
      <w:r w:rsidRPr="008213EA">
        <w:rPr>
          <w:spacing w:val="-4"/>
          <w:lang w:val="en-GB"/>
        </w:rPr>
        <w:t xml:space="preserve"> In 2007, the pharmaceutical and biomedical industries contributed SG$2.6 billion to Singapore’s manufacturing output and generated more than 7,300 jobs.</w:t>
      </w:r>
      <w:r w:rsidRPr="008213EA">
        <w:rPr>
          <w:rStyle w:val="EndnoteReference"/>
          <w:spacing w:val="-4"/>
          <w:lang w:val="en-GB"/>
        </w:rPr>
        <w:endnoteReference w:id="42"/>
      </w:r>
      <w:r w:rsidRPr="008213EA">
        <w:rPr>
          <w:spacing w:val="-4"/>
          <w:lang w:val="en-GB"/>
        </w:rPr>
        <w:t xml:space="preserve"> By 2018, the industry’s exports were valued at SG$11 billion, accounting for almost 2 per cent of Singapore’s total exports.</w:t>
      </w:r>
      <w:r w:rsidRPr="008213EA">
        <w:rPr>
          <w:rStyle w:val="EndnoteReference"/>
          <w:spacing w:val="-4"/>
          <w:lang w:val="en-GB"/>
        </w:rPr>
        <w:endnoteReference w:id="43"/>
      </w:r>
    </w:p>
    <w:p w14:paraId="27FF0ECF" w14:textId="77777777" w:rsidR="008E46A6" w:rsidRPr="008213EA" w:rsidRDefault="008E46A6" w:rsidP="00F7486B">
      <w:pPr>
        <w:pStyle w:val="BodyTextMain"/>
        <w:rPr>
          <w:sz w:val="20"/>
          <w:lang w:val="en-GB"/>
        </w:rPr>
      </w:pPr>
    </w:p>
    <w:p w14:paraId="77F3C94C" w14:textId="580D8ECB" w:rsidR="008E46A6" w:rsidRPr="00D117D6" w:rsidRDefault="008E46A6" w:rsidP="00F7486B">
      <w:pPr>
        <w:pStyle w:val="BodyTextMain"/>
        <w:rPr>
          <w:lang w:val="en-GB"/>
        </w:rPr>
      </w:pPr>
      <w:r w:rsidRPr="00D117D6">
        <w:rPr>
          <w:lang w:val="en-GB"/>
        </w:rPr>
        <w:t>In the industries’ nascent years in the late 2000s, the demand for specialized logistical functions had much potential to grow alongside the burgeoning industries. Various pharmaceutical and biomedical products required careful handling and precise temperature control to prevent perishing, thereby creating the potential for cold</w:t>
      </w:r>
      <w:r>
        <w:rPr>
          <w:lang w:val="en-GB"/>
        </w:rPr>
        <w:t xml:space="preserve"> </w:t>
      </w:r>
      <w:r w:rsidRPr="00D117D6">
        <w:rPr>
          <w:lang w:val="en-GB"/>
        </w:rPr>
        <w:t>chain solutions along the delivery journey. With industry growth on the horizon and the inkling of a market gap that the logistics and cargo industry could address, SATS envisioned its market positioning in this future scenario.</w:t>
      </w:r>
    </w:p>
    <w:p w14:paraId="21C7A84B" w14:textId="77777777" w:rsidR="008E46A6" w:rsidRPr="008213EA" w:rsidRDefault="008E46A6" w:rsidP="00F7486B">
      <w:pPr>
        <w:pStyle w:val="BodyTextMain"/>
        <w:rPr>
          <w:sz w:val="20"/>
          <w:lang w:val="en-GB"/>
        </w:rPr>
      </w:pPr>
    </w:p>
    <w:p w14:paraId="5E7E6EBB" w14:textId="3F712842" w:rsidR="008E46A6" w:rsidRPr="00D117D6" w:rsidRDefault="008E46A6" w:rsidP="00F7486B">
      <w:pPr>
        <w:pStyle w:val="BodyTextMain"/>
        <w:rPr>
          <w:lang w:val="en-GB"/>
        </w:rPr>
      </w:pPr>
      <w:r w:rsidRPr="00D117D6">
        <w:rPr>
          <w:lang w:val="en-GB"/>
        </w:rPr>
        <w:t>What eventually culminated in 2010 was the opening of SATS’</w:t>
      </w:r>
      <w:r>
        <w:rPr>
          <w:lang w:val="en-GB"/>
        </w:rPr>
        <w:t>s</w:t>
      </w:r>
      <w:r w:rsidRPr="00D117D6">
        <w:rPr>
          <w:lang w:val="en-GB"/>
        </w:rPr>
        <w:t xml:space="preserve"> temperature-controlled cargo terminal, SATS Coolport, which proved to be of significant contribution to the company.</w:t>
      </w:r>
      <w:r w:rsidRPr="00D117D6">
        <w:rPr>
          <w:rStyle w:val="EndnoteReference"/>
          <w:lang w:val="en-GB"/>
        </w:rPr>
        <w:endnoteReference w:id="44"/>
      </w:r>
      <w:r w:rsidRPr="00D117D6">
        <w:rPr>
          <w:lang w:val="en-GB"/>
        </w:rPr>
        <w:t xml:space="preserve"> The facility</w:t>
      </w:r>
      <w:r>
        <w:rPr>
          <w:lang w:val="en-GB"/>
        </w:rPr>
        <w:t>, which</w:t>
      </w:r>
      <w:r w:rsidRPr="00D117D6">
        <w:rPr>
          <w:lang w:val="en-GB"/>
        </w:rPr>
        <w:t xml:space="preserve"> boasted 18 cold rooms with four temperature zones</w:t>
      </w:r>
      <w:r>
        <w:rPr>
          <w:lang w:val="en-GB"/>
        </w:rPr>
        <w:t>,</w:t>
      </w:r>
      <w:r w:rsidRPr="00D117D6">
        <w:rPr>
          <w:lang w:val="en-GB"/>
        </w:rPr>
        <w:t xml:space="preserve"> earned a suite of certifications and international awards. For instance, in 2014</w:t>
      </w:r>
      <w:r>
        <w:rPr>
          <w:lang w:val="en-GB"/>
        </w:rPr>
        <w:t>,</w:t>
      </w:r>
      <w:r w:rsidRPr="00D117D6">
        <w:rPr>
          <w:lang w:val="en-GB"/>
        </w:rPr>
        <w:t xml:space="preserve"> it was the first temperature-sensitive facility in the world to receive IATA’s Certified Center of Excellence in Pharmaceutical Handling.</w:t>
      </w:r>
      <w:r w:rsidRPr="00D117D6">
        <w:rPr>
          <w:rStyle w:val="EndnoteReference"/>
          <w:lang w:val="en-GB"/>
        </w:rPr>
        <w:endnoteReference w:id="45"/>
      </w:r>
      <w:r w:rsidRPr="00D117D6">
        <w:rPr>
          <w:lang w:val="en-GB"/>
        </w:rPr>
        <w:t xml:space="preserve"> By 2018, the company recognized that the high value added by the specialized </w:t>
      </w:r>
      <w:r>
        <w:rPr>
          <w:lang w:val="en-GB"/>
        </w:rPr>
        <w:t xml:space="preserve">SATS </w:t>
      </w:r>
      <w:r w:rsidRPr="00D117D6">
        <w:rPr>
          <w:lang w:val="en-GB"/>
        </w:rPr>
        <w:t>Coolport facility would be a key driver for new freight volumes.</w:t>
      </w:r>
      <w:r w:rsidRPr="00D117D6">
        <w:rPr>
          <w:rStyle w:val="EndnoteReference"/>
          <w:lang w:val="en-GB"/>
        </w:rPr>
        <w:endnoteReference w:id="46"/>
      </w:r>
      <w:r w:rsidRPr="00D117D6">
        <w:rPr>
          <w:lang w:val="en-GB"/>
        </w:rPr>
        <w:t xml:space="preserve"> The company generated SG$776.5 million </w:t>
      </w:r>
      <w:r>
        <w:rPr>
          <w:lang w:val="en-GB"/>
        </w:rPr>
        <w:t xml:space="preserve">in </w:t>
      </w:r>
      <w:r w:rsidRPr="00D117D6">
        <w:rPr>
          <w:lang w:val="en-GB"/>
        </w:rPr>
        <w:t>revenue from its cargo operations, up 2.9 per cent from the previous financial period. The cargo handled by the facility had more than doubled since its inception</w:t>
      </w:r>
      <w:r>
        <w:rPr>
          <w:lang w:val="en-GB"/>
        </w:rPr>
        <w:t>—</w:t>
      </w:r>
      <w:r w:rsidRPr="00D117D6">
        <w:rPr>
          <w:lang w:val="en-GB"/>
        </w:rPr>
        <w:t xml:space="preserve">from 130,000 </w:t>
      </w:r>
      <w:r>
        <w:rPr>
          <w:lang w:val="en-GB"/>
        </w:rPr>
        <w:t>metric tons</w:t>
      </w:r>
      <w:r w:rsidRPr="00D117D6">
        <w:rPr>
          <w:lang w:val="en-GB"/>
        </w:rPr>
        <w:t xml:space="preserve"> in 2010 to over 300,000 </w:t>
      </w:r>
      <w:r>
        <w:rPr>
          <w:lang w:val="en-GB"/>
        </w:rPr>
        <w:t>metric tons</w:t>
      </w:r>
      <w:r w:rsidRPr="00D117D6">
        <w:rPr>
          <w:lang w:val="en-GB"/>
        </w:rPr>
        <w:t xml:space="preserve"> in 2019.</w:t>
      </w:r>
    </w:p>
    <w:p w14:paraId="46B59253" w14:textId="77777777" w:rsidR="008E46A6" w:rsidRPr="008213EA" w:rsidRDefault="008E46A6" w:rsidP="00F7486B">
      <w:pPr>
        <w:pStyle w:val="BodyTextMain"/>
        <w:rPr>
          <w:sz w:val="20"/>
          <w:lang w:val="en-GB"/>
        </w:rPr>
      </w:pPr>
    </w:p>
    <w:p w14:paraId="336ADB2B" w14:textId="208F5E02" w:rsidR="008E46A6" w:rsidRPr="00D117D6" w:rsidRDefault="008E46A6" w:rsidP="00F7486B">
      <w:pPr>
        <w:pStyle w:val="BodyTextMain"/>
        <w:rPr>
          <w:lang w:val="en-GB"/>
        </w:rPr>
      </w:pPr>
      <w:r w:rsidRPr="00D117D6">
        <w:rPr>
          <w:lang w:val="en-GB"/>
        </w:rPr>
        <w:t>Building upon the success of SATS Coolport in Singapore, SATS came up with two overseas Coolport facilities in India and Saudi Arabia. SATS and Air India formed a 50</w:t>
      </w:r>
      <w:r>
        <w:rPr>
          <w:lang w:val="en-GB"/>
        </w:rPr>
        <w:t>/</w:t>
      </w:r>
      <w:r w:rsidRPr="00D117D6">
        <w:rPr>
          <w:lang w:val="en-GB"/>
        </w:rPr>
        <w:t xml:space="preserve">50 joint venture, Air India SATS Airport Services </w:t>
      </w:r>
      <w:r>
        <w:rPr>
          <w:lang w:val="en-GB"/>
        </w:rPr>
        <w:t>Private Limited</w:t>
      </w:r>
      <w:r w:rsidRPr="00D117D6">
        <w:rPr>
          <w:lang w:val="en-GB"/>
        </w:rPr>
        <w:t xml:space="preserve"> (AISATS)</w:t>
      </w:r>
      <w:r>
        <w:rPr>
          <w:lang w:val="en-GB"/>
        </w:rPr>
        <w:t>,</w:t>
      </w:r>
      <w:r w:rsidRPr="00D117D6">
        <w:rPr>
          <w:lang w:val="en-GB"/>
        </w:rPr>
        <w:t xml:space="preserve"> to build India’s first integrated on-airport perishable cargo handling centre</w:t>
      </w:r>
      <w:r>
        <w:rPr>
          <w:lang w:val="en-GB"/>
        </w:rPr>
        <w:t>,</w:t>
      </w:r>
      <w:r w:rsidRPr="00D117D6">
        <w:rPr>
          <w:lang w:val="en-GB"/>
        </w:rPr>
        <w:t xml:space="preserve"> ASIATS </w:t>
      </w:r>
      <w:r>
        <w:rPr>
          <w:lang w:val="en-GB"/>
        </w:rPr>
        <w:t>Coolport</w:t>
      </w:r>
      <w:r w:rsidRPr="00D117D6">
        <w:rPr>
          <w:lang w:val="en-GB"/>
        </w:rPr>
        <w:t>. The centre started operations in October 2016 at the Kempegowda International Airport</w:t>
      </w:r>
      <w:r>
        <w:rPr>
          <w:lang w:val="en-GB"/>
        </w:rPr>
        <w:t>, Bangalore</w:t>
      </w:r>
      <w:r w:rsidRPr="00D117D6">
        <w:rPr>
          <w:lang w:val="en-GB"/>
        </w:rPr>
        <w:t>.</w:t>
      </w:r>
      <w:r w:rsidRPr="00D117D6">
        <w:rPr>
          <w:rStyle w:val="EndnoteReference"/>
          <w:lang w:val="en-GB"/>
        </w:rPr>
        <w:endnoteReference w:id="47"/>
      </w:r>
      <w:r w:rsidRPr="00D117D6">
        <w:rPr>
          <w:lang w:val="en-GB"/>
        </w:rPr>
        <w:t xml:space="preserve"> With a 11,000</w:t>
      </w:r>
      <w:r>
        <w:rPr>
          <w:lang w:val="en-GB"/>
        </w:rPr>
        <w:t>-square-metre</w:t>
      </w:r>
      <w:r w:rsidRPr="00D117D6">
        <w:rPr>
          <w:lang w:val="en-GB"/>
        </w:rPr>
        <w:t xml:space="preserve"> facility, the centre had a specialized cargo handling capacity of 40,000 </w:t>
      </w:r>
      <w:r>
        <w:rPr>
          <w:lang w:val="en-GB"/>
        </w:rPr>
        <w:t>metric tons</w:t>
      </w:r>
      <w:r w:rsidRPr="00D117D6">
        <w:rPr>
          <w:lang w:val="en-GB"/>
        </w:rPr>
        <w:t xml:space="preserve"> per annum, offering cold storage solutions with 17 dedicated cold rooms of adjustable temperatures ranging from </w:t>
      </w:r>
      <w:r>
        <w:rPr>
          <w:rFonts w:ascii="Arial" w:hAnsi="Arial" w:cs="Arial"/>
          <w:lang w:val="en-GB"/>
        </w:rPr>
        <w:t>−</w:t>
      </w:r>
      <w:r w:rsidRPr="00D117D6">
        <w:rPr>
          <w:lang w:val="en-GB"/>
        </w:rPr>
        <w:t xml:space="preserve">25℃ to </w:t>
      </w:r>
      <w:r>
        <w:rPr>
          <w:lang w:val="en-GB"/>
        </w:rPr>
        <w:t>+</w:t>
      </w:r>
      <w:r w:rsidRPr="00D117D6">
        <w:rPr>
          <w:lang w:val="en-GB"/>
        </w:rPr>
        <w:t xml:space="preserve">25℃. </w:t>
      </w:r>
      <w:r>
        <w:rPr>
          <w:lang w:val="en-GB"/>
        </w:rPr>
        <w:t xml:space="preserve">In August 2016, SATS </w:t>
      </w:r>
      <w:r w:rsidRPr="00D117D6">
        <w:rPr>
          <w:lang w:val="en-GB"/>
        </w:rPr>
        <w:t xml:space="preserve">won </w:t>
      </w:r>
      <w:r>
        <w:rPr>
          <w:lang w:val="en-GB"/>
        </w:rPr>
        <w:t>an</w:t>
      </w:r>
      <w:r w:rsidRPr="00D117D6">
        <w:rPr>
          <w:lang w:val="en-GB"/>
        </w:rPr>
        <w:t xml:space="preserve"> award </w:t>
      </w:r>
      <w:r>
        <w:rPr>
          <w:lang w:val="en-GB"/>
        </w:rPr>
        <w:t xml:space="preserve">in Saudi Arabia </w:t>
      </w:r>
      <w:r w:rsidRPr="00D117D6">
        <w:rPr>
          <w:lang w:val="en-GB"/>
        </w:rPr>
        <w:t>to build and operate a new SG$40 million 20,000</w:t>
      </w:r>
      <w:r>
        <w:rPr>
          <w:lang w:val="en-GB"/>
        </w:rPr>
        <w:t>-square-metre</w:t>
      </w:r>
      <w:r w:rsidRPr="00D117D6">
        <w:rPr>
          <w:lang w:val="en-GB"/>
        </w:rPr>
        <w:t xml:space="preserve"> cargo terminal at King Fahd International Airport</w:t>
      </w:r>
      <w:r>
        <w:rPr>
          <w:lang w:val="en-GB"/>
        </w:rPr>
        <w:t xml:space="preserve">, which would have </w:t>
      </w:r>
      <w:r w:rsidRPr="00D117D6">
        <w:rPr>
          <w:lang w:val="en-GB"/>
        </w:rPr>
        <w:t xml:space="preserve">a facility of handling 150,000 </w:t>
      </w:r>
      <w:r>
        <w:rPr>
          <w:lang w:val="en-GB"/>
        </w:rPr>
        <w:t>metric tons</w:t>
      </w:r>
      <w:r w:rsidRPr="00D117D6">
        <w:rPr>
          <w:lang w:val="en-GB"/>
        </w:rPr>
        <w:t xml:space="preserve"> of cargo annually.</w:t>
      </w:r>
    </w:p>
    <w:p w14:paraId="2566D54B" w14:textId="2D75B615" w:rsidR="008E46A6" w:rsidRPr="008213EA" w:rsidRDefault="008E46A6" w:rsidP="00F7486B">
      <w:pPr>
        <w:pStyle w:val="BodyTextMain"/>
        <w:rPr>
          <w:sz w:val="20"/>
          <w:lang w:val="en-GB"/>
        </w:rPr>
      </w:pPr>
    </w:p>
    <w:p w14:paraId="17D721BE" w14:textId="77777777" w:rsidR="008E46A6" w:rsidRPr="008213EA" w:rsidRDefault="008E46A6" w:rsidP="00F7486B">
      <w:pPr>
        <w:pStyle w:val="BodyTextMain"/>
        <w:rPr>
          <w:sz w:val="20"/>
          <w:lang w:val="en-GB"/>
        </w:rPr>
      </w:pPr>
    </w:p>
    <w:p w14:paraId="75115B76" w14:textId="77777777" w:rsidR="008E46A6" w:rsidRPr="00D117D6" w:rsidRDefault="008E46A6" w:rsidP="00F7486B">
      <w:pPr>
        <w:pStyle w:val="BodyTextMain"/>
        <w:rPr>
          <w:rFonts w:ascii="Arial" w:hAnsi="Arial" w:cs="Arial"/>
          <w:b/>
          <w:bCs/>
          <w:sz w:val="20"/>
          <w:szCs w:val="20"/>
          <w:lang w:val="en-GB"/>
        </w:rPr>
      </w:pPr>
      <w:r w:rsidRPr="00D117D6">
        <w:rPr>
          <w:rFonts w:ascii="Arial" w:hAnsi="Arial" w:cs="Arial"/>
          <w:b/>
          <w:bCs/>
          <w:sz w:val="20"/>
          <w:szCs w:val="20"/>
          <w:lang w:val="en-GB"/>
        </w:rPr>
        <w:t>GEARING FOR GROWTH</w:t>
      </w:r>
    </w:p>
    <w:p w14:paraId="40B1DBDC" w14:textId="77777777" w:rsidR="008E46A6" w:rsidRPr="008213EA" w:rsidRDefault="008E46A6" w:rsidP="00F7486B">
      <w:pPr>
        <w:pStyle w:val="BodyTextMain"/>
        <w:rPr>
          <w:sz w:val="20"/>
          <w:lang w:val="en-GB"/>
        </w:rPr>
      </w:pPr>
    </w:p>
    <w:p w14:paraId="35EEA711" w14:textId="29E7B974" w:rsidR="008E46A6" w:rsidRPr="008213EA" w:rsidRDefault="008E46A6" w:rsidP="00F7486B">
      <w:pPr>
        <w:pStyle w:val="BodyTextMain"/>
        <w:rPr>
          <w:spacing w:val="-2"/>
          <w:lang w:val="en-GB"/>
        </w:rPr>
      </w:pPr>
      <w:r w:rsidRPr="008213EA">
        <w:rPr>
          <w:spacing w:val="-2"/>
          <w:lang w:val="en-GB"/>
        </w:rPr>
        <w:t>Expanding their presence beyond Singapore was at the forefront of SATS’s growth strategies. Through collaboration with other ground handlers in key markets, SATS had extensive operations in over 60 locations across 13 countries in Asia in 2018.</w:t>
      </w:r>
      <w:r w:rsidRPr="008213EA">
        <w:rPr>
          <w:rStyle w:val="EndnoteReference"/>
          <w:spacing w:val="-2"/>
          <w:lang w:val="en-GB"/>
        </w:rPr>
        <w:endnoteReference w:id="48"/>
      </w:r>
      <w:r w:rsidRPr="008213EA">
        <w:rPr>
          <w:spacing w:val="-2"/>
          <w:lang w:val="en-GB"/>
        </w:rPr>
        <w:t xml:space="preserve"> For example, SATS partnered with AirAsia </w:t>
      </w:r>
      <w:r w:rsidRPr="008213EA">
        <w:rPr>
          <w:spacing w:val="-2"/>
        </w:rPr>
        <w:t>Berhad</w:t>
      </w:r>
      <w:r w:rsidRPr="008213EA">
        <w:rPr>
          <w:spacing w:val="-2"/>
          <w:lang w:val="en-GB"/>
        </w:rPr>
        <w:t xml:space="preserve"> in 2017 to provide </w:t>
      </w:r>
      <w:r w:rsidRPr="008213EA">
        <w:rPr>
          <w:spacing w:val="-2"/>
          <w:lang w:val="en-GB"/>
        </w:rPr>
        <w:lastRenderedPageBreak/>
        <w:t>ground handling services in fast-growing countries in Southeast Asia such as Indonesia and Malaysia (see Exhibit 6). In SATS’s annual report for 2017–18, Alex Hungate, president and CEO of SATS, announced,</w:t>
      </w:r>
    </w:p>
    <w:p w14:paraId="489E99B3" w14:textId="77777777" w:rsidR="008E46A6" w:rsidRPr="00D117D6" w:rsidRDefault="008E46A6" w:rsidP="00F7486B">
      <w:pPr>
        <w:pStyle w:val="BodyTextMain"/>
        <w:rPr>
          <w:lang w:val="en-GB"/>
        </w:rPr>
      </w:pPr>
    </w:p>
    <w:p w14:paraId="1F8C11EB" w14:textId="77777777" w:rsidR="008E46A6" w:rsidRPr="00D117D6" w:rsidRDefault="008E46A6" w:rsidP="00F7486B">
      <w:pPr>
        <w:pStyle w:val="BodyTextMain"/>
        <w:ind w:left="720"/>
        <w:rPr>
          <w:lang w:val="en-GB"/>
        </w:rPr>
      </w:pPr>
      <w:r w:rsidRPr="00D117D6">
        <w:rPr>
          <w:lang w:val="en-GB"/>
        </w:rPr>
        <w:t>Global air travel continues on a growth trajectory. It is projected to double by 2035 and Asia will be the biggest driver of that demand. With our vision to feed and connect Asia, SATS will continue to invest in technology and our people. We will continue to expand both locally and into overseas markets to build scale and capabilities that enable our customers, partners, and ourselves to harness opportunities for growth.</w:t>
      </w:r>
      <w:r w:rsidRPr="00D117D6">
        <w:rPr>
          <w:rStyle w:val="EndnoteReference"/>
          <w:lang w:val="en-GB"/>
        </w:rPr>
        <w:endnoteReference w:id="49"/>
      </w:r>
    </w:p>
    <w:p w14:paraId="1EBD48C6" w14:textId="77777777" w:rsidR="008E46A6" w:rsidRPr="00D117D6" w:rsidRDefault="008E46A6" w:rsidP="00F7486B">
      <w:pPr>
        <w:pStyle w:val="BodyTextMain"/>
        <w:rPr>
          <w:lang w:val="en-GB"/>
        </w:rPr>
      </w:pPr>
    </w:p>
    <w:p w14:paraId="5B981692" w14:textId="39C26B96" w:rsidR="008E46A6" w:rsidRPr="00D117D6" w:rsidRDefault="008E46A6" w:rsidP="00F7486B">
      <w:pPr>
        <w:pStyle w:val="BodyTextMain"/>
        <w:rPr>
          <w:lang w:val="en-GB"/>
        </w:rPr>
      </w:pPr>
      <w:r w:rsidRPr="00D117D6">
        <w:rPr>
          <w:lang w:val="en-GB"/>
        </w:rPr>
        <w:t xml:space="preserve">The strategy to expand its network across Asia showed steady progress, with international operations contributing 37 per cent of its overall revenue for </w:t>
      </w:r>
      <w:r>
        <w:rPr>
          <w:lang w:val="en-GB"/>
        </w:rPr>
        <w:t>FY 2018–19</w:t>
      </w:r>
      <w:r w:rsidRPr="00D117D6">
        <w:rPr>
          <w:lang w:val="en-GB"/>
        </w:rPr>
        <w:t>.</w:t>
      </w:r>
      <w:r w:rsidRPr="00D117D6">
        <w:rPr>
          <w:rStyle w:val="EndnoteReference"/>
          <w:lang w:val="en-GB"/>
        </w:rPr>
        <w:endnoteReference w:id="50"/>
      </w:r>
      <w:r w:rsidRPr="00D117D6">
        <w:rPr>
          <w:lang w:val="en-GB"/>
        </w:rPr>
        <w:t xml:space="preserve"> The top overseas markets were China and Japan, accounting for 11 </w:t>
      </w:r>
      <w:r>
        <w:rPr>
          <w:lang w:val="en-GB"/>
        </w:rPr>
        <w:t xml:space="preserve">per cent </w:t>
      </w:r>
      <w:r w:rsidRPr="00D117D6">
        <w:rPr>
          <w:lang w:val="en-GB"/>
        </w:rPr>
        <w:t>and 10 per cent of its annual revenue</w:t>
      </w:r>
      <w:r>
        <w:rPr>
          <w:lang w:val="en-GB"/>
        </w:rPr>
        <w:t>, respectively</w:t>
      </w:r>
      <w:r w:rsidRPr="00D117D6">
        <w:rPr>
          <w:lang w:val="en-GB"/>
        </w:rPr>
        <w:t xml:space="preserve"> (</w:t>
      </w:r>
      <w:r>
        <w:rPr>
          <w:lang w:val="en-GB"/>
        </w:rPr>
        <w:t>see</w:t>
      </w:r>
      <w:r w:rsidRPr="00D117D6">
        <w:rPr>
          <w:lang w:val="en-GB"/>
        </w:rPr>
        <w:t xml:space="preserve"> Exhibit 7).</w:t>
      </w:r>
    </w:p>
    <w:p w14:paraId="5F09B3CD" w14:textId="77777777" w:rsidR="008E46A6" w:rsidRPr="00D117D6" w:rsidRDefault="008E46A6" w:rsidP="00F7486B">
      <w:pPr>
        <w:pStyle w:val="BodyTextMain"/>
        <w:rPr>
          <w:lang w:val="en-GB"/>
        </w:rPr>
      </w:pPr>
    </w:p>
    <w:p w14:paraId="74A6D3B3" w14:textId="0F703641" w:rsidR="008E46A6" w:rsidRDefault="008E46A6" w:rsidP="00F7486B">
      <w:pPr>
        <w:pStyle w:val="BodyTextMain"/>
        <w:rPr>
          <w:lang w:val="en-GB"/>
        </w:rPr>
      </w:pPr>
      <w:r w:rsidRPr="00D117D6">
        <w:rPr>
          <w:lang w:val="en-GB"/>
        </w:rPr>
        <w:t>As the company scanned the horizon for new growth opportunities, these two markets came onto the radar.</w:t>
      </w:r>
    </w:p>
    <w:p w14:paraId="5EDE226B" w14:textId="77777777" w:rsidR="008E46A6" w:rsidRPr="00D117D6" w:rsidRDefault="008E46A6" w:rsidP="00F7486B">
      <w:pPr>
        <w:pStyle w:val="BodyTextMain"/>
        <w:rPr>
          <w:lang w:val="en-GB"/>
        </w:rPr>
      </w:pPr>
    </w:p>
    <w:p w14:paraId="496860B0" w14:textId="77777777" w:rsidR="008E46A6" w:rsidRPr="00D117D6" w:rsidRDefault="008E46A6" w:rsidP="00F7486B">
      <w:pPr>
        <w:pStyle w:val="BodyTextMain"/>
        <w:rPr>
          <w:lang w:val="en-GB"/>
        </w:rPr>
      </w:pPr>
    </w:p>
    <w:p w14:paraId="3F14731D" w14:textId="211B410E" w:rsidR="008E46A6" w:rsidRPr="00D117D6" w:rsidRDefault="008E46A6" w:rsidP="00F7486B">
      <w:pPr>
        <w:pStyle w:val="Casehead2"/>
        <w:rPr>
          <w:lang w:val="en-GB"/>
        </w:rPr>
      </w:pPr>
      <w:r w:rsidRPr="00D117D6">
        <w:rPr>
          <w:lang w:val="en-GB"/>
        </w:rPr>
        <w:t>China</w:t>
      </w:r>
    </w:p>
    <w:p w14:paraId="1BFEA11D" w14:textId="77777777" w:rsidR="008E46A6" w:rsidRPr="00D117D6" w:rsidRDefault="008E46A6" w:rsidP="00F7486B">
      <w:pPr>
        <w:pStyle w:val="BodyTextMain"/>
        <w:rPr>
          <w:lang w:val="en-GB"/>
        </w:rPr>
      </w:pPr>
    </w:p>
    <w:p w14:paraId="0E90E765" w14:textId="72A6282A" w:rsidR="008E46A6" w:rsidRPr="00D117D6" w:rsidRDefault="008E46A6" w:rsidP="00F7486B">
      <w:pPr>
        <w:pStyle w:val="BodyTextMain"/>
        <w:rPr>
          <w:lang w:val="en-GB"/>
        </w:rPr>
      </w:pPr>
      <w:r w:rsidRPr="00D117D6">
        <w:rPr>
          <w:lang w:val="en-GB"/>
        </w:rPr>
        <w:t xml:space="preserve">In 2019, SATS formed two joint ventures to invest </w:t>
      </w:r>
      <w:r>
        <w:rPr>
          <w:lang w:val="en-GB"/>
        </w:rPr>
        <w:t>¥</w:t>
      </w:r>
      <w:r w:rsidRPr="00D117D6">
        <w:rPr>
          <w:lang w:val="en-GB"/>
        </w:rPr>
        <w:t>136 millio</w:t>
      </w:r>
      <w:r>
        <w:rPr>
          <w:lang w:val="en-GB"/>
        </w:rPr>
        <w:t>n</w:t>
      </w:r>
      <w:r>
        <w:rPr>
          <w:rStyle w:val="EndnoteReference"/>
          <w:lang w:val="en-GB"/>
        </w:rPr>
        <w:endnoteReference w:id="51"/>
      </w:r>
      <w:r w:rsidRPr="00D117D6">
        <w:rPr>
          <w:lang w:val="en-GB"/>
        </w:rPr>
        <w:t xml:space="preserve"> to develop its business in China.</w:t>
      </w:r>
      <w:r w:rsidRPr="00D117D6">
        <w:rPr>
          <w:rStyle w:val="EndnoteReference"/>
          <w:lang w:val="en-GB"/>
        </w:rPr>
        <w:endnoteReference w:id="52"/>
      </w:r>
      <w:r w:rsidRPr="00D117D6">
        <w:rPr>
          <w:lang w:val="en-GB"/>
        </w:rPr>
        <w:t xml:space="preserve"> In the first joint venture with Capital </w:t>
      </w:r>
      <w:r>
        <w:rPr>
          <w:lang w:val="en-GB"/>
        </w:rPr>
        <w:t>Airport</w:t>
      </w:r>
      <w:r w:rsidRPr="00D117D6">
        <w:rPr>
          <w:lang w:val="en-GB"/>
        </w:rPr>
        <w:t xml:space="preserve"> Holding Company (CAH), SATS subscribed</w:t>
      </w:r>
      <w:r>
        <w:rPr>
          <w:lang w:val="en-GB"/>
        </w:rPr>
        <w:t xml:space="preserve"> to</w:t>
      </w:r>
      <w:r w:rsidRPr="00D117D6">
        <w:rPr>
          <w:lang w:val="en-GB"/>
        </w:rPr>
        <w:t xml:space="preserve"> </w:t>
      </w:r>
      <w:r>
        <w:rPr>
          <w:lang w:val="en-GB"/>
        </w:rPr>
        <w:t>¥</w:t>
      </w:r>
      <w:r w:rsidRPr="00D117D6">
        <w:rPr>
          <w:lang w:val="en-GB"/>
        </w:rPr>
        <w:t>106 million worth of shares, representing a 40 per cent stake in the joint venture</w:t>
      </w:r>
      <w:r>
        <w:rPr>
          <w:lang w:val="en-GB"/>
        </w:rPr>
        <w:t>,</w:t>
      </w:r>
      <w:r w:rsidRPr="00D117D6">
        <w:rPr>
          <w:lang w:val="en-GB"/>
        </w:rPr>
        <w:t xml:space="preserve"> to establish a company in Beijing to provide ground and cargo handling and other related services at Beijing Daxing International Airport. The second joint venture </w:t>
      </w:r>
      <w:r>
        <w:rPr>
          <w:lang w:val="en-GB"/>
        </w:rPr>
        <w:t>was</w:t>
      </w:r>
      <w:r w:rsidRPr="00D117D6">
        <w:rPr>
          <w:lang w:val="en-GB"/>
        </w:rPr>
        <w:t xml:space="preserve"> </w:t>
      </w:r>
      <w:r>
        <w:rPr>
          <w:lang w:val="en-GB"/>
        </w:rPr>
        <w:t>SATS’s</w:t>
      </w:r>
      <w:r w:rsidRPr="00D117D6">
        <w:rPr>
          <w:lang w:val="en-GB"/>
        </w:rPr>
        <w:t xml:space="preserve"> partnership with CAH and Juneyao Airlines, involving the former’s subscription of </w:t>
      </w:r>
      <w:r>
        <w:rPr>
          <w:lang w:val="en-GB"/>
        </w:rPr>
        <w:t>¥</w:t>
      </w:r>
      <w:r w:rsidRPr="00D117D6">
        <w:rPr>
          <w:lang w:val="en-GB"/>
        </w:rPr>
        <w:t>30 million worth of shares, representing a 10 per cent equity interest, to incorporate a catering company in Beijing to provide inflight catering and other related services at Beijing Daxing International Airport.</w:t>
      </w:r>
    </w:p>
    <w:p w14:paraId="132877B7" w14:textId="77777777" w:rsidR="008E46A6" w:rsidRPr="00D117D6" w:rsidRDefault="008E46A6" w:rsidP="00F7486B">
      <w:pPr>
        <w:pStyle w:val="BodyTextMain"/>
        <w:rPr>
          <w:lang w:val="en-GB"/>
        </w:rPr>
      </w:pPr>
    </w:p>
    <w:p w14:paraId="6809C895" w14:textId="7102A665" w:rsidR="008E46A6" w:rsidRPr="00D117D6" w:rsidRDefault="008E46A6" w:rsidP="00F7486B">
      <w:pPr>
        <w:pStyle w:val="BodyTextMain"/>
        <w:rPr>
          <w:lang w:val="en-GB"/>
        </w:rPr>
      </w:pPr>
      <w:r w:rsidRPr="00D117D6">
        <w:rPr>
          <w:lang w:val="en-GB"/>
        </w:rPr>
        <w:t xml:space="preserve">China was a large economy, transforming rapidly into a consumer-driven one. The </w:t>
      </w:r>
      <w:r>
        <w:rPr>
          <w:lang w:val="en-GB"/>
        </w:rPr>
        <w:t xml:space="preserve">country’s </w:t>
      </w:r>
      <w:r w:rsidRPr="00D117D6">
        <w:rPr>
          <w:lang w:val="en-GB"/>
        </w:rPr>
        <w:t xml:space="preserve">middle class, fuelled by economic reforms that pushed up employment and income, was forecast to grow from 68 per cent of </w:t>
      </w:r>
      <w:r>
        <w:rPr>
          <w:lang w:val="en-GB"/>
        </w:rPr>
        <w:t>China’s</w:t>
      </w:r>
      <w:r w:rsidRPr="00D117D6">
        <w:rPr>
          <w:lang w:val="en-GB"/>
        </w:rPr>
        <w:t xml:space="preserve"> urban population in 2012 to 76 per cent by 2022.</w:t>
      </w:r>
      <w:r w:rsidRPr="00D117D6">
        <w:rPr>
          <w:rStyle w:val="EndnoteReference"/>
          <w:lang w:val="en-GB"/>
        </w:rPr>
        <w:endnoteReference w:id="53"/>
      </w:r>
      <w:r w:rsidRPr="00D117D6">
        <w:rPr>
          <w:lang w:val="en-GB"/>
        </w:rPr>
        <w:t xml:space="preserve"> The burgeoning middle class</w:t>
      </w:r>
      <w:r>
        <w:rPr>
          <w:lang w:val="en-GB"/>
        </w:rPr>
        <w:t xml:space="preserve">’s </w:t>
      </w:r>
      <w:r w:rsidRPr="00D117D6">
        <w:rPr>
          <w:lang w:val="en-GB"/>
        </w:rPr>
        <w:t>increase in consumer spending on premium products saw a corresponding rise in imported perishable items</w:t>
      </w:r>
      <w:r>
        <w:rPr>
          <w:lang w:val="en-GB"/>
        </w:rPr>
        <w:t>,</w:t>
      </w:r>
      <w:r w:rsidRPr="00D117D6">
        <w:rPr>
          <w:lang w:val="en-GB"/>
        </w:rPr>
        <w:t xml:space="preserve"> such as fruits, vegetables, meat, and dairy</w:t>
      </w:r>
      <w:r>
        <w:rPr>
          <w:lang w:val="en-GB"/>
        </w:rPr>
        <w:t>,</w:t>
      </w:r>
      <w:r w:rsidRPr="00D117D6">
        <w:rPr>
          <w:lang w:val="en-GB"/>
        </w:rPr>
        <w:t xml:space="preserve"> adding up to $300 million worth of food imports in 2015</w:t>
      </w:r>
      <w:r>
        <w:rPr>
          <w:lang w:val="en-GB"/>
        </w:rPr>
        <w:t xml:space="preserve"> and </w:t>
      </w:r>
      <w:r w:rsidRPr="00D117D6">
        <w:rPr>
          <w:lang w:val="en-GB"/>
        </w:rPr>
        <w:t xml:space="preserve">accounting for 6.7 per cent of </w:t>
      </w:r>
      <w:r>
        <w:rPr>
          <w:lang w:val="en-GB"/>
        </w:rPr>
        <w:t>China’s</w:t>
      </w:r>
      <w:r w:rsidRPr="00D117D6">
        <w:rPr>
          <w:lang w:val="en-GB"/>
        </w:rPr>
        <w:t xml:space="preserve"> overall merchandise </w:t>
      </w:r>
      <w:r>
        <w:rPr>
          <w:lang w:val="en-GB"/>
        </w:rPr>
        <w:t>imports</w:t>
      </w:r>
      <w:r w:rsidRPr="00D117D6">
        <w:rPr>
          <w:lang w:val="en-GB"/>
        </w:rPr>
        <w:t>.</w:t>
      </w:r>
      <w:r w:rsidRPr="00D117D6">
        <w:rPr>
          <w:rStyle w:val="EndnoteReference"/>
          <w:lang w:val="en-GB"/>
        </w:rPr>
        <w:endnoteReference w:id="54"/>
      </w:r>
      <w:r w:rsidRPr="00D117D6">
        <w:rPr>
          <w:lang w:val="en-GB"/>
        </w:rPr>
        <w:t xml:space="preserve"> Simultaneously, growing health awareness, </w:t>
      </w:r>
      <w:r>
        <w:rPr>
          <w:lang w:val="en-GB"/>
        </w:rPr>
        <w:t>an aging</w:t>
      </w:r>
      <w:r w:rsidRPr="00D117D6">
        <w:rPr>
          <w:lang w:val="en-GB"/>
        </w:rPr>
        <w:t xml:space="preserve"> population</w:t>
      </w:r>
      <w:r>
        <w:rPr>
          <w:lang w:val="en-GB"/>
        </w:rPr>
        <w:t>,</w:t>
      </w:r>
      <w:r w:rsidRPr="00D117D6">
        <w:rPr>
          <w:lang w:val="en-GB"/>
        </w:rPr>
        <w:t xml:space="preserve"> and new government </w:t>
      </w:r>
      <w:r>
        <w:rPr>
          <w:lang w:val="en-GB"/>
        </w:rPr>
        <w:t>health care</w:t>
      </w:r>
      <w:r w:rsidRPr="00D117D6">
        <w:rPr>
          <w:lang w:val="en-GB"/>
        </w:rPr>
        <w:t xml:space="preserve"> reforms in China had contributed to </w:t>
      </w:r>
      <w:r>
        <w:rPr>
          <w:lang w:val="en-GB"/>
        </w:rPr>
        <w:t>the country’s</w:t>
      </w:r>
      <w:r w:rsidRPr="00D117D6">
        <w:rPr>
          <w:lang w:val="en-GB"/>
        </w:rPr>
        <w:t xml:space="preserve"> flourishing pharmaceutical sales</w:t>
      </w:r>
      <w:r>
        <w:rPr>
          <w:lang w:val="en-GB"/>
        </w:rPr>
        <w:t xml:space="preserve">, which were </w:t>
      </w:r>
      <w:r w:rsidRPr="00D117D6">
        <w:rPr>
          <w:lang w:val="en-GB"/>
        </w:rPr>
        <w:t>projected to hit $167 billion by 2020.</w:t>
      </w:r>
      <w:r w:rsidRPr="00D117D6">
        <w:rPr>
          <w:rStyle w:val="EndnoteReference"/>
          <w:lang w:val="en-GB"/>
        </w:rPr>
        <w:endnoteReference w:id="55"/>
      </w:r>
    </w:p>
    <w:p w14:paraId="23637F22" w14:textId="77777777" w:rsidR="008E46A6" w:rsidRPr="00D117D6" w:rsidRDefault="008E46A6" w:rsidP="00F7486B">
      <w:pPr>
        <w:pStyle w:val="BodyTextMain"/>
        <w:rPr>
          <w:lang w:val="en-GB"/>
        </w:rPr>
      </w:pPr>
    </w:p>
    <w:p w14:paraId="5A60F37D" w14:textId="6B5FC8D1" w:rsidR="008E46A6" w:rsidRPr="00D117D6" w:rsidRDefault="008E46A6" w:rsidP="00F7486B">
      <w:pPr>
        <w:pStyle w:val="BodyTextMain"/>
        <w:rPr>
          <w:lang w:val="en-GB"/>
        </w:rPr>
      </w:pPr>
      <w:r w:rsidRPr="00D117D6">
        <w:rPr>
          <w:lang w:val="en-GB"/>
        </w:rPr>
        <w:t xml:space="preserve">With large projected volumes of perishable goods and biopharma trade flow in and out of the country, China presented substantial opportunities for developing </w:t>
      </w:r>
      <w:r>
        <w:rPr>
          <w:lang w:val="en-GB"/>
        </w:rPr>
        <w:t>cold-chain</w:t>
      </w:r>
      <w:r w:rsidRPr="00D117D6">
        <w:rPr>
          <w:lang w:val="en-GB"/>
        </w:rPr>
        <w:t xml:space="preserve"> </w:t>
      </w:r>
      <w:r>
        <w:rPr>
          <w:lang w:val="en-GB"/>
        </w:rPr>
        <w:t>supply-chain</w:t>
      </w:r>
      <w:r w:rsidRPr="00D117D6">
        <w:rPr>
          <w:lang w:val="en-GB"/>
        </w:rPr>
        <w:t xml:space="preserve"> infrastructure (see Exhibit 8). The Chinese cold</w:t>
      </w:r>
      <w:r>
        <w:rPr>
          <w:lang w:val="en-GB"/>
        </w:rPr>
        <w:t xml:space="preserve"> chain</w:t>
      </w:r>
      <w:r w:rsidRPr="00D117D6">
        <w:rPr>
          <w:lang w:val="en-GB"/>
        </w:rPr>
        <w:t xml:space="preserve"> market was poised for growth in the coming years</w:t>
      </w:r>
      <w:r>
        <w:rPr>
          <w:lang w:val="en-GB"/>
        </w:rPr>
        <w:t>,</w:t>
      </w:r>
      <w:r w:rsidRPr="00D117D6">
        <w:rPr>
          <w:lang w:val="en-GB"/>
        </w:rPr>
        <w:t xml:space="preserve"> with </w:t>
      </w:r>
      <w:r>
        <w:rPr>
          <w:lang w:val="en-GB"/>
        </w:rPr>
        <w:t>a</w:t>
      </w:r>
      <w:r w:rsidRPr="00D117D6">
        <w:rPr>
          <w:lang w:val="en-GB"/>
        </w:rPr>
        <w:t xml:space="preserve"> CAGR of 15.6 per cent </w:t>
      </w:r>
      <w:r>
        <w:rPr>
          <w:lang w:val="en-GB"/>
        </w:rPr>
        <w:t xml:space="preserve">forecast </w:t>
      </w:r>
      <w:r w:rsidRPr="00D117D6">
        <w:rPr>
          <w:lang w:val="en-GB"/>
        </w:rPr>
        <w:t>for 2018</w:t>
      </w:r>
      <w:r>
        <w:rPr>
          <w:lang w:val="en-GB"/>
        </w:rPr>
        <w:t>–</w:t>
      </w:r>
      <w:r w:rsidRPr="00D117D6">
        <w:rPr>
          <w:lang w:val="en-GB"/>
        </w:rPr>
        <w:t>2022.</w:t>
      </w:r>
      <w:r w:rsidRPr="00D117D6">
        <w:rPr>
          <w:rStyle w:val="EndnoteReference"/>
          <w:lang w:val="en-GB"/>
        </w:rPr>
        <w:endnoteReference w:id="56"/>
      </w:r>
      <w:r w:rsidRPr="00D117D6">
        <w:rPr>
          <w:lang w:val="en-GB"/>
        </w:rPr>
        <w:t xml:space="preserve"> According to the China Federation of Logistics </w:t>
      </w:r>
      <w:r>
        <w:rPr>
          <w:lang w:val="en-GB"/>
        </w:rPr>
        <w:t>and</w:t>
      </w:r>
      <w:r w:rsidRPr="00D117D6">
        <w:rPr>
          <w:lang w:val="en-GB"/>
        </w:rPr>
        <w:t xml:space="preserve"> Purchasing, China</w:t>
      </w:r>
      <w:r>
        <w:rPr>
          <w:lang w:val="en-GB"/>
        </w:rPr>
        <w:t>’</w:t>
      </w:r>
      <w:r w:rsidRPr="00D117D6">
        <w:rPr>
          <w:lang w:val="en-GB"/>
        </w:rPr>
        <w:t>s fledgling cold</w:t>
      </w:r>
      <w:r>
        <w:rPr>
          <w:lang w:val="en-GB"/>
        </w:rPr>
        <w:t xml:space="preserve"> chain</w:t>
      </w:r>
      <w:r w:rsidRPr="00D117D6">
        <w:rPr>
          <w:lang w:val="en-GB"/>
        </w:rPr>
        <w:t xml:space="preserve"> logistics market was expected to reach </w:t>
      </w:r>
      <w:r>
        <w:rPr>
          <w:lang w:val="en-GB"/>
        </w:rPr>
        <w:t>¥</w:t>
      </w:r>
      <w:r w:rsidRPr="00D117D6">
        <w:rPr>
          <w:lang w:val="en-GB"/>
        </w:rPr>
        <w:t>470 billion by 2020, with a CAGR rate surpassing 20 per cent.</w:t>
      </w:r>
      <w:r w:rsidRPr="00D117D6">
        <w:rPr>
          <w:rStyle w:val="EndnoteReference"/>
          <w:lang w:val="en-GB"/>
        </w:rPr>
        <w:endnoteReference w:id="57"/>
      </w:r>
      <w:r w:rsidRPr="00D117D6">
        <w:rPr>
          <w:lang w:val="en-GB"/>
        </w:rPr>
        <w:t xml:space="preserve"> Given its infancy stage and highly fragmented nature, the industry had seen a considerable number of mergers and acquisitions.</w:t>
      </w:r>
      <w:r w:rsidRPr="00D117D6">
        <w:rPr>
          <w:rStyle w:val="EndnoteReference"/>
          <w:lang w:val="en-GB"/>
        </w:rPr>
        <w:endnoteReference w:id="58"/>
      </w:r>
      <w:r w:rsidRPr="00D117D6">
        <w:rPr>
          <w:lang w:val="en-GB"/>
        </w:rPr>
        <w:t xml:space="preserve"> For example, in July 2016, Hainan Air Cargo and HNA </w:t>
      </w:r>
      <w:r>
        <w:rPr>
          <w:lang w:val="en-GB"/>
        </w:rPr>
        <w:t>Logistics</w:t>
      </w:r>
      <w:r w:rsidRPr="00D117D6">
        <w:rPr>
          <w:lang w:val="en-GB"/>
        </w:rPr>
        <w:t xml:space="preserve"> invested </w:t>
      </w:r>
      <w:r>
        <w:rPr>
          <w:lang w:val="en-GB"/>
        </w:rPr>
        <w:t>¥</w:t>
      </w:r>
      <w:r w:rsidRPr="00D117D6">
        <w:rPr>
          <w:lang w:val="en-GB"/>
        </w:rPr>
        <w:t xml:space="preserve">900 million and </w:t>
      </w:r>
      <w:r>
        <w:rPr>
          <w:lang w:val="en-GB"/>
        </w:rPr>
        <w:t>¥</w:t>
      </w:r>
      <w:r w:rsidRPr="00D117D6">
        <w:rPr>
          <w:lang w:val="en-GB"/>
        </w:rPr>
        <w:t xml:space="preserve">2.8 billion, respectively, in Yangtze River Express (at </w:t>
      </w:r>
      <w:r>
        <w:rPr>
          <w:lang w:val="en-GB"/>
        </w:rPr>
        <w:t>¥</w:t>
      </w:r>
      <w:r w:rsidRPr="00D117D6">
        <w:rPr>
          <w:lang w:val="en-GB"/>
        </w:rPr>
        <w:t xml:space="preserve">1.6 per share), with HNA </w:t>
      </w:r>
      <w:r>
        <w:rPr>
          <w:lang w:val="en-GB"/>
        </w:rPr>
        <w:t>Logistics</w:t>
      </w:r>
      <w:r w:rsidRPr="00D117D6">
        <w:rPr>
          <w:lang w:val="en-GB"/>
        </w:rPr>
        <w:t xml:space="preserve"> owning 76 per cent of Yangtze River Express after the deal. With this collaboration, </w:t>
      </w:r>
      <w:r>
        <w:rPr>
          <w:lang w:val="en-GB"/>
        </w:rPr>
        <w:t>HNA Logistics</w:t>
      </w:r>
      <w:r w:rsidRPr="00D117D6">
        <w:rPr>
          <w:lang w:val="en-GB"/>
        </w:rPr>
        <w:t xml:space="preserve"> planned to fund and grow the cargo carrier’s eastern China network expansion plans.</w:t>
      </w:r>
      <w:r w:rsidRPr="00D117D6">
        <w:rPr>
          <w:rStyle w:val="EndnoteReference"/>
          <w:lang w:val="en-GB"/>
        </w:rPr>
        <w:endnoteReference w:id="59"/>
      </w:r>
      <w:r>
        <w:rPr>
          <w:lang w:val="en-GB"/>
        </w:rPr>
        <w:t xml:space="preserve"> </w:t>
      </w:r>
      <w:r w:rsidRPr="00D117D6">
        <w:rPr>
          <w:lang w:val="en-GB"/>
        </w:rPr>
        <w:t>Recently</w:t>
      </w:r>
      <w:r>
        <w:rPr>
          <w:lang w:val="en-GB"/>
        </w:rPr>
        <w:t>, the</w:t>
      </w:r>
      <w:r w:rsidRPr="00D117D6">
        <w:rPr>
          <w:lang w:val="en-GB"/>
        </w:rPr>
        <w:t xml:space="preserve"> China-based cold</w:t>
      </w:r>
      <w:r>
        <w:rPr>
          <w:lang w:val="en-GB"/>
        </w:rPr>
        <w:t xml:space="preserve"> </w:t>
      </w:r>
      <w:r w:rsidRPr="00D117D6">
        <w:rPr>
          <w:lang w:val="en-GB"/>
        </w:rPr>
        <w:t xml:space="preserve">chain logistics service provider Dalian </w:t>
      </w:r>
      <w:r>
        <w:rPr>
          <w:lang w:val="en-GB"/>
        </w:rPr>
        <w:t>Yidu Group Co. Ltd.,</w:t>
      </w:r>
      <w:r w:rsidRPr="00D117D6">
        <w:rPr>
          <w:lang w:val="en-GB"/>
        </w:rPr>
        <w:t xml:space="preserve"> in association with the </w:t>
      </w:r>
      <w:r w:rsidRPr="001B5344">
        <w:rPr>
          <w:lang w:val="en-GB"/>
        </w:rPr>
        <w:t>Zhengzhou Xinzheng International Airport</w:t>
      </w:r>
      <w:r>
        <w:rPr>
          <w:lang w:val="en-GB"/>
        </w:rPr>
        <w:t>,</w:t>
      </w:r>
      <w:r w:rsidRPr="001B5344" w:rsidDel="001B5344">
        <w:rPr>
          <w:lang w:val="en-GB"/>
        </w:rPr>
        <w:t xml:space="preserve"> </w:t>
      </w:r>
      <w:r w:rsidRPr="00D117D6">
        <w:rPr>
          <w:lang w:val="en-GB"/>
        </w:rPr>
        <w:t xml:space="preserve">built a cold chain warehouse with a capacity of 200,000 </w:t>
      </w:r>
      <w:r>
        <w:rPr>
          <w:lang w:val="en-GB"/>
        </w:rPr>
        <w:t>metric tons,</w:t>
      </w:r>
      <w:r w:rsidRPr="00D117D6">
        <w:rPr>
          <w:lang w:val="en-GB"/>
        </w:rPr>
        <w:t xml:space="preserve"> investing close to </w:t>
      </w:r>
      <w:r>
        <w:rPr>
          <w:lang w:val="en-GB"/>
        </w:rPr>
        <w:t>¥</w:t>
      </w:r>
      <w:r w:rsidRPr="00D117D6">
        <w:rPr>
          <w:lang w:val="en-GB"/>
        </w:rPr>
        <w:t>1 billion on the project.</w:t>
      </w:r>
      <w:r w:rsidRPr="00D117D6">
        <w:rPr>
          <w:rStyle w:val="EndnoteReference"/>
          <w:lang w:val="en-GB"/>
        </w:rPr>
        <w:endnoteReference w:id="60"/>
      </w:r>
    </w:p>
    <w:p w14:paraId="14452594" w14:textId="77777777" w:rsidR="008E46A6" w:rsidRPr="00D117D6" w:rsidRDefault="008E46A6" w:rsidP="00F7486B">
      <w:pPr>
        <w:pStyle w:val="BodyTextMain"/>
        <w:rPr>
          <w:lang w:val="en-GB"/>
        </w:rPr>
      </w:pPr>
    </w:p>
    <w:p w14:paraId="5469E9CF" w14:textId="4B2DD5FE" w:rsidR="008E46A6" w:rsidRPr="008213EA" w:rsidRDefault="008E46A6" w:rsidP="00F7486B">
      <w:pPr>
        <w:pStyle w:val="BodyTextMain"/>
        <w:rPr>
          <w:spacing w:val="-2"/>
          <w:lang w:val="en-GB"/>
        </w:rPr>
      </w:pPr>
      <w:r w:rsidRPr="008213EA">
        <w:rPr>
          <w:spacing w:val="-2"/>
          <w:lang w:val="en-GB"/>
        </w:rPr>
        <w:lastRenderedPageBreak/>
        <w:t>Building on the momentum of the growing industry, SATS would be well positioned to expand its cold chain network to mainland China. With the newly built state-of-the-art Beijing Daxing International Airport</w:t>
      </w:r>
      <w:r w:rsidRPr="008213EA" w:rsidDel="00B77877">
        <w:rPr>
          <w:spacing w:val="-2"/>
          <w:lang w:val="en-GB"/>
        </w:rPr>
        <w:t xml:space="preserve"> </w:t>
      </w:r>
      <w:r w:rsidRPr="008213EA">
        <w:rPr>
          <w:spacing w:val="-2"/>
          <w:lang w:val="en-GB"/>
        </w:rPr>
        <w:t>scheduled to open in September 2019, Beijing offered a favourable environment for entry into the market. The airport was designed to handle an annual capacity of 72 million passengers and 2 million metric tons of cargo and mail.</w:t>
      </w:r>
      <w:r w:rsidRPr="008213EA">
        <w:rPr>
          <w:rStyle w:val="EndnoteReference"/>
          <w:spacing w:val="-2"/>
          <w:lang w:val="en-GB"/>
        </w:rPr>
        <w:endnoteReference w:id="61"/>
      </w:r>
      <w:r w:rsidRPr="008213EA">
        <w:rPr>
          <w:spacing w:val="-2"/>
          <w:lang w:val="en-GB"/>
        </w:rPr>
        <w:t xml:space="preserve"> Beijing offered great connectivity via road and rail transport modes for the </w:t>
      </w:r>
      <w:r w:rsidR="00955D93" w:rsidRPr="008213EA">
        <w:rPr>
          <w:spacing w:val="-2"/>
          <w:lang w:val="en-GB"/>
        </w:rPr>
        <w:t>transshipment</w:t>
      </w:r>
      <w:r w:rsidRPr="008213EA">
        <w:rPr>
          <w:spacing w:val="-2"/>
          <w:lang w:val="en-GB"/>
        </w:rPr>
        <w:t xml:space="preserve"> of goods to other high-demand markets such as Shanghai, Tianjin, Shenzhen, and Guangzhou.</w:t>
      </w:r>
      <w:r w:rsidRPr="008213EA">
        <w:rPr>
          <w:rStyle w:val="EndnoteReference"/>
          <w:spacing w:val="-2"/>
          <w:lang w:val="en-GB"/>
        </w:rPr>
        <w:endnoteReference w:id="62"/>
      </w:r>
    </w:p>
    <w:p w14:paraId="3638C0E5" w14:textId="77777777" w:rsidR="008E46A6" w:rsidRPr="005223BD" w:rsidRDefault="008E46A6" w:rsidP="00F7486B">
      <w:pPr>
        <w:pStyle w:val="BodyTextMain"/>
        <w:rPr>
          <w:sz w:val="20"/>
          <w:szCs w:val="18"/>
          <w:lang w:val="en-GB"/>
        </w:rPr>
      </w:pPr>
    </w:p>
    <w:p w14:paraId="7E3B9D83" w14:textId="78A9AECB" w:rsidR="008E46A6" w:rsidRPr="00D117D6" w:rsidRDefault="008E46A6" w:rsidP="00F7486B">
      <w:pPr>
        <w:pStyle w:val="BodyTextMain"/>
        <w:rPr>
          <w:lang w:val="en-GB"/>
        </w:rPr>
      </w:pPr>
      <w:r w:rsidRPr="00D117D6">
        <w:rPr>
          <w:lang w:val="en-GB"/>
        </w:rPr>
        <w:t xml:space="preserve">However, the China market would present some challenges. China’s high-speed rail network and land routes were viewed as serious competitors to air cargo service within the country. The One Belt </w:t>
      </w:r>
      <w:r w:rsidR="006942AC">
        <w:rPr>
          <w:lang w:val="en-GB"/>
        </w:rPr>
        <w:t xml:space="preserve">and </w:t>
      </w:r>
      <w:r w:rsidRPr="00D117D6">
        <w:rPr>
          <w:lang w:val="en-GB"/>
        </w:rPr>
        <w:t xml:space="preserve">One Road </w:t>
      </w:r>
      <w:r>
        <w:rPr>
          <w:lang w:val="en-GB"/>
        </w:rPr>
        <w:t>initiative</w:t>
      </w:r>
      <w:r>
        <w:rPr>
          <w:rStyle w:val="EndnoteReference"/>
          <w:lang w:val="en-GB"/>
        </w:rPr>
        <w:endnoteReference w:id="63"/>
      </w:r>
      <w:r w:rsidRPr="00D117D6">
        <w:rPr>
          <w:lang w:val="en-GB"/>
        </w:rPr>
        <w:t xml:space="preserve"> had the potential to disrupt the future growth of cross-country air cargo trade in China by offering cheap alternatives for fast cargo delivery. International air freight costs ranged from $1.5 to $4.5 per kilogram,</w:t>
      </w:r>
      <w:r w:rsidRPr="00D117D6">
        <w:rPr>
          <w:rStyle w:val="EndnoteReference"/>
          <w:lang w:val="en-GB"/>
        </w:rPr>
        <w:endnoteReference w:id="64"/>
      </w:r>
      <w:r w:rsidRPr="00D117D6">
        <w:rPr>
          <w:lang w:val="en-GB"/>
        </w:rPr>
        <w:t xml:space="preserve"> while rail freight would be almost six times cheaper.</w:t>
      </w:r>
      <w:r w:rsidRPr="00D117D6">
        <w:rPr>
          <w:rStyle w:val="EndnoteReference"/>
          <w:lang w:val="en-GB"/>
        </w:rPr>
        <w:endnoteReference w:id="65"/>
      </w:r>
      <w:r w:rsidRPr="00D117D6">
        <w:rPr>
          <w:lang w:val="en-GB"/>
        </w:rPr>
        <w:t xml:space="preserve"> The initiative would have </w:t>
      </w:r>
      <w:r w:rsidR="00955D93">
        <w:rPr>
          <w:lang w:val="en-GB"/>
        </w:rPr>
        <w:t xml:space="preserve">a </w:t>
      </w:r>
      <w:r w:rsidRPr="00D117D6">
        <w:rPr>
          <w:lang w:val="en-GB"/>
        </w:rPr>
        <w:t xml:space="preserve">major impact on the </w:t>
      </w:r>
      <w:r>
        <w:rPr>
          <w:lang w:val="en-GB"/>
        </w:rPr>
        <w:t>China–Europe</w:t>
      </w:r>
      <w:r w:rsidRPr="00D117D6">
        <w:rPr>
          <w:lang w:val="en-GB"/>
        </w:rPr>
        <w:t xml:space="preserve"> trade route. By 2027, the total rail potential for the route was </w:t>
      </w:r>
      <w:r>
        <w:rPr>
          <w:lang w:val="en-GB"/>
        </w:rPr>
        <w:t>forecast</w:t>
      </w:r>
      <w:r w:rsidRPr="00D117D6">
        <w:rPr>
          <w:lang w:val="en-GB"/>
        </w:rPr>
        <w:t xml:space="preserve"> to be about 636,000 </w:t>
      </w:r>
      <w:r>
        <w:rPr>
          <w:lang w:val="en-GB"/>
        </w:rPr>
        <w:t>20-foot equivalent units,</w:t>
      </w:r>
      <w:r w:rsidRPr="00D117D6">
        <w:rPr>
          <w:rStyle w:val="EndnoteReference"/>
          <w:lang w:val="en-GB"/>
        </w:rPr>
        <w:endnoteReference w:id="66"/>
      </w:r>
      <w:r w:rsidRPr="00D117D6">
        <w:rPr>
          <w:lang w:val="en-GB"/>
        </w:rPr>
        <w:t xml:space="preserve"> or 21 trains a day, according to China Railway </w:t>
      </w:r>
      <w:r>
        <w:rPr>
          <w:lang w:val="en-GB"/>
        </w:rPr>
        <w:t>Corporation.</w:t>
      </w:r>
      <w:r w:rsidRPr="00D117D6">
        <w:rPr>
          <w:rStyle w:val="EndnoteReference"/>
          <w:lang w:val="en-GB"/>
        </w:rPr>
        <w:endnoteReference w:id="67"/>
      </w:r>
      <w:r w:rsidRPr="00D117D6">
        <w:rPr>
          <w:lang w:val="en-GB"/>
        </w:rPr>
        <w:t xml:space="preserve"> The daily loss of volume for the air cargo industry in China could potentially amount to $25 million.</w:t>
      </w:r>
    </w:p>
    <w:p w14:paraId="317D1F20" w14:textId="77777777" w:rsidR="008E46A6" w:rsidRPr="005223BD" w:rsidRDefault="008E46A6" w:rsidP="00F7486B">
      <w:pPr>
        <w:pStyle w:val="BodyTextMain"/>
        <w:rPr>
          <w:sz w:val="20"/>
          <w:szCs w:val="18"/>
          <w:lang w:val="en-GB"/>
        </w:rPr>
      </w:pPr>
    </w:p>
    <w:p w14:paraId="50169955" w14:textId="479F2A5C" w:rsidR="008E46A6" w:rsidRPr="00D117D6" w:rsidRDefault="008E46A6" w:rsidP="00F7486B">
      <w:pPr>
        <w:pStyle w:val="BodyTextMain"/>
        <w:rPr>
          <w:lang w:val="en-GB"/>
        </w:rPr>
      </w:pPr>
      <w:r>
        <w:rPr>
          <w:lang w:val="en-GB"/>
        </w:rPr>
        <w:t>Cargo handling</w:t>
      </w:r>
      <w:r w:rsidRPr="00D117D6">
        <w:rPr>
          <w:lang w:val="en-GB"/>
        </w:rPr>
        <w:t xml:space="preserve"> companies in China faced fierce competition from international integrators such as </w:t>
      </w:r>
      <w:r w:rsidRPr="00361E91">
        <w:rPr>
          <w:bCs/>
          <w:lang w:val="en-GB"/>
        </w:rPr>
        <w:t>DHL International GmbH</w:t>
      </w:r>
      <w:r>
        <w:rPr>
          <w:bCs/>
          <w:lang w:val="en-GB"/>
        </w:rPr>
        <w:t xml:space="preserve"> (DHL)</w:t>
      </w:r>
      <w:r>
        <w:rPr>
          <w:lang w:val="en-GB"/>
        </w:rPr>
        <w:t>,</w:t>
      </w:r>
      <w:r w:rsidRPr="00D117D6">
        <w:rPr>
          <w:lang w:val="en-GB"/>
        </w:rPr>
        <w:t xml:space="preserve"> </w:t>
      </w:r>
      <w:r>
        <w:rPr>
          <w:lang w:val="en-GB"/>
        </w:rPr>
        <w:t xml:space="preserve">based in Germany, and </w:t>
      </w:r>
      <w:r w:rsidRPr="00361E91">
        <w:rPr>
          <w:lang w:val="en-GB"/>
        </w:rPr>
        <w:t>United Postal Services Inc. and FedEx Corporation</w:t>
      </w:r>
      <w:r>
        <w:rPr>
          <w:lang w:val="en-GB"/>
        </w:rPr>
        <w:t>, based in the United States</w:t>
      </w:r>
      <w:r w:rsidRPr="00D117D6">
        <w:rPr>
          <w:lang w:val="en-GB"/>
        </w:rPr>
        <w:t xml:space="preserve">. Since the liberalization of its cargo operations, China had seen the </w:t>
      </w:r>
      <w:r>
        <w:rPr>
          <w:lang w:val="en-GB"/>
        </w:rPr>
        <w:t>set-up</w:t>
      </w:r>
      <w:r w:rsidRPr="00D117D6">
        <w:rPr>
          <w:lang w:val="en-GB"/>
        </w:rPr>
        <w:t xml:space="preserve"> of several vertically integrated carriers at its airports. These companies had greater logistical capability and held competitive advantage over other local ground handlers in handling air cargo operations. In 2012, DHL opened a $175</w:t>
      </w:r>
      <w:r>
        <w:rPr>
          <w:lang w:val="en-GB"/>
        </w:rPr>
        <w:t xml:space="preserve"> million</w:t>
      </w:r>
      <w:r w:rsidRPr="00D117D6">
        <w:rPr>
          <w:lang w:val="en-GB"/>
        </w:rPr>
        <w:t xml:space="preserve"> 88,000</w:t>
      </w:r>
      <w:r>
        <w:rPr>
          <w:lang w:val="en-GB"/>
        </w:rPr>
        <w:t>-square-metre</w:t>
      </w:r>
      <w:r w:rsidRPr="00D117D6">
        <w:rPr>
          <w:lang w:val="en-GB"/>
        </w:rPr>
        <w:t xml:space="preserve"> cargo hub at Shanghai Pudong Airport to meet the growing air cargo volume in China.</w:t>
      </w:r>
      <w:r w:rsidRPr="00D117D6">
        <w:rPr>
          <w:rStyle w:val="EndnoteReference"/>
          <w:lang w:val="en-GB"/>
        </w:rPr>
        <w:endnoteReference w:id="68"/>
      </w:r>
      <w:r w:rsidRPr="00D117D6">
        <w:rPr>
          <w:lang w:val="en-GB"/>
        </w:rPr>
        <w:t xml:space="preserve"> This development helped DHL successfully tap into the flourishing e-commerce market in China. Subsequently</w:t>
      </w:r>
      <w:r>
        <w:rPr>
          <w:lang w:val="en-GB"/>
        </w:rPr>
        <w:t>,</w:t>
      </w:r>
      <w:r w:rsidRPr="00D117D6">
        <w:rPr>
          <w:lang w:val="en-GB"/>
        </w:rPr>
        <w:t xml:space="preserve"> DHL opened </w:t>
      </w:r>
      <w:r>
        <w:rPr>
          <w:lang w:val="en-GB"/>
        </w:rPr>
        <w:t xml:space="preserve">the </w:t>
      </w:r>
      <w:r w:rsidRPr="00D117D6">
        <w:rPr>
          <w:lang w:val="en-GB"/>
        </w:rPr>
        <w:t xml:space="preserve">DHL Life Science </w:t>
      </w:r>
      <w:r>
        <w:rPr>
          <w:lang w:val="en-GB"/>
        </w:rPr>
        <w:t>&amp;</w:t>
      </w:r>
      <w:r w:rsidRPr="00D117D6">
        <w:rPr>
          <w:lang w:val="en-GB"/>
        </w:rPr>
        <w:t xml:space="preserve"> Healthcare Competence </w:t>
      </w:r>
      <w:r>
        <w:rPr>
          <w:lang w:val="en-GB"/>
        </w:rPr>
        <w:t>Centre</w:t>
      </w:r>
      <w:r w:rsidRPr="00D117D6">
        <w:rPr>
          <w:lang w:val="en-GB"/>
        </w:rPr>
        <w:t xml:space="preserve"> as </w:t>
      </w:r>
      <w:r>
        <w:rPr>
          <w:lang w:val="en-GB"/>
        </w:rPr>
        <w:t xml:space="preserve">an </w:t>
      </w:r>
      <w:r w:rsidRPr="00D117D6">
        <w:rPr>
          <w:lang w:val="en-GB"/>
        </w:rPr>
        <w:t xml:space="preserve">addition to its </w:t>
      </w:r>
      <w:r>
        <w:rPr>
          <w:lang w:val="en-GB"/>
        </w:rPr>
        <w:t>temperature-controlled</w:t>
      </w:r>
      <w:r w:rsidRPr="00D117D6">
        <w:rPr>
          <w:lang w:val="en-GB"/>
        </w:rPr>
        <w:t xml:space="preserve"> facility in Shanghai</w:t>
      </w:r>
      <w:r>
        <w:rPr>
          <w:lang w:val="en-GB"/>
        </w:rPr>
        <w:t>,</w:t>
      </w:r>
      <w:r w:rsidRPr="00D117D6">
        <w:rPr>
          <w:lang w:val="en-GB"/>
        </w:rPr>
        <w:t xml:space="preserve"> taking </w:t>
      </w:r>
      <w:r>
        <w:rPr>
          <w:lang w:val="en-GB"/>
        </w:rPr>
        <w:t>its</w:t>
      </w:r>
      <w:r w:rsidRPr="00D117D6">
        <w:rPr>
          <w:lang w:val="en-GB"/>
        </w:rPr>
        <w:t xml:space="preserve"> total cold chain logistics area to nearly </w:t>
      </w:r>
      <w:r>
        <w:rPr>
          <w:lang w:val="en-GB"/>
        </w:rPr>
        <w:t>3,000 square metres</w:t>
      </w:r>
      <w:r w:rsidRPr="00D117D6">
        <w:rPr>
          <w:lang w:val="en-GB"/>
        </w:rPr>
        <w:t>.</w:t>
      </w:r>
      <w:r w:rsidRPr="00D117D6">
        <w:rPr>
          <w:rStyle w:val="EndnoteReference"/>
          <w:lang w:val="en-GB"/>
        </w:rPr>
        <w:endnoteReference w:id="69"/>
      </w:r>
      <w:r w:rsidRPr="00D117D6">
        <w:rPr>
          <w:lang w:val="en-GB"/>
        </w:rPr>
        <w:t xml:space="preserve"> Although SATS had a significant competitive advantage in handling cold chain operations, fierce competition from established players in China would act as a major challenge to </w:t>
      </w:r>
      <w:r>
        <w:rPr>
          <w:lang w:val="en-GB"/>
        </w:rPr>
        <w:t>entering</w:t>
      </w:r>
      <w:r w:rsidRPr="00D117D6">
        <w:rPr>
          <w:lang w:val="en-GB"/>
        </w:rPr>
        <w:t xml:space="preserve"> the market. The competition could lead to price wars, driving lower yields and affecting revenue.</w:t>
      </w:r>
    </w:p>
    <w:p w14:paraId="6A655791" w14:textId="77777777" w:rsidR="008E46A6" w:rsidRPr="005223BD" w:rsidRDefault="008E46A6" w:rsidP="00F7486B">
      <w:pPr>
        <w:pStyle w:val="BodyTextMain"/>
        <w:rPr>
          <w:sz w:val="20"/>
          <w:szCs w:val="18"/>
          <w:lang w:val="en-GB"/>
        </w:rPr>
      </w:pPr>
    </w:p>
    <w:p w14:paraId="0E053DB4" w14:textId="3577828B" w:rsidR="008E46A6" w:rsidRDefault="008E46A6" w:rsidP="00F7486B">
      <w:pPr>
        <w:pStyle w:val="BodyTextMain"/>
        <w:rPr>
          <w:lang w:val="en-GB"/>
        </w:rPr>
      </w:pPr>
      <w:r w:rsidRPr="00D117D6">
        <w:rPr>
          <w:lang w:val="en-GB"/>
        </w:rPr>
        <w:t xml:space="preserve">Foreign businesses </w:t>
      </w:r>
      <w:r>
        <w:rPr>
          <w:lang w:val="en-GB"/>
        </w:rPr>
        <w:t>needed to</w:t>
      </w:r>
      <w:r w:rsidRPr="00D117D6">
        <w:rPr>
          <w:lang w:val="en-GB"/>
        </w:rPr>
        <w:t xml:space="preserve"> carefully consider the costs of complying with the stringent regulations imposed by Chinese government agencies.</w:t>
      </w:r>
      <w:r w:rsidRPr="00D117D6">
        <w:rPr>
          <w:rStyle w:val="EndnoteReference"/>
          <w:lang w:val="en-GB"/>
        </w:rPr>
        <w:endnoteReference w:id="70"/>
      </w:r>
      <w:r w:rsidRPr="00D117D6">
        <w:rPr>
          <w:lang w:val="en-GB"/>
        </w:rPr>
        <w:t xml:space="preserve"> The process of licensing and obtaining customs clearance could be time-consuming.</w:t>
      </w:r>
      <w:r w:rsidRPr="00D117D6">
        <w:rPr>
          <w:rStyle w:val="EndnoteReference"/>
          <w:lang w:val="en-GB"/>
        </w:rPr>
        <w:endnoteReference w:id="71"/>
      </w:r>
      <w:r w:rsidRPr="00D117D6">
        <w:rPr>
          <w:lang w:val="en-GB"/>
        </w:rPr>
        <w:t xml:space="preserve"> The airline industry in China was regulated by </w:t>
      </w:r>
      <w:r>
        <w:rPr>
          <w:lang w:val="en-GB"/>
        </w:rPr>
        <w:t>the</w:t>
      </w:r>
      <w:r w:rsidRPr="00D117D6">
        <w:rPr>
          <w:lang w:val="en-GB"/>
        </w:rPr>
        <w:t xml:space="preserve"> Civil Aviation Administration of China</w:t>
      </w:r>
      <w:r>
        <w:rPr>
          <w:lang w:val="en-GB"/>
        </w:rPr>
        <w:t>,</w:t>
      </w:r>
      <w:r w:rsidRPr="00D117D6">
        <w:rPr>
          <w:lang w:val="en-GB"/>
        </w:rPr>
        <w:t xml:space="preserve"> and all the major airports within the country were owned by the state government. The airport ground handling industry was highly competitive</w:t>
      </w:r>
      <w:r>
        <w:rPr>
          <w:lang w:val="en-GB"/>
        </w:rPr>
        <w:t>,</w:t>
      </w:r>
      <w:r w:rsidRPr="00D117D6">
        <w:rPr>
          <w:lang w:val="en-GB"/>
        </w:rPr>
        <w:t xml:space="preserve"> with multiple local players.</w:t>
      </w:r>
      <w:r w:rsidRPr="00D117D6">
        <w:rPr>
          <w:rStyle w:val="EndnoteReference"/>
          <w:lang w:val="en-GB"/>
        </w:rPr>
        <w:endnoteReference w:id="72"/>
      </w:r>
      <w:r w:rsidRPr="00D117D6">
        <w:rPr>
          <w:lang w:val="en-GB"/>
        </w:rPr>
        <w:t xml:space="preserve"> The major players were state-owned enterprises</w:t>
      </w:r>
      <w:r>
        <w:rPr>
          <w:lang w:val="en-GB"/>
        </w:rPr>
        <w:t>,</w:t>
      </w:r>
      <w:r w:rsidRPr="00D117D6">
        <w:rPr>
          <w:lang w:val="en-GB"/>
        </w:rPr>
        <w:t xml:space="preserve"> and there were strict regulations requiring foreign operators to form joint ventures with local enterprises before they were permitted to start operations in the country.</w:t>
      </w:r>
    </w:p>
    <w:p w14:paraId="44D7D7ED" w14:textId="2783793D" w:rsidR="008213EA" w:rsidRPr="005223BD" w:rsidRDefault="008213EA" w:rsidP="00F7486B">
      <w:pPr>
        <w:pStyle w:val="BodyTextMain"/>
        <w:rPr>
          <w:sz w:val="20"/>
          <w:szCs w:val="18"/>
          <w:lang w:val="en-GB"/>
        </w:rPr>
      </w:pPr>
    </w:p>
    <w:p w14:paraId="79CEE057" w14:textId="77777777" w:rsidR="008213EA" w:rsidRPr="005223BD" w:rsidRDefault="008213EA" w:rsidP="00F7486B">
      <w:pPr>
        <w:pStyle w:val="BodyTextMain"/>
        <w:rPr>
          <w:sz w:val="20"/>
          <w:szCs w:val="18"/>
          <w:lang w:val="en-GB"/>
        </w:rPr>
      </w:pPr>
    </w:p>
    <w:p w14:paraId="7A1CE479" w14:textId="77777777" w:rsidR="008E46A6" w:rsidRPr="00D117D6" w:rsidRDefault="008E46A6" w:rsidP="00F7486B">
      <w:pPr>
        <w:pStyle w:val="Casehead2"/>
        <w:rPr>
          <w:lang w:val="en-GB"/>
        </w:rPr>
      </w:pPr>
      <w:r w:rsidRPr="00D117D6">
        <w:rPr>
          <w:lang w:val="en-GB"/>
        </w:rPr>
        <w:t>Japan</w:t>
      </w:r>
    </w:p>
    <w:p w14:paraId="36BC0C71" w14:textId="77777777" w:rsidR="008E46A6" w:rsidRPr="005223BD" w:rsidRDefault="008E46A6" w:rsidP="00F7486B">
      <w:pPr>
        <w:pStyle w:val="BodyTextMain"/>
        <w:rPr>
          <w:sz w:val="20"/>
          <w:szCs w:val="18"/>
          <w:lang w:val="en-GB"/>
        </w:rPr>
      </w:pPr>
    </w:p>
    <w:p w14:paraId="4175FE1A" w14:textId="6577436D" w:rsidR="008E46A6" w:rsidRPr="00D117D6" w:rsidRDefault="008E46A6" w:rsidP="00F7486B">
      <w:pPr>
        <w:pStyle w:val="BodyTextMain"/>
        <w:rPr>
          <w:lang w:val="en-GB"/>
        </w:rPr>
      </w:pPr>
      <w:r w:rsidRPr="00D117D6">
        <w:rPr>
          <w:lang w:val="en-GB"/>
        </w:rPr>
        <w:t>In 2010, SATS entered into an agreement to purchase Japan Airlines International Co. Ltd</w:t>
      </w:r>
      <w:r>
        <w:rPr>
          <w:lang w:val="en-GB"/>
        </w:rPr>
        <w:t>.’s</w:t>
      </w:r>
      <w:r w:rsidRPr="00D117D6">
        <w:rPr>
          <w:lang w:val="en-GB"/>
        </w:rPr>
        <w:t xml:space="preserve"> entire 50.7 per cent stake in TFK Corporation (TFK) for approximately SG$122 million</w:t>
      </w:r>
      <w:r>
        <w:rPr>
          <w:lang w:val="en-GB"/>
        </w:rPr>
        <w:t>.</w:t>
      </w:r>
      <w:r w:rsidRPr="00D117D6">
        <w:rPr>
          <w:rStyle w:val="EndnoteReference"/>
          <w:lang w:val="en-GB"/>
        </w:rPr>
        <w:endnoteReference w:id="73"/>
      </w:r>
      <w:r w:rsidRPr="00D117D6">
        <w:rPr>
          <w:lang w:val="en-GB"/>
        </w:rPr>
        <w:t xml:space="preserve"> TFK was the leading airline caterer in Japan. It had a strong presence at both Narita </w:t>
      </w:r>
      <w:r>
        <w:rPr>
          <w:lang w:val="en-GB"/>
        </w:rPr>
        <w:t>and Tokyo International Airports</w:t>
      </w:r>
      <w:r w:rsidRPr="00D117D6">
        <w:rPr>
          <w:lang w:val="en-GB"/>
        </w:rPr>
        <w:t>, the two major international gateways of Japan.</w:t>
      </w:r>
      <w:r>
        <w:rPr>
          <w:lang w:val="en-GB"/>
        </w:rPr>
        <w:t xml:space="preserve"> </w:t>
      </w:r>
      <w:r w:rsidRPr="00D117D6">
        <w:rPr>
          <w:lang w:val="en-GB"/>
        </w:rPr>
        <w:t>TFK</w:t>
      </w:r>
      <w:r w:rsidRPr="00D117D6" w:rsidDel="00E24A83">
        <w:rPr>
          <w:lang w:val="en-GB"/>
        </w:rPr>
        <w:t xml:space="preserve"> </w:t>
      </w:r>
      <w:r w:rsidRPr="00D117D6">
        <w:rPr>
          <w:lang w:val="en-GB"/>
        </w:rPr>
        <w:t xml:space="preserve">held a 30 per cent market share in </w:t>
      </w:r>
      <w:r>
        <w:rPr>
          <w:lang w:val="en-GB"/>
        </w:rPr>
        <w:t xml:space="preserve">the </w:t>
      </w:r>
      <w:r w:rsidRPr="00D117D6">
        <w:rPr>
          <w:lang w:val="en-GB"/>
        </w:rPr>
        <w:t>aggregate for both airports</w:t>
      </w:r>
      <w:r>
        <w:rPr>
          <w:lang w:val="en-GB"/>
        </w:rPr>
        <w:t>,</w:t>
      </w:r>
      <w:r w:rsidRPr="00D117D6">
        <w:rPr>
          <w:lang w:val="en-GB"/>
        </w:rPr>
        <w:t xml:space="preserve"> with revenues of about SG$248 million for </w:t>
      </w:r>
      <w:r>
        <w:rPr>
          <w:lang w:val="en-GB"/>
        </w:rPr>
        <w:t>FY</w:t>
      </w:r>
      <w:r w:rsidRPr="00D117D6">
        <w:rPr>
          <w:lang w:val="en-GB"/>
        </w:rPr>
        <w:t xml:space="preserve"> 2018</w:t>
      </w:r>
      <w:r>
        <w:rPr>
          <w:lang w:val="en-GB"/>
        </w:rPr>
        <w:t>–19</w:t>
      </w:r>
      <w:r w:rsidRPr="00D117D6">
        <w:rPr>
          <w:lang w:val="en-GB"/>
        </w:rPr>
        <w:t>.</w:t>
      </w:r>
      <w:r w:rsidRPr="00D117D6">
        <w:rPr>
          <w:rStyle w:val="EndnoteReference"/>
          <w:lang w:val="en-GB"/>
        </w:rPr>
        <w:endnoteReference w:id="74"/>
      </w:r>
      <w:r w:rsidRPr="00D117D6">
        <w:rPr>
          <w:lang w:val="en-GB"/>
        </w:rPr>
        <w:t xml:space="preserve"> </w:t>
      </w:r>
      <w:r>
        <w:rPr>
          <w:lang w:val="en-GB"/>
        </w:rPr>
        <w:t>SATS’s</w:t>
      </w:r>
      <w:r w:rsidRPr="00D117D6">
        <w:rPr>
          <w:lang w:val="en-GB"/>
        </w:rPr>
        <w:t xml:space="preserve"> venture in Japan had reported a gain of SG$228 million for the </w:t>
      </w:r>
      <w:r>
        <w:rPr>
          <w:lang w:val="en-GB"/>
        </w:rPr>
        <w:t>FY</w:t>
      </w:r>
      <w:r w:rsidRPr="00D117D6">
        <w:rPr>
          <w:lang w:val="en-GB"/>
        </w:rPr>
        <w:t xml:space="preserve"> ending on March</w:t>
      </w:r>
      <w:r>
        <w:rPr>
          <w:lang w:val="en-GB"/>
        </w:rPr>
        <w:t xml:space="preserve"> 31,</w:t>
      </w:r>
      <w:r w:rsidRPr="00D117D6">
        <w:rPr>
          <w:lang w:val="en-GB"/>
        </w:rPr>
        <w:t xml:space="preserve"> 2018</w:t>
      </w:r>
      <w:r>
        <w:rPr>
          <w:lang w:val="en-GB"/>
        </w:rPr>
        <w:t>.</w:t>
      </w:r>
      <w:r w:rsidRPr="00D117D6">
        <w:rPr>
          <w:rStyle w:val="EndnoteReference"/>
          <w:lang w:val="en-GB"/>
        </w:rPr>
        <w:endnoteReference w:id="75"/>
      </w:r>
      <w:r w:rsidRPr="00D117D6">
        <w:rPr>
          <w:lang w:val="en-GB"/>
        </w:rPr>
        <w:t xml:space="preserve"> The first venture in Japan turned out to be a profitable one over the years (</w:t>
      </w:r>
      <w:r>
        <w:rPr>
          <w:lang w:val="en-GB"/>
        </w:rPr>
        <w:t>see</w:t>
      </w:r>
      <w:r w:rsidRPr="00D117D6">
        <w:rPr>
          <w:lang w:val="en-GB"/>
        </w:rPr>
        <w:t xml:space="preserve"> Exhibit 9). On the back of this successful venture experience, it would be timely to explore further growth opportunities in the country.</w:t>
      </w:r>
    </w:p>
    <w:p w14:paraId="22B39631" w14:textId="77777777" w:rsidR="008E46A6" w:rsidRPr="005223BD" w:rsidRDefault="008E46A6" w:rsidP="00F7486B">
      <w:pPr>
        <w:pStyle w:val="BodyTextMain"/>
        <w:rPr>
          <w:sz w:val="20"/>
          <w:szCs w:val="18"/>
          <w:lang w:val="en-GB"/>
        </w:rPr>
      </w:pPr>
    </w:p>
    <w:p w14:paraId="66A206EE" w14:textId="6E41A2C5" w:rsidR="008E46A6" w:rsidRPr="00D117D6" w:rsidRDefault="008E46A6" w:rsidP="00F7486B">
      <w:pPr>
        <w:pStyle w:val="BodyTextMain"/>
        <w:rPr>
          <w:lang w:val="en-GB"/>
        </w:rPr>
      </w:pPr>
      <w:r w:rsidRPr="00D117D6">
        <w:rPr>
          <w:lang w:val="en-GB"/>
        </w:rPr>
        <w:lastRenderedPageBreak/>
        <w:t xml:space="preserve">Being a small island country, Japan lacked the natural resources to </w:t>
      </w:r>
      <w:r>
        <w:rPr>
          <w:lang w:val="en-GB"/>
        </w:rPr>
        <w:t>self-sufficiently sustain</w:t>
      </w:r>
      <w:r w:rsidRPr="00D117D6">
        <w:rPr>
          <w:lang w:val="en-GB"/>
        </w:rPr>
        <w:t xml:space="preserve"> agricultural demand in the country. This was compensated by importing the required resources from the global market. In 2018, Japan imported food products worth $64 billion, making it one of the </w:t>
      </w:r>
      <w:r>
        <w:rPr>
          <w:lang w:val="en-GB"/>
        </w:rPr>
        <w:t>largest</w:t>
      </w:r>
      <w:r w:rsidRPr="00D117D6">
        <w:rPr>
          <w:lang w:val="en-GB"/>
        </w:rPr>
        <w:t xml:space="preserve"> food importers in the world.</w:t>
      </w:r>
      <w:r w:rsidRPr="00D117D6">
        <w:rPr>
          <w:rStyle w:val="EndnoteReference"/>
          <w:lang w:val="en-GB"/>
        </w:rPr>
        <w:endnoteReference w:id="76"/>
      </w:r>
      <w:r w:rsidRPr="00D117D6">
        <w:rPr>
          <w:lang w:val="en-GB"/>
        </w:rPr>
        <w:t xml:space="preserve"> The major share of its imports was perishable items including seafood, fruit, vegetables</w:t>
      </w:r>
      <w:r>
        <w:rPr>
          <w:lang w:val="en-GB"/>
        </w:rPr>
        <w:t>,</w:t>
      </w:r>
      <w:r w:rsidRPr="00D117D6">
        <w:rPr>
          <w:lang w:val="en-GB"/>
        </w:rPr>
        <w:t xml:space="preserve"> and dairy </w:t>
      </w:r>
      <w:r>
        <w:rPr>
          <w:lang w:val="en-GB"/>
        </w:rPr>
        <w:t>products</w:t>
      </w:r>
      <w:r w:rsidRPr="00D117D6">
        <w:rPr>
          <w:lang w:val="en-GB"/>
        </w:rPr>
        <w:t xml:space="preserve">. These items possessed </w:t>
      </w:r>
      <w:r>
        <w:rPr>
          <w:lang w:val="en-GB"/>
        </w:rPr>
        <w:t xml:space="preserve">a </w:t>
      </w:r>
      <w:r w:rsidRPr="00D117D6">
        <w:rPr>
          <w:lang w:val="en-GB"/>
        </w:rPr>
        <w:t>short shelf life and required cold chain logistics for transportation and storage. Other products that required similar transportation and handling infrastructure came from the pharmaceutical industry.</w:t>
      </w:r>
      <w:r>
        <w:rPr>
          <w:lang w:val="en-GB"/>
        </w:rPr>
        <w:t xml:space="preserve"> </w:t>
      </w:r>
      <w:r w:rsidRPr="00D117D6">
        <w:rPr>
          <w:lang w:val="en-GB"/>
        </w:rPr>
        <w:t>Pharmaceutical sales in Japan hit about $95 billion in 2015 and were anticipated to increase to $108 billion by 2020.</w:t>
      </w:r>
      <w:r w:rsidRPr="00D117D6">
        <w:rPr>
          <w:rStyle w:val="EndnoteReference"/>
          <w:lang w:val="en-GB"/>
        </w:rPr>
        <w:endnoteReference w:id="77"/>
      </w:r>
      <w:r w:rsidRPr="00D117D6">
        <w:rPr>
          <w:lang w:val="en-GB"/>
        </w:rPr>
        <w:t xml:space="preserve"> The rise in demand for pharmaceutical products reflected the issue of a large and rapidly aging population that had the highest </w:t>
      </w:r>
      <w:r>
        <w:rPr>
          <w:lang w:val="en-GB"/>
        </w:rPr>
        <w:t>health care</w:t>
      </w:r>
      <w:r w:rsidRPr="00D117D6">
        <w:rPr>
          <w:lang w:val="en-GB"/>
        </w:rPr>
        <w:t xml:space="preserve"> expenditure per capita in the world.</w:t>
      </w:r>
      <w:r w:rsidRPr="00D117D6">
        <w:rPr>
          <w:rStyle w:val="EndnoteReference"/>
          <w:lang w:val="en-GB"/>
        </w:rPr>
        <w:endnoteReference w:id="78"/>
      </w:r>
      <w:r w:rsidRPr="00D117D6">
        <w:rPr>
          <w:lang w:val="en-GB"/>
        </w:rPr>
        <w:t xml:space="preserve"> In 2013, 25 per cent of the country’s population was above </w:t>
      </w:r>
      <w:r>
        <w:rPr>
          <w:lang w:val="en-GB"/>
        </w:rPr>
        <w:t xml:space="preserve">the age of </w:t>
      </w:r>
      <w:r w:rsidRPr="00D117D6">
        <w:rPr>
          <w:lang w:val="en-GB"/>
        </w:rPr>
        <w:t>65</w:t>
      </w:r>
      <w:r>
        <w:rPr>
          <w:lang w:val="en-GB"/>
        </w:rPr>
        <w:t>, and</w:t>
      </w:r>
      <w:r w:rsidRPr="00D117D6">
        <w:rPr>
          <w:lang w:val="en-GB"/>
        </w:rPr>
        <w:t xml:space="preserve"> </w:t>
      </w:r>
      <w:r>
        <w:rPr>
          <w:lang w:val="en-GB"/>
        </w:rPr>
        <w:t>this</w:t>
      </w:r>
      <w:r w:rsidRPr="00D117D6">
        <w:rPr>
          <w:lang w:val="en-GB"/>
        </w:rPr>
        <w:t xml:space="preserve"> </w:t>
      </w:r>
      <w:r>
        <w:rPr>
          <w:lang w:val="en-GB"/>
        </w:rPr>
        <w:t xml:space="preserve">figure </w:t>
      </w:r>
      <w:r w:rsidRPr="00D117D6">
        <w:rPr>
          <w:lang w:val="en-GB"/>
        </w:rPr>
        <w:t>was likely to grow to 36 per cent by the end of 2030.</w:t>
      </w:r>
      <w:r w:rsidRPr="00D117D6">
        <w:rPr>
          <w:rStyle w:val="EndnoteReference"/>
          <w:lang w:val="en-GB"/>
        </w:rPr>
        <w:endnoteReference w:id="79"/>
      </w:r>
    </w:p>
    <w:p w14:paraId="2DDC4B22" w14:textId="77777777" w:rsidR="008E46A6" w:rsidRPr="005223BD" w:rsidRDefault="008E46A6" w:rsidP="00F7486B">
      <w:pPr>
        <w:pStyle w:val="BodyTextMain"/>
        <w:rPr>
          <w:sz w:val="20"/>
          <w:szCs w:val="18"/>
          <w:lang w:val="en-GB"/>
        </w:rPr>
      </w:pPr>
    </w:p>
    <w:p w14:paraId="70F0D058" w14:textId="1E261BDF" w:rsidR="008E46A6" w:rsidRPr="00913BC7" w:rsidRDefault="008E46A6" w:rsidP="00F7486B">
      <w:pPr>
        <w:pStyle w:val="BodyTextMain"/>
        <w:rPr>
          <w:spacing w:val="-2"/>
          <w:lang w:val="en-GB"/>
        </w:rPr>
      </w:pPr>
      <w:r w:rsidRPr="00913BC7">
        <w:rPr>
          <w:spacing w:val="-2"/>
          <w:lang w:val="en-GB"/>
        </w:rPr>
        <w:t>To cater to the growth in temperature-sensitive products, Tokyo airports had to expand their existing capacity of cold chain facilities. The Tokyo International Air Cargo Terminal (TIACT) operated a common cold chain centre (referred to as a “medical gateway”) for the two operational airports. It had a floor space of 1,200 square metres and operated only within three specific temperature ranges.</w:t>
      </w:r>
      <w:r w:rsidRPr="00913BC7">
        <w:rPr>
          <w:rStyle w:val="EndnoteReference"/>
          <w:spacing w:val="-2"/>
          <w:lang w:val="en-GB"/>
        </w:rPr>
        <w:endnoteReference w:id="80"/>
      </w:r>
      <w:r w:rsidRPr="00913BC7">
        <w:rPr>
          <w:spacing w:val="-2"/>
          <w:lang w:val="en-GB"/>
        </w:rPr>
        <w:t xml:space="preserve"> In 2018, Narita International Airport had installed the 2,504-square-metre Cargo Climate Control Terminal to accommodate growing demand for temperature-sensitive goods.</w:t>
      </w:r>
      <w:r w:rsidRPr="00913BC7">
        <w:rPr>
          <w:rStyle w:val="EndnoteReference"/>
          <w:spacing w:val="-2"/>
          <w:lang w:val="en-GB"/>
        </w:rPr>
        <w:endnoteReference w:id="81"/>
      </w:r>
      <w:r w:rsidRPr="00913BC7">
        <w:rPr>
          <w:spacing w:val="-2"/>
          <w:lang w:val="en-GB"/>
        </w:rPr>
        <w:t xml:space="preserve"> Comparing these facilities to SATS Coolport in Singapore, which had a floor space of 8,000 square metres and 18 different cold rooms, the facilities at Tokyo’s airport were significantly smaller, lacked the advanced technology, and offered a limited range of services.</w:t>
      </w:r>
      <w:r w:rsidRPr="00913BC7">
        <w:rPr>
          <w:rStyle w:val="EndnoteReference"/>
          <w:spacing w:val="-2"/>
          <w:lang w:val="en-GB"/>
        </w:rPr>
        <w:endnoteReference w:id="82"/>
      </w:r>
      <w:r w:rsidRPr="00913BC7">
        <w:rPr>
          <w:spacing w:val="-2"/>
          <w:lang w:val="en-GB"/>
        </w:rPr>
        <w:t xml:space="preserve"> To leverage opportunities from the present trade flow of perishable goods into the country, SATS, along with TFK, could enter into a joint venture with TIACT to jointly build and operate a cold storage facility. </w:t>
      </w:r>
    </w:p>
    <w:p w14:paraId="32F80C33" w14:textId="77777777" w:rsidR="008E46A6" w:rsidRPr="005223BD" w:rsidRDefault="008E46A6" w:rsidP="00F7486B">
      <w:pPr>
        <w:pStyle w:val="BodyTextMain"/>
        <w:rPr>
          <w:sz w:val="20"/>
          <w:szCs w:val="18"/>
          <w:lang w:val="en-GB"/>
        </w:rPr>
      </w:pPr>
    </w:p>
    <w:p w14:paraId="6175B1C8" w14:textId="2B628B02" w:rsidR="008E46A6" w:rsidRPr="00D117D6" w:rsidRDefault="008E46A6" w:rsidP="00F7486B">
      <w:pPr>
        <w:pStyle w:val="BodyTextMain"/>
        <w:rPr>
          <w:lang w:val="en-GB"/>
        </w:rPr>
      </w:pPr>
      <w:r w:rsidRPr="00D117D6">
        <w:rPr>
          <w:lang w:val="en-GB"/>
        </w:rPr>
        <w:t>Apart from acting as a gateway for handling various temperature-sensitive goods imported into Japan, the facility could help grow trade between the two countries. Japan imported pharmaceutical goods worth $665 million from Singapore in 2017</w:t>
      </w:r>
      <w:r>
        <w:rPr>
          <w:lang w:val="en-GB"/>
        </w:rPr>
        <w:t>–18,</w:t>
      </w:r>
      <w:r w:rsidRPr="00D117D6">
        <w:rPr>
          <w:rStyle w:val="EndnoteReference"/>
          <w:lang w:val="en-GB"/>
        </w:rPr>
        <w:endnoteReference w:id="83"/>
      </w:r>
      <w:r w:rsidRPr="00D117D6">
        <w:rPr>
          <w:lang w:val="en-GB"/>
        </w:rPr>
        <w:t xml:space="preserve"> which accounted for </w:t>
      </w:r>
      <w:r>
        <w:rPr>
          <w:lang w:val="en-GB"/>
        </w:rPr>
        <w:t>4</w:t>
      </w:r>
      <w:r w:rsidRPr="00D117D6">
        <w:rPr>
          <w:lang w:val="en-GB"/>
        </w:rPr>
        <w:t xml:space="preserve"> per cent of </w:t>
      </w:r>
      <w:r>
        <w:rPr>
          <w:lang w:val="en-GB"/>
        </w:rPr>
        <w:t>the country’s</w:t>
      </w:r>
      <w:r w:rsidRPr="00D117D6">
        <w:rPr>
          <w:lang w:val="en-GB"/>
        </w:rPr>
        <w:t xml:space="preserve"> pharmaceutical imports.</w:t>
      </w:r>
      <w:r w:rsidRPr="00D117D6">
        <w:rPr>
          <w:rStyle w:val="EndnoteReference"/>
          <w:lang w:val="en-GB"/>
        </w:rPr>
        <w:endnoteReference w:id="84"/>
      </w:r>
      <w:r w:rsidRPr="00D117D6">
        <w:rPr>
          <w:lang w:val="en-GB"/>
        </w:rPr>
        <w:t xml:space="preserve"> </w:t>
      </w:r>
      <w:r>
        <w:rPr>
          <w:lang w:val="en-GB"/>
        </w:rPr>
        <w:t>As a</w:t>
      </w:r>
      <w:r w:rsidRPr="00D117D6">
        <w:rPr>
          <w:lang w:val="en-GB"/>
        </w:rPr>
        <w:t xml:space="preserve"> common operator on both ends</w:t>
      </w:r>
      <w:r>
        <w:rPr>
          <w:lang w:val="en-GB"/>
        </w:rPr>
        <w:t>,</w:t>
      </w:r>
      <w:r w:rsidRPr="00D117D6">
        <w:rPr>
          <w:lang w:val="en-GB"/>
        </w:rPr>
        <w:t xml:space="preserve"> </w:t>
      </w:r>
      <w:r>
        <w:rPr>
          <w:lang w:val="en-GB"/>
        </w:rPr>
        <w:t>SATS could</w:t>
      </w:r>
      <w:r w:rsidRPr="00D117D6">
        <w:rPr>
          <w:lang w:val="en-GB"/>
        </w:rPr>
        <w:t xml:space="preserve"> help</w:t>
      </w:r>
      <w:r>
        <w:rPr>
          <w:lang w:val="en-GB"/>
        </w:rPr>
        <w:t xml:space="preserve"> to</w:t>
      </w:r>
      <w:r w:rsidRPr="00D117D6">
        <w:rPr>
          <w:lang w:val="en-GB"/>
        </w:rPr>
        <w:t xml:space="preserve"> establish a more linear </w:t>
      </w:r>
      <w:r>
        <w:rPr>
          <w:lang w:val="en-GB"/>
        </w:rPr>
        <w:t>cold chain</w:t>
      </w:r>
      <w:r w:rsidRPr="00D117D6">
        <w:rPr>
          <w:lang w:val="en-GB"/>
        </w:rPr>
        <w:t xml:space="preserve"> supply chain, opening opportunities for growth in trade volume.</w:t>
      </w:r>
    </w:p>
    <w:p w14:paraId="1617973D" w14:textId="77777777" w:rsidR="008E46A6" w:rsidRPr="005223BD" w:rsidRDefault="008E46A6" w:rsidP="00F7486B">
      <w:pPr>
        <w:pStyle w:val="BodyTextMain"/>
        <w:rPr>
          <w:sz w:val="20"/>
          <w:szCs w:val="18"/>
          <w:lang w:val="en-GB"/>
        </w:rPr>
      </w:pPr>
    </w:p>
    <w:p w14:paraId="7B32428F" w14:textId="7D34408C" w:rsidR="008E46A6" w:rsidRPr="00D117D6" w:rsidRDefault="008E46A6" w:rsidP="00F7486B">
      <w:pPr>
        <w:pStyle w:val="BodyTextMain"/>
        <w:rPr>
          <w:lang w:val="en-GB"/>
        </w:rPr>
      </w:pPr>
      <w:r w:rsidRPr="00D117D6">
        <w:rPr>
          <w:lang w:val="en-GB"/>
        </w:rPr>
        <w:t>One key challenge faced by SATS would be competition from the ocean cargo industry. China, South Korea, Taiwan</w:t>
      </w:r>
      <w:r>
        <w:rPr>
          <w:lang w:val="en-GB"/>
        </w:rPr>
        <w:t>,</w:t>
      </w:r>
      <w:r w:rsidRPr="00D117D6">
        <w:rPr>
          <w:lang w:val="en-GB"/>
        </w:rPr>
        <w:t xml:space="preserve"> and Hong Kong were among the top trading partners for Japan. These countries were geographically closer to Japan and better connected via maritime links than Singapore. In 2014, ocean cargo was responsible for close to 35 million </w:t>
      </w:r>
      <w:r>
        <w:rPr>
          <w:lang w:val="en-GB"/>
        </w:rPr>
        <w:t>metric tons</w:t>
      </w:r>
      <w:r w:rsidRPr="00D117D6">
        <w:rPr>
          <w:lang w:val="en-GB"/>
        </w:rPr>
        <w:t xml:space="preserve"> of trade volume between Japan and China.</w:t>
      </w:r>
      <w:r w:rsidRPr="00D117D6">
        <w:rPr>
          <w:rStyle w:val="EndnoteReference"/>
          <w:lang w:val="en-GB"/>
        </w:rPr>
        <w:endnoteReference w:id="85"/>
      </w:r>
      <w:r w:rsidRPr="00D117D6">
        <w:rPr>
          <w:lang w:val="en-GB"/>
        </w:rPr>
        <w:t xml:space="preserve"> In comparison, Japan’s total air freight volume for the same year was 2 million </w:t>
      </w:r>
      <w:r>
        <w:rPr>
          <w:lang w:val="en-GB"/>
        </w:rPr>
        <w:t>metric tons</w:t>
      </w:r>
      <w:r w:rsidRPr="00D117D6">
        <w:rPr>
          <w:lang w:val="en-GB"/>
        </w:rPr>
        <w:t>.</w:t>
      </w:r>
      <w:r w:rsidRPr="00D117D6">
        <w:rPr>
          <w:rStyle w:val="EndnoteReference"/>
          <w:lang w:val="en-GB"/>
        </w:rPr>
        <w:endnoteReference w:id="86"/>
      </w:r>
      <w:r w:rsidRPr="00D117D6">
        <w:rPr>
          <w:lang w:val="en-GB"/>
        </w:rPr>
        <w:t xml:space="preserve"> Although the air cargo volume in Japan indicated steady growth</w:t>
      </w:r>
      <w:r>
        <w:rPr>
          <w:lang w:val="en-GB"/>
        </w:rPr>
        <w:t>,</w:t>
      </w:r>
      <w:r w:rsidRPr="00D117D6">
        <w:rPr>
          <w:lang w:val="en-GB"/>
        </w:rPr>
        <w:t xml:space="preserve"> it was no match for the cheap and conveniently accessible ocean cargo, which was highly preferred over the fast and reliable but expensive air cargo</w:t>
      </w:r>
      <w:r>
        <w:rPr>
          <w:lang w:val="en-GB"/>
        </w:rPr>
        <w:t xml:space="preserve"> </w:t>
      </w:r>
      <w:r w:rsidRPr="00D117D6">
        <w:rPr>
          <w:lang w:val="en-GB"/>
        </w:rPr>
        <w:t>(</w:t>
      </w:r>
      <w:r>
        <w:rPr>
          <w:lang w:val="en-GB"/>
        </w:rPr>
        <w:t>see</w:t>
      </w:r>
      <w:r w:rsidRPr="00D117D6">
        <w:rPr>
          <w:lang w:val="en-GB"/>
        </w:rPr>
        <w:t xml:space="preserve"> Exhibit 10).</w:t>
      </w:r>
    </w:p>
    <w:p w14:paraId="1B18F33C" w14:textId="77777777" w:rsidR="008E46A6" w:rsidRPr="005223BD" w:rsidRDefault="008E46A6" w:rsidP="00F7486B">
      <w:pPr>
        <w:pStyle w:val="BodyTextMain"/>
        <w:rPr>
          <w:sz w:val="20"/>
          <w:szCs w:val="18"/>
          <w:lang w:val="en-GB"/>
        </w:rPr>
      </w:pPr>
    </w:p>
    <w:p w14:paraId="52306049" w14:textId="5C233181" w:rsidR="008E46A6" w:rsidRPr="000969CE" w:rsidRDefault="008E46A6" w:rsidP="00F7486B">
      <w:pPr>
        <w:pStyle w:val="BodyTextMain"/>
        <w:rPr>
          <w:spacing w:val="-2"/>
          <w:lang w:val="en-GB"/>
        </w:rPr>
      </w:pPr>
      <w:r w:rsidRPr="000969CE">
        <w:rPr>
          <w:spacing w:val="-2"/>
          <w:lang w:val="en-GB"/>
        </w:rPr>
        <w:t>With a foreign direct investment (FDI) to GDP ratio of only 3.8 per cent, Japan had the lowest level of FDI among industrialized countries.</w:t>
      </w:r>
      <w:r w:rsidRPr="000969CE">
        <w:rPr>
          <w:rStyle w:val="EndnoteReference"/>
          <w:spacing w:val="-2"/>
          <w:lang w:val="en-GB"/>
        </w:rPr>
        <w:endnoteReference w:id="87"/>
      </w:r>
      <w:r w:rsidRPr="000969CE">
        <w:rPr>
          <w:spacing w:val="-2"/>
          <w:lang w:val="en-GB"/>
        </w:rPr>
        <w:t xml:space="preserve"> High tax rates and employment costs along with lower NOL carrying periods created a challenging environment for foreign investors setting their sights on Japan. The non-English-speaking environment with strong cultural differences presented further challenges to foreign investors.</w:t>
      </w:r>
      <w:r w:rsidRPr="000969CE">
        <w:rPr>
          <w:rStyle w:val="EndnoteReference"/>
          <w:spacing w:val="-2"/>
          <w:lang w:val="en-GB"/>
        </w:rPr>
        <w:endnoteReference w:id="88"/>
      </w:r>
    </w:p>
    <w:p w14:paraId="24EA9F92" w14:textId="2C950090" w:rsidR="00A23693" w:rsidRPr="005223BD" w:rsidRDefault="00A23693" w:rsidP="00F7486B">
      <w:pPr>
        <w:pStyle w:val="BodyTextMain"/>
        <w:rPr>
          <w:sz w:val="20"/>
          <w:szCs w:val="18"/>
          <w:lang w:val="en-GB"/>
        </w:rPr>
      </w:pPr>
    </w:p>
    <w:p w14:paraId="6B436D40" w14:textId="77777777" w:rsidR="00A23693" w:rsidRPr="005223BD" w:rsidRDefault="00A23693" w:rsidP="00F7486B">
      <w:pPr>
        <w:pStyle w:val="BodyTextMain"/>
        <w:rPr>
          <w:sz w:val="20"/>
          <w:szCs w:val="18"/>
          <w:lang w:val="en-GB"/>
        </w:rPr>
      </w:pPr>
    </w:p>
    <w:p w14:paraId="57F86FB7" w14:textId="77777777" w:rsidR="00A23693" w:rsidRPr="00D117D6" w:rsidRDefault="00A23693" w:rsidP="00F7486B">
      <w:pPr>
        <w:pStyle w:val="Casehead1"/>
        <w:rPr>
          <w:lang w:val="en-GB"/>
        </w:rPr>
      </w:pPr>
      <w:r w:rsidRPr="00D117D6">
        <w:rPr>
          <w:lang w:val="en-GB"/>
        </w:rPr>
        <w:t>MOVING FORWARD</w:t>
      </w:r>
    </w:p>
    <w:p w14:paraId="1CE4DDF6" w14:textId="77777777" w:rsidR="00A23693" w:rsidRPr="005223BD" w:rsidRDefault="00A23693" w:rsidP="00F7486B">
      <w:pPr>
        <w:pStyle w:val="BodyTextMain"/>
        <w:rPr>
          <w:sz w:val="20"/>
          <w:szCs w:val="18"/>
          <w:lang w:val="en-GB"/>
        </w:rPr>
      </w:pPr>
    </w:p>
    <w:p w14:paraId="213D1C73" w14:textId="4C85D0A1" w:rsidR="00A23693" w:rsidRPr="00D117D6" w:rsidRDefault="00A23693" w:rsidP="005223BD">
      <w:pPr>
        <w:pStyle w:val="BodyTextMain"/>
        <w:rPr>
          <w:rFonts w:ascii="Arial" w:hAnsi="Arial" w:cs="Arial"/>
          <w:lang w:val="en-GB"/>
        </w:rPr>
      </w:pPr>
      <w:r w:rsidRPr="00D117D6">
        <w:rPr>
          <w:lang w:val="en-GB"/>
        </w:rPr>
        <w:t xml:space="preserve">It was apparent that </w:t>
      </w:r>
      <w:r>
        <w:rPr>
          <w:lang w:val="en-GB"/>
        </w:rPr>
        <w:t xml:space="preserve">the </w:t>
      </w:r>
      <w:r w:rsidRPr="00D117D6">
        <w:rPr>
          <w:lang w:val="en-GB"/>
        </w:rPr>
        <w:t>two opportunities presented in the Asian region merited further attention from SATS. As Khoo examined the two options for future growth</w:t>
      </w:r>
      <w:r>
        <w:rPr>
          <w:lang w:val="en-GB"/>
        </w:rPr>
        <w:t>,</w:t>
      </w:r>
      <w:r w:rsidRPr="00D117D6">
        <w:rPr>
          <w:lang w:val="en-GB"/>
        </w:rPr>
        <w:t xml:space="preserve"> he knew </w:t>
      </w:r>
      <w:r>
        <w:rPr>
          <w:lang w:val="en-GB"/>
        </w:rPr>
        <w:t>that a decision</w:t>
      </w:r>
      <w:r w:rsidRPr="00D117D6">
        <w:rPr>
          <w:lang w:val="en-GB"/>
        </w:rPr>
        <w:t xml:space="preserve"> should </w:t>
      </w:r>
      <w:r>
        <w:rPr>
          <w:lang w:val="en-GB"/>
        </w:rPr>
        <w:t>soon be made</w:t>
      </w:r>
      <w:r w:rsidRPr="00D117D6">
        <w:rPr>
          <w:lang w:val="en-GB"/>
        </w:rPr>
        <w:t>. Should the company consider the Chinese air cargo market</w:t>
      </w:r>
      <w:r>
        <w:rPr>
          <w:lang w:val="en-GB"/>
        </w:rPr>
        <w:t>, which</w:t>
      </w:r>
      <w:r w:rsidRPr="00D117D6">
        <w:rPr>
          <w:lang w:val="en-GB"/>
        </w:rPr>
        <w:t xml:space="preserve"> was in a stage of high growth but fraught with bureaucracy</w:t>
      </w:r>
      <w:r>
        <w:rPr>
          <w:lang w:val="en-GB"/>
        </w:rPr>
        <w:t>?</w:t>
      </w:r>
      <w:r w:rsidRPr="00D117D6">
        <w:rPr>
          <w:lang w:val="en-GB"/>
        </w:rPr>
        <w:t xml:space="preserve"> </w:t>
      </w:r>
      <w:r>
        <w:rPr>
          <w:lang w:val="en-GB"/>
        </w:rPr>
        <w:t>Or</w:t>
      </w:r>
      <w:r w:rsidRPr="00D117D6">
        <w:rPr>
          <w:lang w:val="en-GB"/>
        </w:rPr>
        <w:t xml:space="preserve"> should it focus on the Japanese air freight industry</w:t>
      </w:r>
      <w:r>
        <w:rPr>
          <w:lang w:val="en-GB"/>
        </w:rPr>
        <w:t>, which</w:t>
      </w:r>
      <w:r w:rsidRPr="00D117D6">
        <w:rPr>
          <w:lang w:val="en-GB"/>
        </w:rPr>
        <w:t xml:space="preserve"> was more established but challenging to foreign investment?</w:t>
      </w:r>
    </w:p>
    <w:p w14:paraId="766CEBEA" w14:textId="42B17D58" w:rsidR="00A23693" w:rsidRPr="00D117D6" w:rsidRDefault="00A23693" w:rsidP="005223BD">
      <w:pPr>
        <w:pStyle w:val="ExhibitHeading"/>
        <w:rPr>
          <w:lang w:val="en-GB"/>
        </w:rPr>
      </w:pPr>
      <w:r w:rsidRPr="00D117D6">
        <w:rPr>
          <w:noProof/>
          <w:lang w:val="en-SG" w:eastAsia="zh-CN"/>
        </w:rPr>
        <w:lastRenderedPageBreak/>
        <mc:AlternateContent>
          <mc:Choice Requires="wps">
            <w:drawing>
              <wp:anchor distT="0" distB="0" distL="114300" distR="114300" simplePos="0" relativeHeight="251686912" behindDoc="0" locked="0" layoutInCell="1" allowOverlap="1" wp14:anchorId="14CB8169" wp14:editId="7D4A9ECE">
                <wp:simplePos x="0" y="0"/>
                <wp:positionH relativeFrom="column">
                  <wp:posOffset>2712720</wp:posOffset>
                </wp:positionH>
                <wp:positionV relativeFrom="paragraph">
                  <wp:posOffset>807720</wp:posOffset>
                </wp:positionV>
                <wp:extent cx="655320" cy="259080"/>
                <wp:effectExtent l="0" t="0" r="11430" b="26670"/>
                <wp:wrapNone/>
                <wp:docPr id="11" name="Rectangle: Rounded Corners 25"/>
                <wp:cNvGraphicFramePr/>
                <a:graphic xmlns:a="http://schemas.openxmlformats.org/drawingml/2006/main">
                  <a:graphicData uri="http://schemas.microsoft.com/office/word/2010/wordprocessingShape">
                    <wps:wsp>
                      <wps:cNvSpPr/>
                      <wps:spPr>
                        <a:xfrm>
                          <a:off x="0" y="0"/>
                          <a:ext cx="655320" cy="259080"/>
                        </a:xfrm>
                        <a:prstGeom prst="roundRect">
                          <a:avLst/>
                        </a:prstGeom>
                        <a:solidFill>
                          <a:schemeClr val="bg1"/>
                        </a:solidFill>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098DA054" w14:textId="77777777" w:rsidR="00DD2726" w:rsidRPr="00435FA2" w:rsidRDefault="00DD2726" w:rsidP="00F7486B">
                            <w:pPr>
                              <w:jc w:val="center"/>
                              <w:rPr>
                                <w:rFonts w:ascii="Arial" w:hAnsi="Arial" w:cs="Arial"/>
                                <w:sz w:val="17"/>
                                <w:szCs w:val="17"/>
                              </w:rPr>
                            </w:pPr>
                            <w:r w:rsidRPr="00435FA2">
                              <w:rPr>
                                <w:rFonts w:ascii="Arial" w:hAnsi="Arial" w:cs="Arial"/>
                                <w:sz w:val="17"/>
                                <w:szCs w:val="17"/>
                              </w:rPr>
                              <w:t>Carrier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CB8169" id="Rectangle: Rounded Corners 25" o:spid="_x0000_s1026" style="position:absolute;left:0;text-align:left;margin-left:213.6pt;margin-top:63.6pt;width:51.6pt;height:20.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" fillcolor="white [3212]" strokecolor="black [3213]" strokeweight=".5pt">
                <v:textbox>
                  <w:txbxContent>
                    <w:p w14:paraId="098DA054" w14:textId="77777777" w:rsidR="00DD2726" w:rsidRPr="00435FA2" w:rsidRDefault="00DD2726" w:rsidP="00F7486B">
                      <w:pPr>
                        <w:jc w:val="center"/>
                        <w:rPr>
                          <w:rFonts w:ascii="Arial" w:hAnsi="Arial" w:cs="Arial"/>
                          <w:sz w:val="17"/>
                          <w:szCs w:val="17"/>
                        </w:rPr>
                      </w:pPr>
                      <w:r w:rsidRPr="00435FA2">
                        <w:rPr>
                          <w:rFonts w:ascii="Arial" w:hAnsi="Arial" w:cs="Arial"/>
                          <w:sz w:val="17"/>
                          <w:szCs w:val="17"/>
                        </w:rPr>
                        <w:t>Carrier</w:t>
                      </w:r>
                    </w:p>
                  </w:txbxContent>
                </v:textbox>
              </v:roundrect>
            </w:pict>
          </mc:Fallback>
        </mc:AlternateContent>
      </w:r>
      <w:r w:rsidRPr="00D117D6">
        <w:rPr>
          <w:noProof/>
          <w:lang w:val="en-SG" w:eastAsia="zh-CN"/>
        </w:rPr>
        <mc:AlternateContent>
          <mc:Choice Requires="wps">
            <w:drawing>
              <wp:anchor distT="0" distB="0" distL="114300" distR="114300" simplePos="0" relativeHeight="251683840" behindDoc="0" locked="0" layoutInCell="1" allowOverlap="1" wp14:anchorId="599CDF50" wp14:editId="4D6F8D8D">
                <wp:simplePos x="0" y="0"/>
                <wp:positionH relativeFrom="column">
                  <wp:posOffset>34290</wp:posOffset>
                </wp:positionH>
                <wp:positionV relativeFrom="paragraph">
                  <wp:posOffset>1572260</wp:posOffset>
                </wp:positionV>
                <wp:extent cx="2202180" cy="304800"/>
                <wp:effectExtent l="0" t="0" r="26670" b="19050"/>
                <wp:wrapNone/>
                <wp:docPr id="9" name="Rectangle: Rounded Corners 19"/>
                <wp:cNvGraphicFramePr/>
                <a:graphic xmlns:a="http://schemas.openxmlformats.org/drawingml/2006/main">
                  <a:graphicData uri="http://schemas.microsoft.com/office/word/2010/wordprocessingShape">
                    <wps:wsp>
                      <wps:cNvSpPr/>
                      <wps:spPr>
                        <a:xfrm>
                          <a:off x="0" y="0"/>
                          <a:ext cx="2202180" cy="304800"/>
                        </a:xfrm>
                        <a:prstGeom prst="roundRect">
                          <a:avLst/>
                        </a:prstGeom>
                        <a:solidFill>
                          <a:schemeClr val="bg1"/>
                        </a:solidFill>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29C71AE" w14:textId="77777777" w:rsidR="00DD2726" w:rsidRPr="00604A0F" w:rsidRDefault="00DD2726" w:rsidP="00F7486B">
                            <w:pPr>
                              <w:jc w:val="center"/>
                              <w:rPr>
                                <w:rFonts w:ascii="Arial" w:hAnsi="Arial" w:cs="Arial"/>
                                <w:sz w:val="16"/>
                                <w:szCs w:val="16"/>
                              </w:rPr>
                            </w:pPr>
                            <w:r w:rsidRPr="00604A0F">
                              <w:rPr>
                                <w:rFonts w:ascii="Arial" w:hAnsi="Arial" w:cs="Arial"/>
                                <w:sz w:val="16"/>
                                <w:szCs w:val="16"/>
                              </w:rPr>
                              <w:t>Origin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9CDF50" id="Rectangle: Rounded Corners 19" o:spid="_x0000_s1027" style="position:absolute;left:0;text-align:left;margin-left:2.7pt;margin-top:123.8pt;width:173.4pt;height:2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" fillcolor="white [3212]" strokecolor="black [3213]" strokeweight=".5pt">
                <v:textbox>
                  <w:txbxContent>
                    <w:p w14:paraId="229C71AE" w14:textId="77777777" w:rsidR="00DD2726" w:rsidRPr="00604A0F" w:rsidRDefault="00DD2726" w:rsidP="00F7486B">
                      <w:pPr>
                        <w:jc w:val="center"/>
                        <w:rPr>
                          <w:rFonts w:ascii="Arial" w:hAnsi="Arial" w:cs="Arial"/>
                          <w:sz w:val="16"/>
                          <w:szCs w:val="16"/>
                        </w:rPr>
                      </w:pPr>
                      <w:r w:rsidRPr="00604A0F">
                        <w:rPr>
                          <w:rFonts w:ascii="Arial" w:hAnsi="Arial" w:cs="Arial"/>
                          <w:sz w:val="16"/>
                          <w:szCs w:val="16"/>
                        </w:rPr>
                        <w:t>Origin</w:t>
                      </w:r>
                    </w:p>
                  </w:txbxContent>
                </v:textbox>
              </v:roundrect>
            </w:pict>
          </mc:Fallback>
        </mc:AlternateContent>
      </w:r>
      <w:r w:rsidRPr="00D117D6">
        <w:rPr>
          <w:noProof/>
          <w:lang w:val="en-SG" w:eastAsia="zh-CN"/>
        </w:rPr>
        <mc:AlternateContent>
          <mc:Choice Requires="wps">
            <w:drawing>
              <wp:anchor distT="0" distB="0" distL="114300" distR="114300" simplePos="0" relativeHeight="251684864" behindDoc="0" locked="0" layoutInCell="1" allowOverlap="1" wp14:anchorId="3505D3B5" wp14:editId="3B9788EB">
                <wp:simplePos x="0" y="0"/>
                <wp:positionH relativeFrom="column">
                  <wp:posOffset>3429000</wp:posOffset>
                </wp:positionH>
                <wp:positionV relativeFrom="paragraph">
                  <wp:posOffset>1562100</wp:posOffset>
                </wp:positionV>
                <wp:extent cx="2202180" cy="289560"/>
                <wp:effectExtent l="0" t="0" r="26670" b="15240"/>
                <wp:wrapNone/>
                <wp:docPr id="8" name="Rectangle: Rounded Corners 20"/>
                <wp:cNvGraphicFramePr/>
                <a:graphic xmlns:a="http://schemas.openxmlformats.org/drawingml/2006/main">
                  <a:graphicData uri="http://schemas.microsoft.com/office/word/2010/wordprocessingShape">
                    <wps:wsp>
                      <wps:cNvSpPr/>
                      <wps:spPr>
                        <a:xfrm>
                          <a:off x="0" y="0"/>
                          <a:ext cx="2202180" cy="289560"/>
                        </a:xfrm>
                        <a:prstGeom prst="roundRect">
                          <a:avLst/>
                        </a:prstGeom>
                        <a:solidFill>
                          <a:schemeClr val="bg1"/>
                        </a:solidFill>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A15BCBB" w14:textId="77777777" w:rsidR="00DD2726" w:rsidRPr="00604A0F" w:rsidRDefault="00DD2726" w:rsidP="00F7486B">
                            <w:pPr>
                              <w:jc w:val="center"/>
                              <w:rPr>
                                <w:rFonts w:ascii="Arial" w:hAnsi="Arial" w:cs="Arial"/>
                                <w:sz w:val="16"/>
                                <w:szCs w:val="16"/>
                              </w:rPr>
                            </w:pPr>
                            <w:r w:rsidRPr="00604A0F">
                              <w:rPr>
                                <w:rFonts w:ascii="Arial" w:hAnsi="Arial" w:cs="Arial"/>
                                <w:sz w:val="16"/>
                                <w:szCs w:val="16"/>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5D3B5" id="Rectangle: Rounded Corners 20" o:spid="_x0000_s1028" style="position:absolute;left:0;text-align:left;margin-left:270pt;margin-top:123pt;width:173.4pt;height:22.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" fillcolor="white [3212]" strokecolor="black [3213]" strokeweight=".5pt">
                <v:textbox>
                  <w:txbxContent>
                    <w:p w14:paraId="3A15BCBB" w14:textId="77777777" w:rsidR="00DD2726" w:rsidRPr="00604A0F" w:rsidRDefault="00DD2726" w:rsidP="00F7486B">
                      <w:pPr>
                        <w:jc w:val="center"/>
                        <w:rPr>
                          <w:rFonts w:ascii="Arial" w:hAnsi="Arial" w:cs="Arial"/>
                          <w:sz w:val="16"/>
                          <w:szCs w:val="16"/>
                        </w:rPr>
                      </w:pPr>
                      <w:r w:rsidRPr="00604A0F">
                        <w:rPr>
                          <w:rFonts w:ascii="Arial" w:hAnsi="Arial" w:cs="Arial"/>
                          <w:sz w:val="16"/>
                          <w:szCs w:val="16"/>
                        </w:rPr>
                        <w:t>Destination</w:t>
                      </w:r>
                    </w:p>
                  </w:txbxContent>
                </v:textbox>
              </v:roundrect>
            </w:pict>
          </mc:Fallback>
        </mc:AlternateContent>
      </w:r>
      <w:r w:rsidRPr="00D117D6">
        <w:rPr>
          <w:lang w:val="en-GB"/>
        </w:rPr>
        <w:t>EXHIBIT 1: AIR CARGO INDUSTRY VALUE CHAIN</w:t>
      </w:r>
    </w:p>
    <w:p w14:paraId="40ED74BF" w14:textId="2E225E81" w:rsidR="00A23693" w:rsidRPr="00B62940" w:rsidRDefault="007C18DD" w:rsidP="00B62940">
      <w:pPr>
        <w:pStyle w:val="BodyTextMain"/>
      </w:pPr>
      <w:r w:rsidRPr="00D117D6">
        <w:rPr>
          <w:noProof/>
          <w:lang w:val="en-SG" w:eastAsia="zh-CN"/>
        </w:rPr>
        <w:drawing>
          <wp:anchor distT="0" distB="0" distL="114300" distR="114300" simplePos="0" relativeHeight="251681792" behindDoc="0" locked="0" layoutInCell="1" allowOverlap="1" wp14:anchorId="0070A4FC" wp14:editId="19202B01">
            <wp:simplePos x="0" y="0"/>
            <wp:positionH relativeFrom="margin">
              <wp:posOffset>-52070</wp:posOffset>
            </wp:positionH>
            <wp:positionV relativeFrom="paragraph">
              <wp:posOffset>218440</wp:posOffset>
            </wp:positionV>
            <wp:extent cx="6047105" cy="1905000"/>
            <wp:effectExtent l="19050" t="0" r="10795" b="19050"/>
            <wp:wrapSquare wrapText="bothSides"/>
            <wp:docPr id="27" name="Diagram 27" descr="Air cargo industry value ch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A23693" w:rsidRPr="00B62940">
        <w:rPr>
          <w:noProof/>
          <w:lang w:val="en-SG" w:eastAsia="zh-CN"/>
        </w:rPr>
        <mc:AlternateContent>
          <mc:Choice Requires="wps">
            <w:drawing>
              <wp:anchor distT="0" distB="0" distL="114300" distR="114300" simplePos="0" relativeHeight="251682816" behindDoc="0" locked="0" layoutInCell="1" allowOverlap="1" wp14:anchorId="09C797B6" wp14:editId="26AB5ACA">
                <wp:simplePos x="0" y="0"/>
                <wp:positionH relativeFrom="column">
                  <wp:posOffset>3991555</wp:posOffset>
                </wp:positionH>
                <wp:positionV relativeFrom="paragraph">
                  <wp:posOffset>484615</wp:posOffset>
                </wp:positionV>
                <wp:extent cx="876300" cy="539198"/>
                <wp:effectExtent l="57150" t="57150" r="57150" b="51435"/>
                <wp:wrapNone/>
                <wp:docPr id="12" name="Callout: Down Arrow 13"/>
                <wp:cNvGraphicFramePr/>
                <a:graphic xmlns:a="http://schemas.openxmlformats.org/drawingml/2006/main">
                  <a:graphicData uri="http://schemas.microsoft.com/office/word/2010/wordprocessingShape">
                    <wps:wsp>
                      <wps:cNvSpPr/>
                      <wps:spPr>
                        <a:xfrm>
                          <a:off x="0" y="0"/>
                          <a:ext cx="876300" cy="539198"/>
                        </a:xfrm>
                        <a:prstGeom prst="downArrowCallout">
                          <a:avLst/>
                        </a:prstGeom>
                        <a:solidFill>
                          <a:schemeClr val="bg1"/>
                        </a:solidFill>
                        <a:ln>
                          <a:solidFill>
                            <a:schemeClr val="tx1"/>
                          </a:solidFill>
                        </a:ln>
                        <a:effectLst/>
                      </wps:spPr>
                      <wps:style>
                        <a:lnRef idx="0">
                          <a:schemeClr val="accent1"/>
                        </a:lnRef>
                        <a:fillRef idx="3">
                          <a:schemeClr val="accent1"/>
                        </a:fillRef>
                        <a:effectRef idx="3">
                          <a:schemeClr val="accent1"/>
                        </a:effectRef>
                        <a:fontRef idx="minor">
                          <a:schemeClr val="lt1"/>
                        </a:fontRef>
                      </wps:style>
                      <wps:txbx>
                        <w:txbxContent>
                          <w:p w14:paraId="73B5F7DD" w14:textId="77777777" w:rsidR="00DD2726" w:rsidRPr="00435FA2" w:rsidRDefault="00DD2726" w:rsidP="00F7486B">
                            <w:pPr>
                              <w:jc w:val="center"/>
                              <w:rPr>
                                <w:rFonts w:ascii="Arial" w:hAnsi="Arial" w:cs="Arial"/>
                                <w:color w:val="000000" w:themeColor="text1"/>
                                <w:sz w:val="17"/>
                                <w:szCs w:val="17"/>
                              </w:rPr>
                            </w:pPr>
                            <w:r w:rsidRPr="00435FA2">
                              <w:rPr>
                                <w:rFonts w:ascii="Arial" w:hAnsi="Arial" w:cs="Arial"/>
                                <w:color w:val="000000" w:themeColor="text1"/>
                                <w:sz w:val="17"/>
                                <w:szCs w:val="17"/>
                              </w:rPr>
                              <w:t>Import Customs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797B6"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3" o:spid="_x0000_s1029" type="#_x0000_t80" style="position:absolute;left:0;text-align:left;margin-left:314.3pt;margin-top:38.15pt;width:69pt;height:4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" adj="14035,7477,16200,9139" fillcolor="white [3212]" strokecolor="black [3213]">
                <v:textbox>
                  <w:txbxContent>
                    <w:p w14:paraId="73B5F7DD" w14:textId="77777777" w:rsidR="00DD2726" w:rsidRPr="00435FA2" w:rsidRDefault="00DD2726" w:rsidP="00F7486B">
                      <w:pPr>
                        <w:jc w:val="center"/>
                        <w:rPr>
                          <w:rFonts w:ascii="Arial" w:hAnsi="Arial" w:cs="Arial"/>
                          <w:color w:val="000000" w:themeColor="text1"/>
                          <w:sz w:val="17"/>
                          <w:szCs w:val="17"/>
                        </w:rPr>
                      </w:pPr>
                      <w:r w:rsidRPr="00435FA2">
                        <w:rPr>
                          <w:rFonts w:ascii="Arial" w:hAnsi="Arial" w:cs="Arial"/>
                          <w:color w:val="000000" w:themeColor="text1"/>
                          <w:sz w:val="17"/>
                          <w:szCs w:val="17"/>
                        </w:rPr>
                        <w:t>Import Customs</w:t>
                      </w:r>
                    </w:p>
                  </w:txbxContent>
                </v:textbox>
              </v:shape>
            </w:pict>
          </mc:Fallback>
        </mc:AlternateContent>
      </w:r>
      <w:r w:rsidR="00A23693" w:rsidRPr="00B62940">
        <w:rPr>
          <w:noProof/>
          <w:lang w:val="en-SG" w:eastAsia="zh-CN"/>
        </w:rPr>
        <mc:AlternateContent>
          <mc:Choice Requires="wps">
            <w:drawing>
              <wp:anchor distT="0" distB="0" distL="114300" distR="114300" simplePos="0" relativeHeight="251685888" behindDoc="0" locked="0" layoutInCell="1" allowOverlap="1" wp14:anchorId="1B679F05" wp14:editId="2103BF7C">
                <wp:simplePos x="0" y="0"/>
                <wp:positionH relativeFrom="column">
                  <wp:posOffset>1216550</wp:posOffset>
                </wp:positionH>
                <wp:positionV relativeFrom="paragraph">
                  <wp:posOffset>483125</wp:posOffset>
                </wp:positionV>
                <wp:extent cx="876300" cy="532737"/>
                <wp:effectExtent l="57150" t="57150" r="57150" b="58420"/>
                <wp:wrapNone/>
                <wp:docPr id="10" name="Callout: Down Arrow 22"/>
                <wp:cNvGraphicFramePr/>
                <a:graphic xmlns:a="http://schemas.openxmlformats.org/drawingml/2006/main">
                  <a:graphicData uri="http://schemas.microsoft.com/office/word/2010/wordprocessingShape">
                    <wps:wsp>
                      <wps:cNvSpPr/>
                      <wps:spPr>
                        <a:xfrm>
                          <a:off x="0" y="0"/>
                          <a:ext cx="876300" cy="532737"/>
                        </a:xfrm>
                        <a:prstGeom prst="downArrowCallout">
                          <a:avLst/>
                        </a:prstGeom>
                        <a:solidFill>
                          <a:schemeClr val="bg1"/>
                        </a:solidFill>
                        <a:ln>
                          <a:solidFill>
                            <a:schemeClr val="tx1"/>
                          </a:solidFill>
                        </a:ln>
                        <a:effectLst/>
                      </wps:spPr>
                      <wps:style>
                        <a:lnRef idx="0">
                          <a:schemeClr val="accent1"/>
                        </a:lnRef>
                        <a:fillRef idx="3">
                          <a:schemeClr val="accent1"/>
                        </a:fillRef>
                        <a:effectRef idx="3">
                          <a:schemeClr val="accent1"/>
                        </a:effectRef>
                        <a:fontRef idx="minor">
                          <a:schemeClr val="lt1"/>
                        </a:fontRef>
                      </wps:style>
                      <wps:txbx>
                        <w:txbxContent>
                          <w:p w14:paraId="4B15FE9C" w14:textId="77777777" w:rsidR="00DD2726" w:rsidRPr="00435FA2" w:rsidRDefault="00DD2726" w:rsidP="00F7486B">
                            <w:pPr>
                              <w:jc w:val="center"/>
                              <w:rPr>
                                <w:rFonts w:ascii="Arial" w:hAnsi="Arial" w:cs="Arial"/>
                                <w:color w:val="000000" w:themeColor="text1"/>
                                <w:sz w:val="17"/>
                                <w:szCs w:val="17"/>
                              </w:rPr>
                            </w:pPr>
                            <w:r w:rsidRPr="00435FA2">
                              <w:rPr>
                                <w:rFonts w:ascii="Arial" w:hAnsi="Arial" w:cs="Arial"/>
                                <w:color w:val="000000" w:themeColor="text1"/>
                                <w:sz w:val="17"/>
                                <w:szCs w:val="17"/>
                              </w:rPr>
                              <w:t>Export Customs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9F05" id="Callout: Down Arrow 22" o:spid="_x0000_s1030" type="#_x0000_t80" style="position:absolute;left:0;text-align:left;margin-left:95.8pt;margin-top:38.05pt;width:69pt;height:4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" adj="14035,7517,16200,9159" fillcolor="white [3212]" strokecolor="black [3213]">
                <v:textbox>
                  <w:txbxContent>
                    <w:p w14:paraId="4B15FE9C" w14:textId="77777777" w:rsidR="00DD2726" w:rsidRPr="00435FA2" w:rsidRDefault="00DD2726" w:rsidP="00F7486B">
                      <w:pPr>
                        <w:jc w:val="center"/>
                        <w:rPr>
                          <w:rFonts w:ascii="Arial" w:hAnsi="Arial" w:cs="Arial"/>
                          <w:color w:val="000000" w:themeColor="text1"/>
                          <w:sz w:val="17"/>
                          <w:szCs w:val="17"/>
                        </w:rPr>
                      </w:pPr>
                      <w:r w:rsidRPr="00435FA2">
                        <w:rPr>
                          <w:rFonts w:ascii="Arial" w:hAnsi="Arial" w:cs="Arial"/>
                          <w:color w:val="000000" w:themeColor="text1"/>
                          <w:sz w:val="17"/>
                          <w:szCs w:val="17"/>
                        </w:rPr>
                        <w:t>Export Customs</w:t>
                      </w:r>
                    </w:p>
                  </w:txbxContent>
                </v:textbox>
              </v:shape>
            </w:pict>
          </mc:Fallback>
        </mc:AlternateContent>
      </w:r>
    </w:p>
    <w:p w14:paraId="74FCF994" w14:textId="77777777" w:rsidR="00A23693" w:rsidRPr="00B62940" w:rsidRDefault="00A23693" w:rsidP="00B62940">
      <w:pPr>
        <w:pStyle w:val="BodyTextMain"/>
      </w:pPr>
    </w:p>
    <w:p w14:paraId="4BA3754E" w14:textId="29573064" w:rsidR="00A23693" w:rsidRPr="00FD3849" w:rsidRDefault="00A23693" w:rsidP="005223BD">
      <w:pPr>
        <w:pStyle w:val="Footnote"/>
        <w:rPr>
          <w:lang w:val="en-GB"/>
        </w:rPr>
      </w:pPr>
      <w:r w:rsidRPr="00FD3849">
        <w:rPr>
          <w:lang w:val="en-GB"/>
        </w:rPr>
        <w:t>Source: Created by the authors based on “Paperless Air Cargo and Logistics Solution to Boost Productivity across Supply Chain,” Civil Aviation Authority of Singapore, accessed May 31, 2019, https://www.caas.gov.sg/about-caas/newsroom/Detail/paperless-air-cargo-and-logistics-solutions-to-boost-productivity-across-supply-chain/.</w:t>
      </w:r>
    </w:p>
    <w:p w14:paraId="1224F7FC" w14:textId="77777777" w:rsidR="00A23693" w:rsidRPr="00B62940" w:rsidRDefault="00A23693" w:rsidP="00B62940">
      <w:pPr>
        <w:pStyle w:val="BodyTextMain"/>
      </w:pPr>
    </w:p>
    <w:p w14:paraId="58D81092" w14:textId="77777777" w:rsidR="00A23693" w:rsidRPr="00B62940" w:rsidRDefault="00A23693" w:rsidP="00B62940">
      <w:pPr>
        <w:pStyle w:val="BodyTextMain"/>
      </w:pPr>
    </w:p>
    <w:p w14:paraId="740085B5" w14:textId="275D195C" w:rsidR="00A23693" w:rsidRPr="00D117D6" w:rsidRDefault="00A23693" w:rsidP="005223BD">
      <w:pPr>
        <w:pStyle w:val="ExhibitHeading"/>
        <w:rPr>
          <w:lang w:val="en-GB"/>
        </w:rPr>
      </w:pPr>
      <w:r w:rsidRPr="005223BD">
        <w:rPr>
          <w:noProof/>
          <w:lang w:val="en-SG" w:eastAsia="zh-CN"/>
        </w:rPr>
        <w:drawing>
          <wp:anchor distT="0" distB="0" distL="114300" distR="114300" simplePos="0" relativeHeight="251679744" behindDoc="0" locked="0" layoutInCell="1" allowOverlap="1" wp14:anchorId="3F6C61C2" wp14:editId="791ACF64">
            <wp:simplePos x="0" y="0"/>
            <wp:positionH relativeFrom="margin">
              <wp:align>center</wp:align>
            </wp:positionH>
            <wp:positionV relativeFrom="paragraph">
              <wp:posOffset>257175</wp:posOffset>
            </wp:positionV>
            <wp:extent cx="5859780" cy="3436620"/>
            <wp:effectExtent l="0" t="0" r="7620" b="11430"/>
            <wp:wrapSquare wrapText="bothSides"/>
            <wp:docPr id="17" name="Chart 17" descr="GLOBAL BIOPHARMA SALES FORECAST ($ BILLIONS), 2016–20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5223BD">
        <w:t>EXHIBIT 2: GLOBAL BIOPHARMA SALES FORECAST</w:t>
      </w:r>
      <w:r w:rsidR="000E2C26" w:rsidRPr="005223BD">
        <w:t xml:space="preserve"> ($</w:t>
      </w:r>
      <w:r w:rsidR="007C18DD" w:rsidRPr="005223BD">
        <w:t xml:space="preserve"> </w:t>
      </w:r>
      <w:r w:rsidR="000E2C26" w:rsidRPr="005223BD">
        <w:t>billions)</w:t>
      </w:r>
      <w:r w:rsidRPr="005223BD">
        <w:t>, 2016–202</w:t>
      </w:r>
      <w:r w:rsidRPr="00D117D6">
        <w:rPr>
          <w:lang w:val="en-GB"/>
        </w:rPr>
        <w:t>2</w:t>
      </w:r>
    </w:p>
    <w:p w14:paraId="3A6FCCAB" w14:textId="77777777" w:rsidR="00A23693" w:rsidRPr="00B62940" w:rsidRDefault="00A23693" w:rsidP="00B62940">
      <w:pPr>
        <w:pStyle w:val="BodyTextMain"/>
      </w:pPr>
    </w:p>
    <w:p w14:paraId="53165455" w14:textId="07153C1A" w:rsidR="00A23693" w:rsidRPr="00D117D6" w:rsidRDefault="00A23693" w:rsidP="005223BD">
      <w:pPr>
        <w:pStyle w:val="Footnote"/>
        <w:rPr>
          <w:lang w:val="en-GB"/>
        </w:rPr>
      </w:pPr>
      <w:r w:rsidRPr="00D117D6">
        <w:rPr>
          <w:lang w:val="en-GB"/>
        </w:rPr>
        <w:t xml:space="preserve">Source: Created by </w:t>
      </w:r>
      <w:r>
        <w:rPr>
          <w:lang w:val="en-GB"/>
        </w:rPr>
        <w:t xml:space="preserve">the </w:t>
      </w:r>
      <w:r w:rsidRPr="00D117D6">
        <w:rPr>
          <w:lang w:val="en-GB"/>
        </w:rPr>
        <w:t xml:space="preserve">authors based on </w:t>
      </w:r>
      <w:r>
        <w:rPr>
          <w:lang w:val="en-GB"/>
        </w:rPr>
        <w:t>Mark Lipowicz, “Biopharma Cold-Chain Market Forecast,” Pharmaceutical Commerce,</w:t>
      </w:r>
      <w:r w:rsidRPr="00D117D6">
        <w:rPr>
          <w:lang w:val="en-GB"/>
        </w:rPr>
        <w:t xml:space="preserve"> September 3</w:t>
      </w:r>
      <w:r>
        <w:rPr>
          <w:lang w:val="en-GB"/>
        </w:rPr>
        <w:t>,</w:t>
      </w:r>
      <w:r w:rsidRPr="00D117D6">
        <w:rPr>
          <w:lang w:val="en-GB"/>
        </w:rPr>
        <w:t xml:space="preserve"> 2018, accessed May 31</w:t>
      </w:r>
      <w:r>
        <w:rPr>
          <w:lang w:val="en-GB"/>
        </w:rPr>
        <w:t>,</w:t>
      </w:r>
      <w:r w:rsidRPr="00D117D6">
        <w:rPr>
          <w:lang w:val="en-GB"/>
        </w:rPr>
        <w:t xml:space="preserve"> 2019</w:t>
      </w:r>
      <w:r>
        <w:rPr>
          <w:lang w:val="en-GB"/>
        </w:rPr>
        <w:t>,</w:t>
      </w:r>
      <w:r w:rsidRPr="00D117D6">
        <w:rPr>
          <w:lang w:val="en-GB"/>
        </w:rPr>
        <w:t xml:space="preserve"> </w:t>
      </w:r>
      <w:r w:rsidRPr="00084771">
        <w:rPr>
          <w:lang w:val="en-GB"/>
        </w:rPr>
        <w:t>https://www.pharmaceuticalcommerce.com/view/biopharma-cold-chain-market-forecast</w:t>
      </w:r>
      <w:r>
        <w:rPr>
          <w:lang w:val="en-GB"/>
        </w:rPr>
        <w:t>.</w:t>
      </w:r>
    </w:p>
    <w:p w14:paraId="163294D2" w14:textId="577A7360" w:rsidR="00A23693" w:rsidRDefault="00A23693" w:rsidP="00B62940">
      <w:pPr>
        <w:pStyle w:val="BodyTextMain"/>
      </w:pPr>
    </w:p>
    <w:p w14:paraId="0FA90F68" w14:textId="77777777" w:rsidR="00B62940" w:rsidRPr="00B62940" w:rsidRDefault="00B62940" w:rsidP="00B62940">
      <w:pPr>
        <w:pStyle w:val="BodyTextMain"/>
      </w:pPr>
    </w:p>
    <w:p w14:paraId="1111B238" w14:textId="6EEEBAA0" w:rsidR="00A23693" w:rsidRPr="00B62940" w:rsidRDefault="00B62940" w:rsidP="00B62940">
      <w:pPr>
        <w:spacing w:after="200" w:line="276" w:lineRule="auto"/>
        <w:rPr>
          <w:sz w:val="22"/>
          <w:szCs w:val="22"/>
        </w:rPr>
      </w:pPr>
      <w:r>
        <w:br w:type="page"/>
      </w:r>
    </w:p>
    <w:p w14:paraId="48D3C408" w14:textId="6A22A90C" w:rsidR="00A23693" w:rsidRPr="00D117D6" w:rsidRDefault="00A23693" w:rsidP="00FB79B8">
      <w:pPr>
        <w:pStyle w:val="ExhibitHeading"/>
        <w:rPr>
          <w:lang w:val="en-GB"/>
        </w:rPr>
      </w:pPr>
      <w:r w:rsidRPr="00D117D6">
        <w:rPr>
          <w:lang w:val="en-GB"/>
        </w:rPr>
        <w:lastRenderedPageBreak/>
        <w:t xml:space="preserve">EXHIBIT 3: CARGO </w:t>
      </w:r>
      <w:r>
        <w:rPr>
          <w:lang w:val="en-GB"/>
        </w:rPr>
        <w:t xml:space="preserve">Volume </w:t>
      </w:r>
      <w:r w:rsidRPr="00D117D6">
        <w:rPr>
          <w:lang w:val="en-GB"/>
        </w:rPr>
        <w:t>BY AIRLINE DOMICILE</w:t>
      </w:r>
      <w:r>
        <w:rPr>
          <w:lang w:val="en-GB"/>
        </w:rPr>
        <w:t xml:space="preserve">, </w:t>
      </w:r>
      <w:r w:rsidRPr="00D117D6">
        <w:rPr>
          <w:lang w:val="en-GB"/>
        </w:rPr>
        <w:t>2017</w:t>
      </w:r>
      <w:r>
        <w:rPr>
          <w:lang w:val="en-GB"/>
        </w:rPr>
        <w:t xml:space="preserve"> (%)</w:t>
      </w:r>
    </w:p>
    <w:p w14:paraId="4C206013" w14:textId="77777777" w:rsidR="00A23693" w:rsidRPr="00D117D6" w:rsidRDefault="00A23693" w:rsidP="00F7486B">
      <w:pPr>
        <w:jc w:val="center"/>
        <w:rPr>
          <w:rFonts w:ascii="Arial" w:hAnsi="Arial" w:cs="Arial"/>
          <w:sz w:val="17"/>
          <w:szCs w:val="17"/>
          <w:lang w:val="en-GB"/>
        </w:rPr>
      </w:pPr>
    </w:p>
    <w:p w14:paraId="187AA9C2" w14:textId="5B9EEC83" w:rsidR="00A23693" w:rsidRPr="00D117D6" w:rsidRDefault="00A23693" w:rsidP="008E46A6">
      <w:pPr>
        <w:rPr>
          <w:rFonts w:ascii="Arial" w:hAnsi="Arial" w:cs="Arial"/>
          <w:sz w:val="17"/>
          <w:szCs w:val="17"/>
          <w:lang w:val="en-GB"/>
        </w:rPr>
      </w:pPr>
      <w:r w:rsidRPr="00D117D6">
        <w:rPr>
          <w:b/>
          <w:bCs/>
          <w:noProof/>
          <w:lang w:val="en-SG" w:eastAsia="zh-CN"/>
        </w:rPr>
        <w:drawing>
          <wp:anchor distT="0" distB="0" distL="114300" distR="114300" simplePos="0" relativeHeight="251680768" behindDoc="0" locked="0" layoutInCell="1" allowOverlap="1" wp14:anchorId="60AF1E7E" wp14:editId="330888F2">
            <wp:simplePos x="0" y="0"/>
            <wp:positionH relativeFrom="margin">
              <wp:align>right</wp:align>
            </wp:positionH>
            <wp:positionV relativeFrom="paragraph">
              <wp:posOffset>127635</wp:posOffset>
            </wp:positionV>
            <wp:extent cx="5676900" cy="3371850"/>
            <wp:effectExtent l="0" t="0" r="0" b="0"/>
            <wp:wrapSquare wrapText="bothSides"/>
            <wp:docPr id="23" name="Chart 23" descr="CARGO VOLUME BY AIRLINE DOMICILE, 2017 (%)"/>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FD62CA5" w14:textId="77777777" w:rsidR="008E46A6" w:rsidRDefault="008E46A6" w:rsidP="00B62940">
      <w:pPr>
        <w:pStyle w:val="BodyTextMain"/>
        <w:rPr>
          <w:lang w:val="en-GB"/>
        </w:rPr>
      </w:pPr>
    </w:p>
    <w:p w14:paraId="100CB452" w14:textId="7AE4351A" w:rsidR="008E46A6" w:rsidRDefault="00A23693" w:rsidP="005223BD">
      <w:pPr>
        <w:pStyle w:val="Footnote"/>
        <w:rPr>
          <w:lang w:val="en-GB"/>
        </w:rPr>
      </w:pPr>
      <w:r w:rsidRPr="00D117D6">
        <w:rPr>
          <w:lang w:val="en-GB"/>
        </w:rPr>
        <w:t xml:space="preserve">Source: Created by </w:t>
      </w:r>
      <w:r>
        <w:rPr>
          <w:lang w:val="en-GB"/>
        </w:rPr>
        <w:t xml:space="preserve">the </w:t>
      </w:r>
      <w:r w:rsidRPr="00D117D6">
        <w:rPr>
          <w:lang w:val="en-GB"/>
        </w:rPr>
        <w:t xml:space="preserve">authors based on </w:t>
      </w:r>
      <w:r>
        <w:rPr>
          <w:lang w:val="en-GB"/>
        </w:rPr>
        <w:t>Boeing</w:t>
      </w:r>
      <w:r w:rsidRPr="007008E3">
        <w:rPr>
          <w:lang w:val="en-GB"/>
        </w:rPr>
        <w:t xml:space="preserve">, </w:t>
      </w:r>
      <w:r w:rsidRPr="00FB79B8">
        <w:rPr>
          <w:i/>
          <w:iCs/>
          <w:lang w:val="en-GB"/>
        </w:rPr>
        <w:t>World Air Cargo Forecast: 2018–2037</w:t>
      </w:r>
      <w:r w:rsidRPr="007008E3">
        <w:rPr>
          <w:lang w:val="en-GB"/>
        </w:rPr>
        <w:t xml:space="preserve">, 2018, accessed </w:t>
      </w:r>
      <w:r>
        <w:rPr>
          <w:lang w:val="en-GB"/>
        </w:rPr>
        <w:t>May 31,</w:t>
      </w:r>
      <w:r w:rsidRPr="007008E3">
        <w:rPr>
          <w:lang w:val="en-GB"/>
        </w:rPr>
        <w:t xml:space="preserve"> 2019, </w:t>
      </w:r>
      <w:r w:rsidR="008E46A6" w:rsidRPr="008E46A6">
        <w:rPr>
          <w:lang w:val="en-GB"/>
        </w:rPr>
        <w:t>https://www.boeing.com/resources/boeingdotcom/commercial/about-our-market/cargo-market-detail-wacf/download-report</w:t>
      </w:r>
    </w:p>
    <w:p w14:paraId="1C250C1C" w14:textId="0BB09339" w:rsidR="00A23693" w:rsidRPr="00D117D6" w:rsidRDefault="00A23693" w:rsidP="005223BD">
      <w:pPr>
        <w:pStyle w:val="Footnote"/>
        <w:rPr>
          <w:lang w:val="en-GB"/>
        </w:rPr>
      </w:pPr>
      <w:r w:rsidRPr="008E46A6">
        <w:rPr>
          <w:lang w:val="en-GB"/>
        </w:rPr>
        <w:t>/assets/pdfs/2018_WACF.pdf</w:t>
      </w:r>
      <w:r>
        <w:rPr>
          <w:rStyle w:val="Hyperlink"/>
          <w:color w:val="auto"/>
          <w:u w:val="none"/>
          <w:lang w:val="en-GB"/>
        </w:rPr>
        <w:t>.</w:t>
      </w:r>
    </w:p>
    <w:p w14:paraId="544E4ACA" w14:textId="34CF28DB" w:rsidR="00A23693" w:rsidRPr="00D117D6" w:rsidRDefault="00A23693" w:rsidP="00B62940">
      <w:pPr>
        <w:pStyle w:val="BodyTextMain"/>
        <w:rPr>
          <w:lang w:val="en-GB"/>
        </w:rPr>
      </w:pPr>
    </w:p>
    <w:p w14:paraId="27948646" w14:textId="77777777" w:rsidR="00A23693" w:rsidRPr="00D117D6" w:rsidRDefault="00A23693" w:rsidP="00B62940">
      <w:pPr>
        <w:pStyle w:val="BodyTextMain"/>
        <w:rPr>
          <w:bCs/>
          <w:lang w:val="en-GB"/>
        </w:rPr>
      </w:pPr>
    </w:p>
    <w:p w14:paraId="1CCBEDC5" w14:textId="58198422" w:rsidR="00A23693" w:rsidRDefault="00A23693" w:rsidP="00FB79B8">
      <w:pPr>
        <w:pStyle w:val="ExhibitHeading"/>
        <w:rPr>
          <w:lang w:val="en-GB"/>
        </w:rPr>
      </w:pPr>
      <w:r w:rsidRPr="00D117D6">
        <w:rPr>
          <w:lang w:val="en-GB"/>
        </w:rPr>
        <w:t xml:space="preserve">EXHIBIT 4: SATS </w:t>
      </w:r>
      <w:r>
        <w:rPr>
          <w:lang w:val="en-GB"/>
        </w:rPr>
        <w:t xml:space="preserve">Ltd. </w:t>
      </w:r>
      <w:r w:rsidRPr="00D117D6">
        <w:rPr>
          <w:lang w:val="en-GB"/>
        </w:rPr>
        <w:t>REVENUE BY SECTOR</w:t>
      </w:r>
      <w:r>
        <w:rPr>
          <w:lang w:val="en-GB"/>
        </w:rPr>
        <w:t>,</w:t>
      </w:r>
      <w:r w:rsidRPr="00D117D6">
        <w:rPr>
          <w:lang w:val="en-GB"/>
        </w:rPr>
        <w:t xml:space="preserve"> 2014</w:t>
      </w:r>
      <w:r>
        <w:rPr>
          <w:lang w:val="en-GB"/>
        </w:rPr>
        <w:t>–</w:t>
      </w:r>
      <w:r w:rsidRPr="00D117D6">
        <w:rPr>
          <w:lang w:val="en-GB"/>
        </w:rPr>
        <w:t>2019</w:t>
      </w:r>
      <w:r>
        <w:rPr>
          <w:lang w:val="en-GB"/>
        </w:rPr>
        <w:t xml:space="preserve"> (¥ Millions)</w:t>
      </w:r>
    </w:p>
    <w:p w14:paraId="463CC4EE" w14:textId="77777777" w:rsidR="00A23693" w:rsidRPr="00D117D6" w:rsidRDefault="00A23693" w:rsidP="00B62940">
      <w:pPr>
        <w:pStyle w:val="BodyTextMain"/>
        <w:rPr>
          <w:lang w:val="en-GB"/>
        </w:rPr>
      </w:pPr>
    </w:p>
    <w:tbl>
      <w:tblPr>
        <w:tblStyle w:val="TableGrid"/>
        <w:tblpPr w:leftFromText="180" w:rightFromText="180" w:vertAnchor="text" w:horzAnchor="margin" w:tblpXSpec="center" w:tblpY="37"/>
        <w:tblW w:w="0" w:type="auto"/>
        <w:tblLook w:val="04A0" w:firstRow="1" w:lastRow="0" w:firstColumn="1" w:lastColumn="0" w:noHBand="0" w:noVBand="1"/>
        <w:tblCaption w:val="EXHIBIT 4"/>
        <w:tblDescription w:val="SATS LTD. REVENUE BY SECTOR, 2014–2019 (¥ MILLIONS)"/>
      </w:tblPr>
      <w:tblGrid>
        <w:gridCol w:w="1129"/>
        <w:gridCol w:w="1701"/>
        <w:gridCol w:w="1985"/>
        <w:gridCol w:w="1701"/>
      </w:tblGrid>
      <w:tr w:rsidR="00A23693" w:rsidRPr="00D117D6" w14:paraId="437A91F4" w14:textId="77777777" w:rsidTr="005C140F">
        <w:trPr>
          <w:tblHeader/>
        </w:trPr>
        <w:tc>
          <w:tcPr>
            <w:tcW w:w="1129" w:type="dxa"/>
          </w:tcPr>
          <w:p w14:paraId="6F981484" w14:textId="77777777" w:rsidR="00A23693" w:rsidRPr="00D117D6" w:rsidRDefault="00A23693" w:rsidP="00FB79B8">
            <w:pPr>
              <w:rPr>
                <w:rFonts w:ascii="Arial" w:hAnsi="Arial" w:cs="Arial"/>
                <w:b/>
                <w:lang w:val="en-GB"/>
              </w:rPr>
            </w:pPr>
            <w:r w:rsidRPr="00D117D6">
              <w:rPr>
                <w:rFonts w:ascii="Arial" w:hAnsi="Arial" w:cs="Arial"/>
                <w:b/>
                <w:lang w:val="en-GB"/>
              </w:rPr>
              <w:t>Year</w:t>
            </w:r>
          </w:p>
        </w:tc>
        <w:tc>
          <w:tcPr>
            <w:tcW w:w="1701" w:type="dxa"/>
          </w:tcPr>
          <w:p w14:paraId="25ABE2B6" w14:textId="1D65A4E9" w:rsidR="00A23693" w:rsidRPr="00D117D6" w:rsidRDefault="00A23693" w:rsidP="004A7CE8">
            <w:pPr>
              <w:jc w:val="center"/>
              <w:rPr>
                <w:rFonts w:ascii="Arial" w:hAnsi="Arial" w:cs="Arial"/>
                <w:b/>
                <w:lang w:val="en-GB"/>
              </w:rPr>
            </w:pPr>
            <w:r w:rsidRPr="00D117D6">
              <w:rPr>
                <w:rFonts w:ascii="Arial" w:hAnsi="Arial" w:cs="Arial"/>
                <w:b/>
                <w:lang w:val="en-GB"/>
              </w:rPr>
              <w:t>Food Solution</w:t>
            </w:r>
            <w:r>
              <w:rPr>
                <w:rFonts w:ascii="Arial" w:hAnsi="Arial" w:cs="Arial"/>
                <w:b/>
                <w:lang w:val="en-GB"/>
              </w:rPr>
              <w:t>s</w:t>
            </w:r>
          </w:p>
        </w:tc>
        <w:tc>
          <w:tcPr>
            <w:tcW w:w="1985" w:type="dxa"/>
          </w:tcPr>
          <w:p w14:paraId="00B25148" w14:textId="0D44E4FC" w:rsidR="00A23693" w:rsidRPr="00D117D6" w:rsidRDefault="00A23693" w:rsidP="004A7CE8">
            <w:pPr>
              <w:jc w:val="center"/>
              <w:rPr>
                <w:rFonts w:ascii="Arial" w:hAnsi="Arial" w:cs="Arial"/>
                <w:b/>
                <w:lang w:val="en-GB"/>
              </w:rPr>
            </w:pPr>
            <w:r w:rsidRPr="00D117D6">
              <w:rPr>
                <w:rFonts w:ascii="Arial" w:hAnsi="Arial" w:cs="Arial"/>
                <w:b/>
                <w:lang w:val="en-GB"/>
              </w:rPr>
              <w:t>Gateway Services</w:t>
            </w:r>
          </w:p>
        </w:tc>
        <w:tc>
          <w:tcPr>
            <w:tcW w:w="1701" w:type="dxa"/>
          </w:tcPr>
          <w:p w14:paraId="0F2CC47C" w14:textId="5B55CF6C" w:rsidR="00A23693" w:rsidRPr="00D117D6" w:rsidRDefault="00A23693" w:rsidP="004A7CE8">
            <w:pPr>
              <w:jc w:val="center"/>
              <w:rPr>
                <w:rFonts w:ascii="Arial" w:hAnsi="Arial" w:cs="Arial"/>
                <w:b/>
                <w:lang w:val="en-GB"/>
              </w:rPr>
            </w:pPr>
            <w:r w:rsidRPr="00D117D6">
              <w:rPr>
                <w:rFonts w:ascii="Arial" w:hAnsi="Arial" w:cs="Arial"/>
                <w:b/>
                <w:lang w:val="en-GB"/>
              </w:rPr>
              <w:t>Total Revenue</w:t>
            </w:r>
          </w:p>
        </w:tc>
      </w:tr>
      <w:tr w:rsidR="00A23693" w:rsidRPr="00D117D6" w14:paraId="548C241E" w14:textId="77777777" w:rsidTr="005C140F">
        <w:trPr>
          <w:tblHeader/>
        </w:trPr>
        <w:tc>
          <w:tcPr>
            <w:tcW w:w="1129" w:type="dxa"/>
          </w:tcPr>
          <w:p w14:paraId="503E0D5D" w14:textId="06034B5D" w:rsidR="00A23693" w:rsidRPr="00D117D6" w:rsidRDefault="00A23693" w:rsidP="00FB79B8">
            <w:pPr>
              <w:rPr>
                <w:rFonts w:ascii="Arial" w:hAnsi="Arial" w:cs="Arial"/>
                <w:bCs/>
                <w:lang w:val="en-GB"/>
              </w:rPr>
            </w:pPr>
            <w:r w:rsidRPr="00D117D6">
              <w:rPr>
                <w:rFonts w:ascii="Arial" w:hAnsi="Arial" w:cs="Arial"/>
                <w:bCs/>
                <w:lang w:val="en-GB"/>
              </w:rPr>
              <w:t>2014</w:t>
            </w:r>
            <w:r>
              <w:rPr>
                <w:rFonts w:ascii="Arial" w:hAnsi="Arial" w:cs="Arial"/>
                <w:bCs/>
                <w:lang w:val="en-GB"/>
              </w:rPr>
              <w:t>–</w:t>
            </w:r>
            <w:r w:rsidRPr="00D117D6">
              <w:rPr>
                <w:rFonts w:ascii="Arial" w:hAnsi="Arial" w:cs="Arial"/>
                <w:bCs/>
                <w:lang w:val="en-GB"/>
              </w:rPr>
              <w:t>15</w:t>
            </w:r>
          </w:p>
        </w:tc>
        <w:tc>
          <w:tcPr>
            <w:tcW w:w="1701" w:type="dxa"/>
          </w:tcPr>
          <w:p w14:paraId="77938CD0" w14:textId="77777777" w:rsidR="00A23693" w:rsidRPr="00D117D6" w:rsidRDefault="00A23693" w:rsidP="00FB79B8">
            <w:pPr>
              <w:jc w:val="right"/>
              <w:rPr>
                <w:rFonts w:ascii="Arial" w:hAnsi="Arial" w:cs="Arial"/>
                <w:bCs/>
                <w:lang w:val="en-GB"/>
              </w:rPr>
            </w:pPr>
            <w:r w:rsidRPr="00D117D6">
              <w:rPr>
                <w:rFonts w:ascii="Arial" w:hAnsi="Arial" w:cs="Arial"/>
                <w:bCs/>
                <w:lang w:val="en-GB"/>
              </w:rPr>
              <w:t>697</w:t>
            </w:r>
          </w:p>
        </w:tc>
        <w:tc>
          <w:tcPr>
            <w:tcW w:w="1985" w:type="dxa"/>
          </w:tcPr>
          <w:p w14:paraId="728DF435" w14:textId="476EDC31" w:rsidR="00A23693" w:rsidRPr="00D117D6" w:rsidRDefault="00A23693" w:rsidP="00FB79B8">
            <w:pPr>
              <w:jc w:val="right"/>
              <w:rPr>
                <w:rFonts w:ascii="Arial" w:hAnsi="Arial" w:cs="Arial"/>
                <w:bCs/>
                <w:lang w:val="en-GB"/>
              </w:rPr>
            </w:pPr>
            <w:r>
              <w:rPr>
                <w:rFonts w:ascii="Arial" w:hAnsi="Arial" w:cs="Arial"/>
                <w:bCs/>
                <w:lang w:val="en-GB"/>
              </w:rPr>
              <w:t>1,052</w:t>
            </w:r>
          </w:p>
        </w:tc>
        <w:tc>
          <w:tcPr>
            <w:tcW w:w="1701" w:type="dxa"/>
          </w:tcPr>
          <w:p w14:paraId="4ADE7DC7" w14:textId="0302207E" w:rsidR="00A23693" w:rsidRPr="00D117D6" w:rsidRDefault="00A23693" w:rsidP="00FB79B8">
            <w:pPr>
              <w:jc w:val="right"/>
              <w:rPr>
                <w:rFonts w:ascii="Arial" w:hAnsi="Arial" w:cs="Arial"/>
                <w:bCs/>
                <w:lang w:val="en-GB"/>
              </w:rPr>
            </w:pPr>
            <w:r>
              <w:rPr>
                <w:rFonts w:ascii="Arial" w:hAnsi="Arial" w:cs="Arial"/>
                <w:bCs/>
                <w:lang w:val="en-GB"/>
              </w:rPr>
              <w:t>1,753</w:t>
            </w:r>
          </w:p>
        </w:tc>
      </w:tr>
      <w:tr w:rsidR="00A23693" w:rsidRPr="00D117D6" w14:paraId="1190C2C6" w14:textId="77777777" w:rsidTr="005C140F">
        <w:trPr>
          <w:tblHeader/>
        </w:trPr>
        <w:tc>
          <w:tcPr>
            <w:tcW w:w="1129" w:type="dxa"/>
          </w:tcPr>
          <w:p w14:paraId="1F527129" w14:textId="03A52957" w:rsidR="00A23693" w:rsidRPr="00D117D6" w:rsidRDefault="00A23693" w:rsidP="00FB79B8">
            <w:pPr>
              <w:rPr>
                <w:rFonts w:ascii="Arial" w:hAnsi="Arial" w:cs="Arial"/>
                <w:bCs/>
                <w:lang w:val="en-GB"/>
              </w:rPr>
            </w:pPr>
            <w:r w:rsidRPr="00D117D6">
              <w:rPr>
                <w:rFonts w:ascii="Arial" w:hAnsi="Arial" w:cs="Arial"/>
                <w:bCs/>
                <w:lang w:val="en-GB"/>
              </w:rPr>
              <w:t>2015</w:t>
            </w:r>
            <w:r>
              <w:rPr>
                <w:rFonts w:ascii="Arial" w:hAnsi="Arial" w:cs="Arial"/>
                <w:bCs/>
                <w:lang w:val="en-GB"/>
              </w:rPr>
              <w:t>–</w:t>
            </w:r>
            <w:r w:rsidRPr="00D117D6">
              <w:rPr>
                <w:rFonts w:ascii="Arial" w:hAnsi="Arial" w:cs="Arial"/>
                <w:bCs/>
                <w:lang w:val="en-GB"/>
              </w:rPr>
              <w:t>16</w:t>
            </w:r>
          </w:p>
        </w:tc>
        <w:tc>
          <w:tcPr>
            <w:tcW w:w="1701" w:type="dxa"/>
          </w:tcPr>
          <w:p w14:paraId="38CBF8B4" w14:textId="77777777" w:rsidR="00A23693" w:rsidRPr="00D117D6" w:rsidRDefault="00A23693" w:rsidP="00FB79B8">
            <w:pPr>
              <w:jc w:val="right"/>
              <w:rPr>
                <w:rFonts w:ascii="Arial" w:hAnsi="Arial" w:cs="Arial"/>
                <w:bCs/>
                <w:lang w:val="en-GB"/>
              </w:rPr>
            </w:pPr>
            <w:r w:rsidRPr="00D117D6">
              <w:rPr>
                <w:rFonts w:ascii="Arial" w:hAnsi="Arial" w:cs="Arial"/>
                <w:bCs/>
                <w:lang w:val="en-GB"/>
              </w:rPr>
              <w:t>726</w:t>
            </w:r>
          </w:p>
        </w:tc>
        <w:tc>
          <w:tcPr>
            <w:tcW w:w="1985" w:type="dxa"/>
          </w:tcPr>
          <w:p w14:paraId="0410DDD2" w14:textId="77777777" w:rsidR="00A23693" w:rsidRPr="00D117D6" w:rsidRDefault="00A23693" w:rsidP="00FB79B8">
            <w:pPr>
              <w:jc w:val="right"/>
              <w:rPr>
                <w:rFonts w:ascii="Arial" w:hAnsi="Arial" w:cs="Arial"/>
                <w:bCs/>
                <w:lang w:val="en-GB"/>
              </w:rPr>
            </w:pPr>
            <w:r w:rsidRPr="00D117D6">
              <w:rPr>
                <w:rFonts w:ascii="Arial" w:hAnsi="Arial" w:cs="Arial"/>
                <w:bCs/>
                <w:lang w:val="en-GB"/>
              </w:rPr>
              <w:t>967</w:t>
            </w:r>
          </w:p>
        </w:tc>
        <w:tc>
          <w:tcPr>
            <w:tcW w:w="1701" w:type="dxa"/>
          </w:tcPr>
          <w:p w14:paraId="161A7F42" w14:textId="210FAB2D" w:rsidR="00A23693" w:rsidRPr="00D117D6" w:rsidRDefault="00A23693" w:rsidP="00FB79B8">
            <w:pPr>
              <w:jc w:val="right"/>
              <w:rPr>
                <w:rFonts w:ascii="Arial" w:hAnsi="Arial" w:cs="Arial"/>
                <w:bCs/>
                <w:lang w:val="en-GB"/>
              </w:rPr>
            </w:pPr>
            <w:r w:rsidRPr="00D117D6">
              <w:rPr>
                <w:rFonts w:ascii="Arial" w:hAnsi="Arial" w:cs="Arial"/>
                <w:bCs/>
                <w:lang w:val="en-GB"/>
              </w:rPr>
              <w:t>1</w:t>
            </w:r>
            <w:r>
              <w:rPr>
                <w:rFonts w:ascii="Arial" w:hAnsi="Arial" w:cs="Arial"/>
                <w:bCs/>
                <w:lang w:val="en-GB"/>
              </w:rPr>
              <w:t>,</w:t>
            </w:r>
            <w:r w:rsidRPr="00D117D6">
              <w:rPr>
                <w:rFonts w:ascii="Arial" w:hAnsi="Arial" w:cs="Arial"/>
                <w:bCs/>
                <w:lang w:val="en-GB"/>
              </w:rPr>
              <w:t>698</w:t>
            </w:r>
          </w:p>
        </w:tc>
      </w:tr>
      <w:tr w:rsidR="00A23693" w:rsidRPr="00D117D6" w14:paraId="7C74C502" w14:textId="77777777" w:rsidTr="005C140F">
        <w:trPr>
          <w:tblHeader/>
        </w:trPr>
        <w:tc>
          <w:tcPr>
            <w:tcW w:w="1129" w:type="dxa"/>
          </w:tcPr>
          <w:p w14:paraId="798CD774" w14:textId="722F9E7C" w:rsidR="00A23693" w:rsidRPr="00D117D6" w:rsidRDefault="00A23693" w:rsidP="00FB79B8">
            <w:pPr>
              <w:rPr>
                <w:rFonts w:ascii="Arial" w:hAnsi="Arial" w:cs="Arial"/>
                <w:bCs/>
                <w:lang w:val="en-GB"/>
              </w:rPr>
            </w:pPr>
            <w:r w:rsidRPr="00D117D6">
              <w:rPr>
                <w:rFonts w:ascii="Arial" w:hAnsi="Arial" w:cs="Arial"/>
                <w:bCs/>
                <w:lang w:val="en-GB"/>
              </w:rPr>
              <w:t>2016</w:t>
            </w:r>
            <w:r>
              <w:rPr>
                <w:rFonts w:ascii="Arial" w:hAnsi="Arial" w:cs="Arial"/>
                <w:bCs/>
                <w:lang w:val="en-GB"/>
              </w:rPr>
              <w:t>–</w:t>
            </w:r>
            <w:r w:rsidRPr="00D117D6">
              <w:rPr>
                <w:rFonts w:ascii="Arial" w:hAnsi="Arial" w:cs="Arial"/>
                <w:bCs/>
                <w:lang w:val="en-GB"/>
              </w:rPr>
              <w:t>17</w:t>
            </w:r>
          </w:p>
        </w:tc>
        <w:tc>
          <w:tcPr>
            <w:tcW w:w="1701" w:type="dxa"/>
          </w:tcPr>
          <w:p w14:paraId="2B327FD1" w14:textId="77777777" w:rsidR="00A23693" w:rsidRPr="00D117D6" w:rsidRDefault="00A23693" w:rsidP="00FB79B8">
            <w:pPr>
              <w:jc w:val="right"/>
              <w:rPr>
                <w:rFonts w:ascii="Arial" w:hAnsi="Arial" w:cs="Arial"/>
                <w:bCs/>
                <w:lang w:val="en-GB"/>
              </w:rPr>
            </w:pPr>
            <w:r w:rsidRPr="00D117D6">
              <w:rPr>
                <w:rFonts w:ascii="Arial" w:hAnsi="Arial" w:cs="Arial"/>
                <w:bCs/>
                <w:lang w:val="en-GB"/>
              </w:rPr>
              <w:t>755</w:t>
            </w:r>
          </w:p>
        </w:tc>
        <w:tc>
          <w:tcPr>
            <w:tcW w:w="1985" w:type="dxa"/>
          </w:tcPr>
          <w:p w14:paraId="4B5E465F" w14:textId="77777777" w:rsidR="00A23693" w:rsidRPr="00D117D6" w:rsidRDefault="00A23693" w:rsidP="00FB79B8">
            <w:pPr>
              <w:jc w:val="right"/>
              <w:rPr>
                <w:rFonts w:ascii="Arial" w:hAnsi="Arial" w:cs="Arial"/>
                <w:bCs/>
                <w:lang w:val="en-GB"/>
              </w:rPr>
            </w:pPr>
            <w:r w:rsidRPr="00D117D6">
              <w:rPr>
                <w:rFonts w:ascii="Arial" w:hAnsi="Arial" w:cs="Arial"/>
                <w:bCs/>
                <w:lang w:val="en-GB"/>
              </w:rPr>
              <w:t>973</w:t>
            </w:r>
          </w:p>
        </w:tc>
        <w:tc>
          <w:tcPr>
            <w:tcW w:w="1701" w:type="dxa"/>
          </w:tcPr>
          <w:p w14:paraId="7ABE955B" w14:textId="7126A80C" w:rsidR="00A23693" w:rsidRPr="00D117D6" w:rsidRDefault="00A23693" w:rsidP="00FB79B8">
            <w:pPr>
              <w:jc w:val="right"/>
              <w:rPr>
                <w:rFonts w:ascii="Arial" w:hAnsi="Arial" w:cs="Arial"/>
                <w:bCs/>
                <w:lang w:val="en-GB"/>
              </w:rPr>
            </w:pPr>
            <w:r w:rsidRPr="00D117D6">
              <w:rPr>
                <w:rFonts w:ascii="Arial" w:hAnsi="Arial" w:cs="Arial"/>
                <w:bCs/>
                <w:lang w:val="en-GB"/>
              </w:rPr>
              <w:t>1</w:t>
            </w:r>
            <w:r>
              <w:rPr>
                <w:rFonts w:ascii="Arial" w:hAnsi="Arial" w:cs="Arial"/>
                <w:bCs/>
                <w:lang w:val="en-GB"/>
              </w:rPr>
              <w:t>,</w:t>
            </w:r>
            <w:r w:rsidRPr="00D117D6">
              <w:rPr>
                <w:rFonts w:ascii="Arial" w:hAnsi="Arial" w:cs="Arial"/>
                <w:bCs/>
                <w:lang w:val="en-GB"/>
              </w:rPr>
              <w:t>729</w:t>
            </w:r>
          </w:p>
        </w:tc>
      </w:tr>
      <w:tr w:rsidR="00A23693" w:rsidRPr="00D117D6" w14:paraId="1C0C9FBF" w14:textId="77777777" w:rsidTr="005C140F">
        <w:trPr>
          <w:tblHeader/>
        </w:trPr>
        <w:tc>
          <w:tcPr>
            <w:tcW w:w="1129" w:type="dxa"/>
          </w:tcPr>
          <w:p w14:paraId="26B6CECC" w14:textId="27DFEE81" w:rsidR="00A23693" w:rsidRPr="00D117D6" w:rsidRDefault="00A23693" w:rsidP="00FB79B8">
            <w:pPr>
              <w:rPr>
                <w:rFonts w:ascii="Arial" w:hAnsi="Arial" w:cs="Arial"/>
                <w:bCs/>
                <w:lang w:val="en-GB"/>
              </w:rPr>
            </w:pPr>
            <w:r w:rsidRPr="00D117D6">
              <w:rPr>
                <w:rFonts w:ascii="Arial" w:hAnsi="Arial" w:cs="Arial"/>
                <w:bCs/>
                <w:lang w:val="en-GB"/>
              </w:rPr>
              <w:t>2017</w:t>
            </w:r>
            <w:r>
              <w:rPr>
                <w:rFonts w:ascii="Arial" w:hAnsi="Arial" w:cs="Arial"/>
                <w:bCs/>
                <w:lang w:val="en-GB"/>
              </w:rPr>
              <w:t>–</w:t>
            </w:r>
            <w:r w:rsidRPr="00D117D6">
              <w:rPr>
                <w:rFonts w:ascii="Arial" w:hAnsi="Arial" w:cs="Arial"/>
                <w:bCs/>
                <w:lang w:val="en-GB"/>
              </w:rPr>
              <w:t>18</w:t>
            </w:r>
          </w:p>
        </w:tc>
        <w:tc>
          <w:tcPr>
            <w:tcW w:w="1701" w:type="dxa"/>
          </w:tcPr>
          <w:p w14:paraId="4E281F55" w14:textId="77777777" w:rsidR="00A23693" w:rsidRPr="00D117D6" w:rsidRDefault="00A23693" w:rsidP="00FB79B8">
            <w:pPr>
              <w:jc w:val="right"/>
              <w:rPr>
                <w:rFonts w:ascii="Arial" w:hAnsi="Arial" w:cs="Arial"/>
                <w:bCs/>
                <w:lang w:val="en-GB"/>
              </w:rPr>
            </w:pPr>
            <w:r w:rsidRPr="00D117D6">
              <w:rPr>
                <w:rFonts w:ascii="Arial" w:hAnsi="Arial" w:cs="Arial"/>
                <w:bCs/>
                <w:lang w:val="en-GB"/>
              </w:rPr>
              <w:t>776</w:t>
            </w:r>
          </w:p>
        </w:tc>
        <w:tc>
          <w:tcPr>
            <w:tcW w:w="1985" w:type="dxa"/>
          </w:tcPr>
          <w:p w14:paraId="7446D4B2" w14:textId="77777777" w:rsidR="00A23693" w:rsidRPr="00D117D6" w:rsidRDefault="00A23693" w:rsidP="00FB79B8">
            <w:pPr>
              <w:jc w:val="right"/>
              <w:rPr>
                <w:rFonts w:ascii="Arial" w:hAnsi="Arial" w:cs="Arial"/>
                <w:bCs/>
                <w:lang w:val="en-GB"/>
              </w:rPr>
            </w:pPr>
            <w:r w:rsidRPr="00D117D6">
              <w:rPr>
                <w:rFonts w:ascii="Arial" w:hAnsi="Arial" w:cs="Arial"/>
                <w:bCs/>
                <w:lang w:val="en-GB"/>
              </w:rPr>
              <w:t>947</w:t>
            </w:r>
          </w:p>
        </w:tc>
        <w:tc>
          <w:tcPr>
            <w:tcW w:w="1701" w:type="dxa"/>
          </w:tcPr>
          <w:p w14:paraId="5C5AA22E" w14:textId="7309D83B" w:rsidR="00A23693" w:rsidRPr="00D117D6" w:rsidRDefault="00A23693" w:rsidP="00FB79B8">
            <w:pPr>
              <w:jc w:val="right"/>
              <w:rPr>
                <w:rFonts w:ascii="Arial" w:hAnsi="Arial" w:cs="Arial"/>
                <w:bCs/>
                <w:lang w:val="en-GB"/>
              </w:rPr>
            </w:pPr>
            <w:r w:rsidRPr="00D117D6">
              <w:rPr>
                <w:rFonts w:ascii="Arial" w:hAnsi="Arial" w:cs="Arial"/>
                <w:bCs/>
                <w:lang w:val="en-GB"/>
              </w:rPr>
              <w:t>1</w:t>
            </w:r>
            <w:r>
              <w:rPr>
                <w:rFonts w:ascii="Arial" w:hAnsi="Arial" w:cs="Arial"/>
                <w:bCs/>
                <w:lang w:val="en-GB"/>
              </w:rPr>
              <w:t>,</w:t>
            </w:r>
            <w:r w:rsidRPr="00D117D6">
              <w:rPr>
                <w:rFonts w:ascii="Arial" w:hAnsi="Arial" w:cs="Arial"/>
                <w:bCs/>
                <w:lang w:val="en-GB"/>
              </w:rPr>
              <w:t>725</w:t>
            </w:r>
          </w:p>
        </w:tc>
      </w:tr>
      <w:tr w:rsidR="00A23693" w:rsidRPr="00D117D6" w14:paraId="383BD28F" w14:textId="77777777" w:rsidTr="005C140F">
        <w:trPr>
          <w:tblHeader/>
        </w:trPr>
        <w:tc>
          <w:tcPr>
            <w:tcW w:w="1129" w:type="dxa"/>
          </w:tcPr>
          <w:p w14:paraId="2B591E7B" w14:textId="54CD91F8" w:rsidR="00A23693" w:rsidRPr="00D117D6" w:rsidRDefault="00A23693" w:rsidP="00FB79B8">
            <w:pPr>
              <w:rPr>
                <w:rFonts w:ascii="Arial" w:hAnsi="Arial" w:cs="Arial"/>
                <w:bCs/>
                <w:lang w:val="en-GB"/>
              </w:rPr>
            </w:pPr>
            <w:r w:rsidRPr="00D117D6">
              <w:rPr>
                <w:rFonts w:ascii="Arial" w:hAnsi="Arial" w:cs="Arial"/>
                <w:bCs/>
                <w:lang w:val="en-GB"/>
              </w:rPr>
              <w:t>2018</w:t>
            </w:r>
            <w:r>
              <w:rPr>
                <w:rFonts w:ascii="Arial" w:hAnsi="Arial" w:cs="Arial"/>
                <w:bCs/>
                <w:lang w:val="en-GB"/>
              </w:rPr>
              <w:t>–</w:t>
            </w:r>
            <w:r w:rsidRPr="00D117D6">
              <w:rPr>
                <w:rFonts w:ascii="Arial" w:hAnsi="Arial" w:cs="Arial"/>
                <w:bCs/>
                <w:lang w:val="en-GB"/>
              </w:rPr>
              <w:t>19</w:t>
            </w:r>
          </w:p>
        </w:tc>
        <w:tc>
          <w:tcPr>
            <w:tcW w:w="1701" w:type="dxa"/>
          </w:tcPr>
          <w:p w14:paraId="14F32216" w14:textId="77777777" w:rsidR="00A23693" w:rsidRPr="00D117D6" w:rsidRDefault="00A23693" w:rsidP="00FB79B8">
            <w:pPr>
              <w:jc w:val="right"/>
              <w:rPr>
                <w:rFonts w:ascii="Arial" w:hAnsi="Arial" w:cs="Arial"/>
                <w:bCs/>
                <w:lang w:val="en-GB"/>
              </w:rPr>
            </w:pPr>
            <w:r w:rsidRPr="00D117D6">
              <w:rPr>
                <w:rFonts w:ascii="Arial" w:hAnsi="Arial" w:cs="Arial"/>
                <w:bCs/>
                <w:lang w:val="en-GB"/>
              </w:rPr>
              <w:t>838</w:t>
            </w:r>
          </w:p>
        </w:tc>
        <w:tc>
          <w:tcPr>
            <w:tcW w:w="1985" w:type="dxa"/>
          </w:tcPr>
          <w:p w14:paraId="4E6F71D2" w14:textId="77777777" w:rsidR="00A23693" w:rsidRPr="00D117D6" w:rsidRDefault="00A23693" w:rsidP="00FB79B8">
            <w:pPr>
              <w:jc w:val="right"/>
              <w:rPr>
                <w:rFonts w:ascii="Arial" w:hAnsi="Arial" w:cs="Arial"/>
                <w:bCs/>
                <w:lang w:val="en-GB"/>
              </w:rPr>
            </w:pPr>
            <w:r w:rsidRPr="00D117D6">
              <w:rPr>
                <w:rFonts w:ascii="Arial" w:hAnsi="Arial" w:cs="Arial"/>
                <w:bCs/>
                <w:lang w:val="en-GB"/>
              </w:rPr>
              <w:t>988</w:t>
            </w:r>
          </w:p>
        </w:tc>
        <w:tc>
          <w:tcPr>
            <w:tcW w:w="1701" w:type="dxa"/>
          </w:tcPr>
          <w:p w14:paraId="246E583D" w14:textId="5BB943A5" w:rsidR="00A23693" w:rsidRPr="00D117D6" w:rsidRDefault="00A23693" w:rsidP="00FB79B8">
            <w:pPr>
              <w:jc w:val="right"/>
              <w:rPr>
                <w:rFonts w:ascii="Arial" w:hAnsi="Arial" w:cs="Arial"/>
                <w:bCs/>
                <w:lang w:val="en-GB"/>
              </w:rPr>
            </w:pPr>
            <w:r w:rsidRPr="00D117D6">
              <w:rPr>
                <w:rFonts w:ascii="Arial" w:hAnsi="Arial" w:cs="Arial"/>
                <w:bCs/>
                <w:lang w:val="en-GB"/>
              </w:rPr>
              <w:t>1</w:t>
            </w:r>
            <w:r>
              <w:rPr>
                <w:rFonts w:ascii="Arial" w:hAnsi="Arial" w:cs="Arial"/>
                <w:bCs/>
                <w:lang w:val="en-GB"/>
              </w:rPr>
              <w:t>,</w:t>
            </w:r>
            <w:r w:rsidRPr="00D117D6">
              <w:rPr>
                <w:rFonts w:ascii="Arial" w:hAnsi="Arial" w:cs="Arial"/>
                <w:bCs/>
                <w:lang w:val="en-GB"/>
              </w:rPr>
              <w:t>828</w:t>
            </w:r>
          </w:p>
        </w:tc>
      </w:tr>
    </w:tbl>
    <w:p w14:paraId="3D2D47EF" w14:textId="6FEB5546" w:rsidR="00A23693" w:rsidRPr="00B62940" w:rsidRDefault="00A23693" w:rsidP="00B62940">
      <w:pPr>
        <w:pStyle w:val="BodyTextMain"/>
      </w:pPr>
    </w:p>
    <w:p w14:paraId="3BD82710" w14:textId="77777777" w:rsidR="00A23693" w:rsidRPr="00B62940" w:rsidRDefault="00A23693" w:rsidP="00B62940">
      <w:pPr>
        <w:pStyle w:val="BodyTextMain"/>
      </w:pPr>
    </w:p>
    <w:p w14:paraId="5AED9879" w14:textId="77777777" w:rsidR="00A23693" w:rsidRPr="00B62940" w:rsidRDefault="00A23693" w:rsidP="00B62940">
      <w:pPr>
        <w:pStyle w:val="BodyTextMain"/>
      </w:pPr>
    </w:p>
    <w:p w14:paraId="448FA97D" w14:textId="77777777" w:rsidR="00A23693" w:rsidRPr="00B62940" w:rsidRDefault="00A23693" w:rsidP="00B62940">
      <w:pPr>
        <w:pStyle w:val="BodyTextMain"/>
      </w:pPr>
    </w:p>
    <w:p w14:paraId="20BFC09D" w14:textId="77777777" w:rsidR="00A23693" w:rsidRPr="00B62940" w:rsidRDefault="00A23693" w:rsidP="00B62940">
      <w:pPr>
        <w:pStyle w:val="BodyTextMain"/>
      </w:pPr>
    </w:p>
    <w:p w14:paraId="634F55ED" w14:textId="77777777" w:rsidR="00A23693" w:rsidRPr="00B62940" w:rsidRDefault="00A23693" w:rsidP="00B62940">
      <w:pPr>
        <w:pStyle w:val="BodyTextMain"/>
      </w:pPr>
    </w:p>
    <w:p w14:paraId="23782260" w14:textId="77777777" w:rsidR="00A23693" w:rsidRPr="00B62940" w:rsidRDefault="00A23693" w:rsidP="00B62940">
      <w:pPr>
        <w:pStyle w:val="BodyTextMain"/>
      </w:pPr>
    </w:p>
    <w:p w14:paraId="481D3C23" w14:textId="5F3A880C" w:rsidR="00A23693" w:rsidRDefault="00A23693" w:rsidP="00F7486B">
      <w:pPr>
        <w:rPr>
          <w:rFonts w:ascii="Arial" w:hAnsi="Arial" w:cs="Arial"/>
          <w:sz w:val="17"/>
          <w:szCs w:val="17"/>
          <w:lang w:val="en-GB"/>
        </w:rPr>
      </w:pPr>
      <w:r>
        <w:rPr>
          <w:rFonts w:ascii="Arial" w:hAnsi="Arial" w:cs="Arial"/>
          <w:sz w:val="17"/>
          <w:szCs w:val="17"/>
          <w:lang w:val="en-GB"/>
        </w:rPr>
        <w:t xml:space="preserve">Note: </w:t>
      </w:r>
      <w:r w:rsidRPr="0023321E">
        <w:rPr>
          <w:rFonts w:ascii="Arial" w:hAnsi="Arial" w:cs="Arial"/>
          <w:sz w:val="17"/>
          <w:szCs w:val="17"/>
          <w:lang w:val="en-GB"/>
        </w:rPr>
        <w:t>¥ = CNY = Chinese yuan renminbi; US$1 = ¥7.0515 on August 5, 2019.</w:t>
      </w:r>
    </w:p>
    <w:p w14:paraId="0D2D66C2" w14:textId="5A73E4F2" w:rsidR="00A23693" w:rsidRPr="00FB79B8" w:rsidRDefault="00A23693" w:rsidP="00F7486B">
      <w:pPr>
        <w:rPr>
          <w:rStyle w:val="Hyperlink"/>
          <w:rFonts w:ascii="Arial" w:hAnsi="Arial" w:cs="Arial"/>
          <w:color w:val="auto"/>
          <w:sz w:val="17"/>
          <w:szCs w:val="17"/>
          <w:u w:val="none"/>
          <w:lang w:val="en-GB"/>
        </w:rPr>
      </w:pPr>
      <w:r w:rsidRPr="00FB79B8">
        <w:rPr>
          <w:rFonts w:ascii="Arial" w:hAnsi="Arial" w:cs="Arial"/>
          <w:sz w:val="17"/>
          <w:szCs w:val="17"/>
          <w:lang w:val="en-GB"/>
        </w:rPr>
        <w:t xml:space="preserve">Source: Created by </w:t>
      </w:r>
      <w:r w:rsidRPr="00DD1AD9">
        <w:rPr>
          <w:rFonts w:ascii="Arial" w:hAnsi="Arial" w:cs="Arial"/>
          <w:sz w:val="17"/>
          <w:szCs w:val="17"/>
          <w:lang w:val="en-GB"/>
        </w:rPr>
        <w:t xml:space="preserve">the authors based on </w:t>
      </w:r>
      <w:r w:rsidRPr="00586937">
        <w:rPr>
          <w:rFonts w:ascii="Arial" w:hAnsi="Arial" w:cs="Arial"/>
          <w:sz w:val="17"/>
          <w:szCs w:val="17"/>
          <w:lang w:val="en-GB"/>
        </w:rPr>
        <w:t xml:space="preserve">SATS Ltd., </w:t>
      </w:r>
      <w:r w:rsidRPr="00FB79B8">
        <w:rPr>
          <w:rFonts w:ascii="Arial" w:hAnsi="Arial" w:cs="Arial"/>
          <w:i/>
          <w:iCs/>
          <w:sz w:val="17"/>
          <w:szCs w:val="17"/>
          <w:lang w:val="en-GB"/>
        </w:rPr>
        <w:t>Capital Markets Day</w:t>
      </w:r>
      <w:r w:rsidRPr="00586937">
        <w:rPr>
          <w:rFonts w:ascii="Arial" w:hAnsi="Arial" w:cs="Arial"/>
          <w:sz w:val="17"/>
          <w:szCs w:val="17"/>
          <w:lang w:val="en-GB"/>
        </w:rPr>
        <w:t>, May 30, 2019, accessed May 31, 2019, https://www.sats.com.sg/docs/default-source/financial-reports/road-shows/2019-2020/preso-cmd-30may19.pdf?sfvrsn=2cf1f37f_4.</w:t>
      </w:r>
    </w:p>
    <w:p w14:paraId="7038D094" w14:textId="4EA6A89D" w:rsidR="00A23693" w:rsidRPr="00D117D6" w:rsidRDefault="00A23693" w:rsidP="00B62940">
      <w:pPr>
        <w:pStyle w:val="BodyTextMain"/>
        <w:rPr>
          <w:lang w:val="en-GB"/>
        </w:rPr>
      </w:pPr>
    </w:p>
    <w:p w14:paraId="6A9F69C5" w14:textId="77777777" w:rsidR="00A23693" w:rsidRPr="00D117D6" w:rsidRDefault="00A23693" w:rsidP="00B62940">
      <w:pPr>
        <w:pStyle w:val="BodyTextMain"/>
        <w:rPr>
          <w:lang w:val="en-GB"/>
        </w:rPr>
      </w:pPr>
    </w:p>
    <w:p w14:paraId="4B6DDABE" w14:textId="77777777" w:rsidR="00A23693" w:rsidRDefault="00A23693">
      <w:pPr>
        <w:spacing w:after="200" w:line="276" w:lineRule="auto"/>
        <w:rPr>
          <w:rFonts w:ascii="Arial" w:hAnsi="Arial" w:cs="Arial"/>
          <w:b/>
          <w:caps/>
          <w:lang w:val="en-GB"/>
        </w:rPr>
      </w:pPr>
      <w:r>
        <w:rPr>
          <w:lang w:val="en-GB"/>
        </w:rPr>
        <w:br w:type="page"/>
      </w:r>
    </w:p>
    <w:p w14:paraId="217E211C" w14:textId="75DAF3B5" w:rsidR="00A23693" w:rsidRPr="00D117D6" w:rsidRDefault="00A23693" w:rsidP="00FB79B8">
      <w:pPr>
        <w:pStyle w:val="ExhibitHeading"/>
        <w:rPr>
          <w:lang w:val="en-GB"/>
        </w:rPr>
      </w:pPr>
      <w:r w:rsidRPr="00D117D6">
        <w:rPr>
          <w:lang w:val="en-GB"/>
        </w:rPr>
        <w:lastRenderedPageBreak/>
        <w:t xml:space="preserve">EXHIBIT 5: ANALYSIS OF COMPETITORS IN </w:t>
      </w:r>
      <w:r>
        <w:rPr>
          <w:lang w:val="en-GB"/>
        </w:rPr>
        <w:t xml:space="preserve">The </w:t>
      </w:r>
      <w:r w:rsidRPr="00D117D6">
        <w:rPr>
          <w:lang w:val="en-GB"/>
        </w:rPr>
        <w:t>GROUND HANDLING SECTOR</w:t>
      </w:r>
      <w:r>
        <w:rPr>
          <w:lang w:val="en-GB"/>
        </w:rPr>
        <w:t xml:space="preserve">, </w:t>
      </w:r>
      <w:r w:rsidRPr="00D117D6">
        <w:rPr>
          <w:lang w:val="en-GB"/>
        </w:rPr>
        <w:t>2016</w:t>
      </w:r>
    </w:p>
    <w:p w14:paraId="07D83B71" w14:textId="77777777" w:rsidR="00A23693" w:rsidRPr="00D117D6" w:rsidRDefault="00A23693" w:rsidP="00F7486B">
      <w:pPr>
        <w:jc w:val="center"/>
        <w:rPr>
          <w:rFonts w:ascii="Arial" w:hAnsi="Arial" w:cs="Arial"/>
          <w:b/>
          <w:bCs/>
          <w:lang w:val="en-GB"/>
        </w:rPr>
      </w:pPr>
    </w:p>
    <w:tbl>
      <w:tblPr>
        <w:tblStyle w:val="TableGrid"/>
        <w:tblW w:w="7103" w:type="dxa"/>
        <w:jc w:val="center"/>
        <w:tblLayout w:type="fixed"/>
        <w:tblLook w:val="04A0" w:firstRow="1" w:lastRow="0" w:firstColumn="1" w:lastColumn="0" w:noHBand="0" w:noVBand="1"/>
        <w:tblCaption w:val="EXHIBIT 5"/>
        <w:tblDescription w:val="ANALYSIS OF COMPETITORS IN THE GROUND HANDLING SECTOR, 2016"/>
      </w:tblPr>
      <w:tblGrid>
        <w:gridCol w:w="3050"/>
        <w:gridCol w:w="1359"/>
        <w:gridCol w:w="1418"/>
        <w:gridCol w:w="1276"/>
      </w:tblGrid>
      <w:tr w:rsidR="00A23693" w:rsidRPr="008E46A6" w14:paraId="14024BDA" w14:textId="77777777" w:rsidTr="008E46A6">
        <w:trPr>
          <w:jc w:val="center"/>
        </w:trPr>
        <w:tc>
          <w:tcPr>
            <w:tcW w:w="3050" w:type="dxa"/>
          </w:tcPr>
          <w:p w14:paraId="7EC8FF91" w14:textId="77777777" w:rsidR="00A23693" w:rsidRPr="008E46A6" w:rsidRDefault="00A23693" w:rsidP="00FB79B8">
            <w:pPr>
              <w:rPr>
                <w:rFonts w:ascii="Arial" w:hAnsi="Arial" w:cs="Arial"/>
                <w:b/>
                <w:lang w:val="en-GB"/>
              </w:rPr>
            </w:pPr>
            <w:r w:rsidRPr="008E46A6">
              <w:rPr>
                <w:rFonts w:ascii="Arial" w:hAnsi="Arial" w:cs="Arial"/>
                <w:b/>
                <w:lang w:val="en-GB"/>
              </w:rPr>
              <w:t>Operator</w:t>
            </w:r>
          </w:p>
        </w:tc>
        <w:tc>
          <w:tcPr>
            <w:tcW w:w="1359" w:type="dxa"/>
          </w:tcPr>
          <w:p w14:paraId="651720D4" w14:textId="6BC44FF3" w:rsidR="00A23693" w:rsidRPr="008E46A6" w:rsidRDefault="00A23693">
            <w:pPr>
              <w:jc w:val="center"/>
              <w:rPr>
                <w:rFonts w:ascii="Arial" w:hAnsi="Arial" w:cs="Arial"/>
                <w:b/>
                <w:lang w:val="en-GB"/>
              </w:rPr>
            </w:pPr>
            <w:r w:rsidRPr="008E46A6">
              <w:rPr>
                <w:rFonts w:ascii="Arial" w:hAnsi="Arial" w:cs="Arial"/>
                <w:b/>
                <w:lang w:val="en-GB"/>
              </w:rPr>
              <w:t>Revenue</w:t>
            </w:r>
          </w:p>
          <w:p w14:paraId="4EE8B901" w14:textId="653C1E60" w:rsidR="00A23693" w:rsidRPr="008E46A6" w:rsidRDefault="00A23693">
            <w:pPr>
              <w:jc w:val="center"/>
              <w:rPr>
                <w:rFonts w:ascii="Arial" w:hAnsi="Arial" w:cs="Arial"/>
                <w:b/>
                <w:lang w:val="en-GB"/>
              </w:rPr>
            </w:pPr>
            <w:r w:rsidRPr="008E46A6">
              <w:rPr>
                <w:rFonts w:ascii="Arial" w:hAnsi="Arial" w:cs="Arial"/>
                <w:b/>
                <w:lang w:val="en-GB"/>
              </w:rPr>
              <w:t>(€ Millions)</w:t>
            </w:r>
          </w:p>
        </w:tc>
        <w:tc>
          <w:tcPr>
            <w:tcW w:w="1418" w:type="dxa"/>
          </w:tcPr>
          <w:p w14:paraId="510E471C" w14:textId="519ADAF6" w:rsidR="00A23693" w:rsidRPr="008E46A6" w:rsidRDefault="00A23693" w:rsidP="00FB79B8">
            <w:pPr>
              <w:jc w:val="center"/>
              <w:rPr>
                <w:rFonts w:ascii="Arial" w:hAnsi="Arial" w:cs="Arial"/>
                <w:b/>
                <w:lang w:val="en-GB"/>
              </w:rPr>
            </w:pPr>
            <w:r w:rsidRPr="008E46A6">
              <w:rPr>
                <w:rFonts w:ascii="Arial" w:hAnsi="Arial" w:cs="Arial"/>
                <w:b/>
                <w:lang w:val="en-GB"/>
              </w:rPr>
              <w:t>No. of Stations</w:t>
            </w:r>
          </w:p>
        </w:tc>
        <w:tc>
          <w:tcPr>
            <w:tcW w:w="1276" w:type="dxa"/>
          </w:tcPr>
          <w:p w14:paraId="22E05AA6" w14:textId="44E05802" w:rsidR="00A23693" w:rsidRPr="008E46A6" w:rsidRDefault="00A23693">
            <w:pPr>
              <w:jc w:val="center"/>
              <w:rPr>
                <w:rFonts w:ascii="Arial" w:hAnsi="Arial" w:cs="Arial"/>
                <w:b/>
                <w:lang w:val="en-GB"/>
              </w:rPr>
            </w:pPr>
            <w:r w:rsidRPr="008E46A6">
              <w:rPr>
                <w:rFonts w:ascii="Arial" w:hAnsi="Arial" w:cs="Arial"/>
                <w:b/>
                <w:lang w:val="en-GB"/>
              </w:rPr>
              <w:t>Market Share (%)</w:t>
            </w:r>
          </w:p>
        </w:tc>
      </w:tr>
      <w:tr w:rsidR="00A23693" w:rsidRPr="008E46A6" w14:paraId="2D009A96" w14:textId="77777777" w:rsidTr="008E46A6">
        <w:trPr>
          <w:jc w:val="center"/>
        </w:trPr>
        <w:tc>
          <w:tcPr>
            <w:tcW w:w="3050" w:type="dxa"/>
          </w:tcPr>
          <w:p w14:paraId="3724B0DB" w14:textId="2FC025CD" w:rsidR="00A23693" w:rsidRPr="008E46A6" w:rsidRDefault="00A23693" w:rsidP="00FB79B8">
            <w:pPr>
              <w:rPr>
                <w:rFonts w:ascii="Arial" w:hAnsi="Arial" w:cs="Arial"/>
                <w:bCs/>
                <w:lang w:val="en-GB"/>
              </w:rPr>
            </w:pPr>
            <w:r w:rsidRPr="008E46A6">
              <w:rPr>
                <w:rFonts w:ascii="Arial" w:hAnsi="Arial" w:cs="Arial"/>
                <w:bCs/>
                <w:lang w:val="en-GB"/>
              </w:rPr>
              <w:t>Swissport International Ltd.</w:t>
            </w:r>
          </w:p>
        </w:tc>
        <w:tc>
          <w:tcPr>
            <w:tcW w:w="1359" w:type="dxa"/>
          </w:tcPr>
          <w:p w14:paraId="15A1800D" w14:textId="22EE9BF7" w:rsidR="00A23693" w:rsidRPr="008E46A6" w:rsidRDefault="00A23693" w:rsidP="00FB79B8">
            <w:pPr>
              <w:jc w:val="right"/>
              <w:rPr>
                <w:rFonts w:ascii="Arial" w:hAnsi="Arial" w:cs="Arial"/>
                <w:bCs/>
                <w:lang w:val="en-GB"/>
              </w:rPr>
            </w:pPr>
            <w:r w:rsidRPr="008E46A6">
              <w:rPr>
                <w:rFonts w:ascii="Arial" w:hAnsi="Arial" w:cs="Arial"/>
                <w:bCs/>
                <w:lang w:val="en-GB"/>
              </w:rPr>
              <w:t>2,444</w:t>
            </w:r>
          </w:p>
        </w:tc>
        <w:tc>
          <w:tcPr>
            <w:tcW w:w="1418" w:type="dxa"/>
          </w:tcPr>
          <w:p w14:paraId="6FBA38EE" w14:textId="77777777" w:rsidR="00A23693" w:rsidRPr="008E46A6" w:rsidRDefault="00A23693" w:rsidP="00FB79B8">
            <w:pPr>
              <w:jc w:val="right"/>
              <w:rPr>
                <w:rFonts w:ascii="Arial" w:hAnsi="Arial" w:cs="Arial"/>
                <w:bCs/>
                <w:lang w:val="en-GB"/>
              </w:rPr>
            </w:pPr>
            <w:r w:rsidRPr="008E46A6">
              <w:rPr>
                <w:rFonts w:ascii="Arial" w:hAnsi="Arial" w:cs="Arial"/>
                <w:bCs/>
                <w:lang w:val="en-GB"/>
              </w:rPr>
              <w:t>293</w:t>
            </w:r>
          </w:p>
        </w:tc>
        <w:tc>
          <w:tcPr>
            <w:tcW w:w="1276" w:type="dxa"/>
          </w:tcPr>
          <w:p w14:paraId="5626E3DE" w14:textId="77777777" w:rsidR="00A23693" w:rsidRPr="008E46A6" w:rsidRDefault="00A23693" w:rsidP="00FB79B8">
            <w:pPr>
              <w:jc w:val="right"/>
              <w:rPr>
                <w:rFonts w:ascii="Arial" w:hAnsi="Arial" w:cs="Arial"/>
                <w:bCs/>
                <w:lang w:val="en-GB"/>
              </w:rPr>
            </w:pPr>
            <w:r w:rsidRPr="008E46A6">
              <w:rPr>
                <w:rFonts w:ascii="Arial" w:hAnsi="Arial" w:cs="Arial"/>
                <w:bCs/>
                <w:lang w:val="en-GB"/>
              </w:rPr>
              <w:t>13.7</w:t>
            </w:r>
          </w:p>
        </w:tc>
      </w:tr>
      <w:tr w:rsidR="00A23693" w:rsidRPr="008E46A6" w14:paraId="07CDEB5E" w14:textId="77777777" w:rsidTr="008E46A6">
        <w:trPr>
          <w:jc w:val="center"/>
        </w:trPr>
        <w:tc>
          <w:tcPr>
            <w:tcW w:w="3050" w:type="dxa"/>
          </w:tcPr>
          <w:p w14:paraId="0B37254B" w14:textId="6D9D1353" w:rsidR="00A23693" w:rsidRPr="008E46A6" w:rsidRDefault="00A23693" w:rsidP="00FB79B8">
            <w:pPr>
              <w:rPr>
                <w:rFonts w:ascii="Arial" w:hAnsi="Arial" w:cs="Arial"/>
                <w:bCs/>
                <w:lang w:val="en-GB"/>
              </w:rPr>
            </w:pPr>
            <w:r w:rsidRPr="008E46A6">
              <w:rPr>
                <w:rFonts w:ascii="Arial" w:hAnsi="Arial" w:cs="Arial"/>
                <w:bCs/>
                <w:lang w:val="en-GB"/>
              </w:rPr>
              <w:t>Dnata</w:t>
            </w:r>
          </w:p>
        </w:tc>
        <w:tc>
          <w:tcPr>
            <w:tcW w:w="1359" w:type="dxa"/>
          </w:tcPr>
          <w:p w14:paraId="5D9E5595" w14:textId="77777777" w:rsidR="00A23693" w:rsidRPr="008E46A6" w:rsidRDefault="00A23693" w:rsidP="00FB79B8">
            <w:pPr>
              <w:jc w:val="right"/>
              <w:rPr>
                <w:rFonts w:ascii="Arial" w:hAnsi="Arial" w:cs="Arial"/>
                <w:bCs/>
                <w:lang w:val="en-GB"/>
              </w:rPr>
            </w:pPr>
            <w:r w:rsidRPr="008E46A6">
              <w:rPr>
                <w:rFonts w:ascii="Arial" w:hAnsi="Arial" w:cs="Arial"/>
                <w:bCs/>
                <w:lang w:val="en-GB"/>
              </w:rPr>
              <w:t>956</w:t>
            </w:r>
          </w:p>
        </w:tc>
        <w:tc>
          <w:tcPr>
            <w:tcW w:w="1418" w:type="dxa"/>
          </w:tcPr>
          <w:p w14:paraId="1E461CD5" w14:textId="77777777" w:rsidR="00A23693" w:rsidRPr="008E46A6" w:rsidRDefault="00A23693" w:rsidP="00FB79B8">
            <w:pPr>
              <w:jc w:val="right"/>
              <w:rPr>
                <w:rFonts w:ascii="Arial" w:hAnsi="Arial" w:cs="Arial"/>
                <w:bCs/>
                <w:lang w:val="en-GB"/>
              </w:rPr>
            </w:pPr>
            <w:r w:rsidRPr="008E46A6">
              <w:rPr>
                <w:rFonts w:ascii="Arial" w:hAnsi="Arial" w:cs="Arial"/>
                <w:bCs/>
                <w:lang w:val="en-GB"/>
              </w:rPr>
              <w:t>79</w:t>
            </w:r>
          </w:p>
        </w:tc>
        <w:tc>
          <w:tcPr>
            <w:tcW w:w="1276" w:type="dxa"/>
          </w:tcPr>
          <w:p w14:paraId="02CCD9D8" w14:textId="77777777" w:rsidR="00A23693" w:rsidRPr="008E46A6" w:rsidRDefault="00A23693" w:rsidP="00FB79B8">
            <w:pPr>
              <w:jc w:val="right"/>
              <w:rPr>
                <w:rFonts w:ascii="Arial" w:hAnsi="Arial" w:cs="Arial"/>
                <w:bCs/>
                <w:lang w:val="en-GB"/>
              </w:rPr>
            </w:pPr>
            <w:r w:rsidRPr="008E46A6">
              <w:rPr>
                <w:rFonts w:ascii="Arial" w:hAnsi="Arial" w:cs="Arial"/>
                <w:bCs/>
                <w:lang w:val="en-GB"/>
              </w:rPr>
              <w:t>5.4</w:t>
            </w:r>
          </w:p>
        </w:tc>
      </w:tr>
      <w:tr w:rsidR="00A23693" w:rsidRPr="008E46A6" w14:paraId="0E2F5F08" w14:textId="77777777" w:rsidTr="008E46A6">
        <w:trPr>
          <w:jc w:val="center"/>
        </w:trPr>
        <w:tc>
          <w:tcPr>
            <w:tcW w:w="3050" w:type="dxa"/>
          </w:tcPr>
          <w:p w14:paraId="01CB3BF6" w14:textId="77777777" w:rsidR="00A23693" w:rsidRPr="008E46A6" w:rsidRDefault="00A23693" w:rsidP="00FB79B8">
            <w:pPr>
              <w:rPr>
                <w:rFonts w:ascii="Arial" w:hAnsi="Arial" w:cs="Arial"/>
                <w:bCs/>
                <w:lang w:val="en-GB"/>
              </w:rPr>
            </w:pPr>
            <w:r w:rsidRPr="008E46A6">
              <w:rPr>
                <w:rFonts w:ascii="Arial" w:hAnsi="Arial" w:cs="Arial"/>
                <w:bCs/>
                <w:lang w:val="en-GB"/>
              </w:rPr>
              <w:t>Menzies Aviation</w:t>
            </w:r>
          </w:p>
        </w:tc>
        <w:tc>
          <w:tcPr>
            <w:tcW w:w="1359" w:type="dxa"/>
          </w:tcPr>
          <w:p w14:paraId="6CC8096C" w14:textId="77777777" w:rsidR="00A23693" w:rsidRPr="008E46A6" w:rsidRDefault="00A23693" w:rsidP="00FB79B8">
            <w:pPr>
              <w:jc w:val="right"/>
              <w:rPr>
                <w:rFonts w:ascii="Arial" w:hAnsi="Arial" w:cs="Arial"/>
                <w:bCs/>
                <w:lang w:val="en-GB"/>
              </w:rPr>
            </w:pPr>
            <w:r w:rsidRPr="008E46A6">
              <w:rPr>
                <w:rFonts w:ascii="Arial" w:hAnsi="Arial" w:cs="Arial"/>
                <w:bCs/>
                <w:lang w:val="en-GB"/>
              </w:rPr>
              <w:t>951</w:t>
            </w:r>
          </w:p>
        </w:tc>
        <w:tc>
          <w:tcPr>
            <w:tcW w:w="1418" w:type="dxa"/>
          </w:tcPr>
          <w:p w14:paraId="511E669B" w14:textId="77777777" w:rsidR="00A23693" w:rsidRPr="008E46A6" w:rsidRDefault="00A23693" w:rsidP="00FB79B8">
            <w:pPr>
              <w:jc w:val="right"/>
              <w:rPr>
                <w:rFonts w:ascii="Arial" w:hAnsi="Arial" w:cs="Arial"/>
                <w:bCs/>
                <w:lang w:val="en-GB"/>
              </w:rPr>
            </w:pPr>
            <w:r w:rsidRPr="008E46A6">
              <w:rPr>
                <w:rFonts w:ascii="Arial" w:hAnsi="Arial" w:cs="Arial"/>
                <w:bCs/>
                <w:lang w:val="en-GB"/>
              </w:rPr>
              <w:t>149</w:t>
            </w:r>
          </w:p>
        </w:tc>
        <w:tc>
          <w:tcPr>
            <w:tcW w:w="1276" w:type="dxa"/>
          </w:tcPr>
          <w:p w14:paraId="16532140" w14:textId="77777777" w:rsidR="00A23693" w:rsidRPr="008E46A6" w:rsidRDefault="00A23693" w:rsidP="00FB79B8">
            <w:pPr>
              <w:jc w:val="right"/>
              <w:rPr>
                <w:rFonts w:ascii="Arial" w:hAnsi="Arial" w:cs="Arial"/>
                <w:bCs/>
                <w:lang w:val="en-GB"/>
              </w:rPr>
            </w:pPr>
            <w:r w:rsidRPr="008E46A6">
              <w:rPr>
                <w:rFonts w:ascii="Arial" w:hAnsi="Arial" w:cs="Arial"/>
                <w:bCs/>
                <w:lang w:val="en-GB"/>
              </w:rPr>
              <w:t>5.3</w:t>
            </w:r>
          </w:p>
        </w:tc>
      </w:tr>
      <w:tr w:rsidR="00A23693" w:rsidRPr="008E46A6" w14:paraId="26781BFA" w14:textId="77777777" w:rsidTr="008E46A6">
        <w:trPr>
          <w:jc w:val="center"/>
        </w:trPr>
        <w:tc>
          <w:tcPr>
            <w:tcW w:w="3050" w:type="dxa"/>
          </w:tcPr>
          <w:p w14:paraId="4A5D7406" w14:textId="15DA7414" w:rsidR="00A23693" w:rsidRPr="008E46A6" w:rsidRDefault="00A23693" w:rsidP="00FB79B8">
            <w:pPr>
              <w:rPr>
                <w:rFonts w:ascii="Arial" w:hAnsi="Arial" w:cs="Arial"/>
                <w:bCs/>
                <w:lang w:val="en-GB"/>
              </w:rPr>
            </w:pPr>
            <w:r w:rsidRPr="008E46A6">
              <w:rPr>
                <w:rFonts w:ascii="Arial" w:hAnsi="Arial" w:cs="Arial"/>
                <w:bCs/>
                <w:lang w:val="en-GB"/>
              </w:rPr>
              <w:t>Fraport AG</w:t>
            </w:r>
          </w:p>
        </w:tc>
        <w:tc>
          <w:tcPr>
            <w:tcW w:w="1359" w:type="dxa"/>
          </w:tcPr>
          <w:p w14:paraId="7E38D3E8" w14:textId="77777777" w:rsidR="00A23693" w:rsidRPr="008E46A6" w:rsidRDefault="00A23693" w:rsidP="00EB2548">
            <w:pPr>
              <w:jc w:val="right"/>
              <w:rPr>
                <w:rFonts w:ascii="Arial" w:hAnsi="Arial" w:cs="Arial"/>
                <w:bCs/>
                <w:lang w:val="en-GB"/>
              </w:rPr>
            </w:pPr>
            <w:r w:rsidRPr="008E46A6">
              <w:rPr>
                <w:rFonts w:ascii="Arial" w:hAnsi="Arial" w:cs="Arial"/>
                <w:bCs/>
                <w:lang w:val="en-GB"/>
              </w:rPr>
              <w:t>656</w:t>
            </w:r>
          </w:p>
        </w:tc>
        <w:tc>
          <w:tcPr>
            <w:tcW w:w="1418" w:type="dxa"/>
          </w:tcPr>
          <w:p w14:paraId="6526614B" w14:textId="20497484" w:rsidR="00A23693" w:rsidRPr="008E46A6" w:rsidRDefault="007C18DD" w:rsidP="00EB2548">
            <w:pPr>
              <w:jc w:val="right"/>
              <w:rPr>
                <w:rFonts w:ascii="Arial" w:hAnsi="Arial" w:cs="Arial"/>
                <w:bCs/>
                <w:lang w:val="en-GB"/>
              </w:rPr>
            </w:pPr>
            <w:r w:rsidRPr="008E46A6">
              <w:rPr>
                <w:rFonts w:ascii="Arial" w:hAnsi="Arial" w:cs="Arial"/>
                <w:bCs/>
                <w:lang w:val="en-GB"/>
              </w:rPr>
              <w:t>. . .</w:t>
            </w:r>
          </w:p>
        </w:tc>
        <w:tc>
          <w:tcPr>
            <w:tcW w:w="1276" w:type="dxa"/>
          </w:tcPr>
          <w:p w14:paraId="0C6F5763" w14:textId="77777777" w:rsidR="00A23693" w:rsidRPr="008E46A6" w:rsidRDefault="00A23693" w:rsidP="00EB2548">
            <w:pPr>
              <w:jc w:val="right"/>
              <w:rPr>
                <w:rFonts w:ascii="Arial" w:hAnsi="Arial" w:cs="Arial"/>
                <w:bCs/>
                <w:lang w:val="en-GB"/>
              </w:rPr>
            </w:pPr>
            <w:r w:rsidRPr="008E46A6">
              <w:rPr>
                <w:rFonts w:ascii="Arial" w:hAnsi="Arial" w:cs="Arial"/>
                <w:bCs/>
                <w:lang w:val="en-GB"/>
              </w:rPr>
              <w:t>3.7</w:t>
            </w:r>
          </w:p>
        </w:tc>
      </w:tr>
      <w:tr w:rsidR="00A23693" w:rsidRPr="008E46A6" w14:paraId="36060510" w14:textId="77777777" w:rsidTr="008E46A6">
        <w:trPr>
          <w:jc w:val="center"/>
        </w:trPr>
        <w:tc>
          <w:tcPr>
            <w:tcW w:w="3050" w:type="dxa"/>
          </w:tcPr>
          <w:p w14:paraId="68D60356" w14:textId="77777777" w:rsidR="00A23693" w:rsidRPr="008E46A6" w:rsidRDefault="00A23693" w:rsidP="00EB2548">
            <w:pPr>
              <w:rPr>
                <w:rFonts w:ascii="Arial" w:hAnsi="Arial" w:cs="Arial"/>
                <w:bCs/>
                <w:lang w:val="en-GB"/>
              </w:rPr>
            </w:pPr>
            <w:r w:rsidRPr="008E46A6">
              <w:rPr>
                <w:rFonts w:ascii="Arial" w:hAnsi="Arial" w:cs="Arial"/>
                <w:bCs/>
                <w:lang w:val="en-GB"/>
              </w:rPr>
              <w:t>Worldwide Flight Services</w:t>
            </w:r>
          </w:p>
        </w:tc>
        <w:tc>
          <w:tcPr>
            <w:tcW w:w="1359" w:type="dxa"/>
          </w:tcPr>
          <w:p w14:paraId="754AD8F3" w14:textId="77777777" w:rsidR="00A23693" w:rsidRPr="008E46A6" w:rsidRDefault="00A23693" w:rsidP="00EB2548">
            <w:pPr>
              <w:jc w:val="right"/>
              <w:rPr>
                <w:rFonts w:ascii="Arial" w:hAnsi="Arial" w:cs="Arial"/>
                <w:bCs/>
                <w:lang w:val="en-GB"/>
              </w:rPr>
            </w:pPr>
            <w:r w:rsidRPr="008E46A6">
              <w:rPr>
                <w:rFonts w:ascii="Arial" w:hAnsi="Arial" w:cs="Arial"/>
                <w:bCs/>
                <w:lang w:val="en-GB"/>
              </w:rPr>
              <w:t>650</w:t>
            </w:r>
          </w:p>
        </w:tc>
        <w:tc>
          <w:tcPr>
            <w:tcW w:w="1418" w:type="dxa"/>
          </w:tcPr>
          <w:p w14:paraId="5371D2E5" w14:textId="77777777" w:rsidR="00A23693" w:rsidRPr="008E46A6" w:rsidRDefault="00A23693" w:rsidP="00EB2548">
            <w:pPr>
              <w:jc w:val="right"/>
              <w:rPr>
                <w:rFonts w:ascii="Arial" w:hAnsi="Arial" w:cs="Arial"/>
                <w:bCs/>
                <w:lang w:val="en-GB"/>
              </w:rPr>
            </w:pPr>
            <w:r w:rsidRPr="008E46A6">
              <w:rPr>
                <w:rFonts w:ascii="Arial" w:hAnsi="Arial" w:cs="Arial"/>
                <w:bCs/>
                <w:lang w:val="en-GB"/>
              </w:rPr>
              <w:t>144</w:t>
            </w:r>
          </w:p>
        </w:tc>
        <w:tc>
          <w:tcPr>
            <w:tcW w:w="1276" w:type="dxa"/>
          </w:tcPr>
          <w:p w14:paraId="50B47554" w14:textId="77777777" w:rsidR="00A23693" w:rsidRPr="008E46A6" w:rsidRDefault="00A23693" w:rsidP="00EB2548">
            <w:pPr>
              <w:jc w:val="right"/>
              <w:rPr>
                <w:rFonts w:ascii="Arial" w:hAnsi="Arial" w:cs="Arial"/>
                <w:bCs/>
                <w:lang w:val="en-GB"/>
              </w:rPr>
            </w:pPr>
            <w:r w:rsidRPr="008E46A6">
              <w:rPr>
                <w:rFonts w:ascii="Arial" w:hAnsi="Arial" w:cs="Arial"/>
                <w:bCs/>
                <w:lang w:val="en-GB"/>
              </w:rPr>
              <w:t>3.6</w:t>
            </w:r>
          </w:p>
        </w:tc>
      </w:tr>
      <w:tr w:rsidR="00A23693" w:rsidRPr="008E46A6" w14:paraId="4603F6A5" w14:textId="77777777" w:rsidTr="008E46A6">
        <w:trPr>
          <w:jc w:val="center"/>
        </w:trPr>
        <w:tc>
          <w:tcPr>
            <w:tcW w:w="3050" w:type="dxa"/>
          </w:tcPr>
          <w:p w14:paraId="1FFCFFB8" w14:textId="4B1BF957" w:rsidR="00A23693" w:rsidRPr="008E46A6" w:rsidRDefault="00A23693" w:rsidP="00EB2548">
            <w:pPr>
              <w:rPr>
                <w:rFonts w:ascii="Arial" w:hAnsi="Arial" w:cs="Arial"/>
                <w:b/>
                <w:bCs/>
                <w:lang w:val="en-GB"/>
              </w:rPr>
            </w:pPr>
            <w:r w:rsidRPr="008E46A6">
              <w:rPr>
                <w:rFonts w:ascii="Arial" w:hAnsi="Arial" w:cs="Arial"/>
                <w:b/>
                <w:bCs/>
                <w:lang w:val="en-GB"/>
              </w:rPr>
              <w:t>SATS Ltd.</w:t>
            </w:r>
          </w:p>
        </w:tc>
        <w:tc>
          <w:tcPr>
            <w:tcW w:w="1359" w:type="dxa"/>
          </w:tcPr>
          <w:p w14:paraId="47EB0591" w14:textId="77777777" w:rsidR="00A23693" w:rsidRPr="008E46A6" w:rsidRDefault="00A23693" w:rsidP="00EB2548">
            <w:pPr>
              <w:jc w:val="right"/>
              <w:rPr>
                <w:rFonts w:ascii="Arial" w:hAnsi="Arial" w:cs="Arial"/>
                <w:b/>
                <w:bCs/>
                <w:lang w:val="en-GB"/>
              </w:rPr>
            </w:pPr>
            <w:r w:rsidRPr="008E46A6">
              <w:rPr>
                <w:rFonts w:ascii="Arial" w:hAnsi="Arial" w:cs="Arial"/>
                <w:b/>
                <w:bCs/>
                <w:lang w:val="en-GB"/>
              </w:rPr>
              <w:t>473</w:t>
            </w:r>
          </w:p>
        </w:tc>
        <w:tc>
          <w:tcPr>
            <w:tcW w:w="1418" w:type="dxa"/>
          </w:tcPr>
          <w:p w14:paraId="1E416FB5" w14:textId="77777777" w:rsidR="00A23693" w:rsidRPr="008E46A6" w:rsidRDefault="00A23693" w:rsidP="00EB2548">
            <w:pPr>
              <w:jc w:val="right"/>
              <w:rPr>
                <w:rFonts w:ascii="Arial" w:hAnsi="Arial" w:cs="Arial"/>
                <w:b/>
                <w:bCs/>
                <w:lang w:val="en-GB"/>
              </w:rPr>
            </w:pPr>
            <w:r w:rsidRPr="008E46A6">
              <w:rPr>
                <w:rFonts w:ascii="Arial" w:hAnsi="Arial" w:cs="Arial"/>
                <w:b/>
                <w:bCs/>
                <w:lang w:val="en-GB"/>
              </w:rPr>
              <w:t>43</w:t>
            </w:r>
          </w:p>
        </w:tc>
        <w:tc>
          <w:tcPr>
            <w:tcW w:w="1276" w:type="dxa"/>
          </w:tcPr>
          <w:p w14:paraId="4F673909" w14:textId="77777777" w:rsidR="00A23693" w:rsidRPr="008E46A6" w:rsidRDefault="00A23693" w:rsidP="00EB2548">
            <w:pPr>
              <w:jc w:val="right"/>
              <w:rPr>
                <w:rFonts w:ascii="Arial" w:hAnsi="Arial" w:cs="Arial"/>
                <w:b/>
                <w:bCs/>
                <w:lang w:val="en-GB"/>
              </w:rPr>
            </w:pPr>
            <w:r w:rsidRPr="008E46A6">
              <w:rPr>
                <w:rFonts w:ascii="Arial" w:hAnsi="Arial" w:cs="Arial"/>
                <w:b/>
                <w:bCs/>
                <w:lang w:val="en-GB"/>
              </w:rPr>
              <w:t>2.6</w:t>
            </w:r>
          </w:p>
        </w:tc>
      </w:tr>
      <w:tr w:rsidR="00A23693" w:rsidRPr="008E46A6" w14:paraId="49FADA84" w14:textId="77777777" w:rsidTr="008E46A6">
        <w:trPr>
          <w:jc w:val="center"/>
        </w:trPr>
        <w:tc>
          <w:tcPr>
            <w:tcW w:w="3050" w:type="dxa"/>
          </w:tcPr>
          <w:p w14:paraId="2119F2C2" w14:textId="77777777" w:rsidR="00A23693" w:rsidRPr="008E46A6" w:rsidRDefault="00A23693" w:rsidP="00EB2548">
            <w:pPr>
              <w:rPr>
                <w:rFonts w:ascii="Arial" w:hAnsi="Arial" w:cs="Arial"/>
                <w:bCs/>
                <w:lang w:val="en-GB"/>
              </w:rPr>
            </w:pPr>
            <w:r w:rsidRPr="008E46A6">
              <w:rPr>
                <w:rFonts w:ascii="Arial" w:hAnsi="Arial" w:cs="Arial"/>
                <w:bCs/>
                <w:lang w:val="en-GB"/>
              </w:rPr>
              <w:t>Aviapartner</w:t>
            </w:r>
          </w:p>
        </w:tc>
        <w:tc>
          <w:tcPr>
            <w:tcW w:w="1359" w:type="dxa"/>
          </w:tcPr>
          <w:p w14:paraId="7B82B5A5" w14:textId="77777777" w:rsidR="00A23693" w:rsidRPr="008E46A6" w:rsidRDefault="00A23693" w:rsidP="00EB2548">
            <w:pPr>
              <w:jc w:val="right"/>
              <w:rPr>
                <w:rFonts w:ascii="Arial" w:hAnsi="Arial" w:cs="Arial"/>
                <w:bCs/>
                <w:lang w:val="en-GB"/>
              </w:rPr>
            </w:pPr>
            <w:r w:rsidRPr="008E46A6">
              <w:rPr>
                <w:rFonts w:ascii="Arial" w:hAnsi="Arial" w:cs="Arial"/>
                <w:bCs/>
                <w:lang w:val="en-GB"/>
              </w:rPr>
              <w:t>350</w:t>
            </w:r>
          </w:p>
        </w:tc>
        <w:tc>
          <w:tcPr>
            <w:tcW w:w="1418" w:type="dxa"/>
          </w:tcPr>
          <w:p w14:paraId="607F6B7B" w14:textId="77777777" w:rsidR="00A23693" w:rsidRPr="008E46A6" w:rsidRDefault="00A23693" w:rsidP="00EB2548">
            <w:pPr>
              <w:jc w:val="right"/>
              <w:rPr>
                <w:rFonts w:ascii="Arial" w:hAnsi="Arial" w:cs="Arial"/>
                <w:bCs/>
                <w:lang w:val="en-GB"/>
              </w:rPr>
            </w:pPr>
            <w:r w:rsidRPr="008E46A6">
              <w:rPr>
                <w:rFonts w:ascii="Arial" w:hAnsi="Arial" w:cs="Arial"/>
                <w:bCs/>
                <w:lang w:val="en-GB"/>
              </w:rPr>
              <w:t>38</w:t>
            </w:r>
          </w:p>
        </w:tc>
        <w:tc>
          <w:tcPr>
            <w:tcW w:w="1276" w:type="dxa"/>
          </w:tcPr>
          <w:p w14:paraId="134B474C" w14:textId="77777777" w:rsidR="00A23693" w:rsidRPr="008E46A6" w:rsidRDefault="00A23693" w:rsidP="00EB2548">
            <w:pPr>
              <w:jc w:val="right"/>
              <w:rPr>
                <w:rFonts w:ascii="Arial" w:hAnsi="Arial" w:cs="Arial"/>
                <w:bCs/>
                <w:lang w:val="en-GB"/>
              </w:rPr>
            </w:pPr>
            <w:r w:rsidRPr="008E46A6">
              <w:rPr>
                <w:rFonts w:ascii="Arial" w:hAnsi="Arial" w:cs="Arial"/>
                <w:bCs/>
                <w:lang w:val="en-GB"/>
              </w:rPr>
              <w:t>2.0</w:t>
            </w:r>
          </w:p>
        </w:tc>
      </w:tr>
      <w:tr w:rsidR="00A23693" w:rsidRPr="008E46A6" w14:paraId="494305D2" w14:textId="77777777" w:rsidTr="008E46A6">
        <w:trPr>
          <w:trHeight w:val="68"/>
          <w:jc w:val="center"/>
        </w:trPr>
        <w:tc>
          <w:tcPr>
            <w:tcW w:w="3050" w:type="dxa"/>
          </w:tcPr>
          <w:p w14:paraId="379DE4BA" w14:textId="77777777" w:rsidR="00A23693" w:rsidRPr="008E46A6" w:rsidRDefault="00A23693" w:rsidP="00EB2548">
            <w:pPr>
              <w:rPr>
                <w:rFonts w:ascii="Arial" w:hAnsi="Arial" w:cs="Arial"/>
                <w:bCs/>
                <w:lang w:val="en-GB"/>
              </w:rPr>
            </w:pPr>
            <w:r w:rsidRPr="008E46A6">
              <w:rPr>
                <w:rFonts w:ascii="Arial" w:hAnsi="Arial" w:cs="Arial"/>
                <w:bCs/>
                <w:lang w:val="en-GB"/>
              </w:rPr>
              <w:t>Aviator Airport Alliance</w:t>
            </w:r>
          </w:p>
        </w:tc>
        <w:tc>
          <w:tcPr>
            <w:tcW w:w="1359" w:type="dxa"/>
          </w:tcPr>
          <w:p w14:paraId="3F5C8731" w14:textId="77777777" w:rsidR="00A23693" w:rsidRPr="008E46A6" w:rsidRDefault="00A23693" w:rsidP="00EB2548">
            <w:pPr>
              <w:jc w:val="right"/>
              <w:rPr>
                <w:rFonts w:ascii="Arial" w:hAnsi="Arial" w:cs="Arial"/>
                <w:bCs/>
                <w:lang w:val="en-GB"/>
              </w:rPr>
            </w:pPr>
            <w:r w:rsidRPr="008E46A6">
              <w:rPr>
                <w:rFonts w:ascii="Arial" w:hAnsi="Arial" w:cs="Arial"/>
                <w:bCs/>
                <w:lang w:val="en-GB"/>
              </w:rPr>
              <w:t>224</w:t>
            </w:r>
          </w:p>
        </w:tc>
        <w:tc>
          <w:tcPr>
            <w:tcW w:w="1418" w:type="dxa"/>
          </w:tcPr>
          <w:p w14:paraId="5BBB318D" w14:textId="77777777" w:rsidR="00A23693" w:rsidRPr="008E46A6" w:rsidRDefault="00A23693" w:rsidP="00EB2548">
            <w:pPr>
              <w:jc w:val="right"/>
              <w:rPr>
                <w:rFonts w:ascii="Arial" w:hAnsi="Arial" w:cs="Arial"/>
                <w:bCs/>
                <w:lang w:val="en-GB"/>
              </w:rPr>
            </w:pPr>
            <w:r w:rsidRPr="008E46A6">
              <w:rPr>
                <w:rFonts w:ascii="Arial" w:hAnsi="Arial" w:cs="Arial"/>
                <w:bCs/>
                <w:lang w:val="en-GB"/>
              </w:rPr>
              <w:t>23</w:t>
            </w:r>
          </w:p>
        </w:tc>
        <w:tc>
          <w:tcPr>
            <w:tcW w:w="1276" w:type="dxa"/>
          </w:tcPr>
          <w:p w14:paraId="3768C464" w14:textId="77777777" w:rsidR="00A23693" w:rsidRPr="008E46A6" w:rsidRDefault="00A23693" w:rsidP="00EB2548">
            <w:pPr>
              <w:jc w:val="right"/>
              <w:rPr>
                <w:rFonts w:ascii="Arial" w:hAnsi="Arial" w:cs="Arial"/>
                <w:bCs/>
                <w:lang w:val="en-GB"/>
              </w:rPr>
            </w:pPr>
            <w:r w:rsidRPr="008E46A6">
              <w:rPr>
                <w:rFonts w:ascii="Arial" w:hAnsi="Arial" w:cs="Arial"/>
                <w:bCs/>
                <w:lang w:val="en-GB"/>
              </w:rPr>
              <w:t>1.3</w:t>
            </w:r>
          </w:p>
        </w:tc>
      </w:tr>
      <w:tr w:rsidR="00A23693" w:rsidRPr="008E46A6" w14:paraId="58F2CA3D" w14:textId="77777777" w:rsidTr="008E46A6">
        <w:trPr>
          <w:jc w:val="center"/>
        </w:trPr>
        <w:tc>
          <w:tcPr>
            <w:tcW w:w="3050" w:type="dxa"/>
          </w:tcPr>
          <w:p w14:paraId="2B432CCC" w14:textId="65EC4904" w:rsidR="00A23693" w:rsidRPr="008E46A6" w:rsidRDefault="00A23693" w:rsidP="00EB2548">
            <w:pPr>
              <w:rPr>
                <w:rFonts w:ascii="Arial" w:hAnsi="Arial" w:cs="Arial"/>
                <w:bCs/>
                <w:lang w:val="en-GB"/>
              </w:rPr>
            </w:pPr>
            <w:r w:rsidRPr="008E46A6">
              <w:rPr>
                <w:rFonts w:ascii="Arial" w:hAnsi="Arial" w:cs="Arial"/>
                <w:bCs/>
                <w:lang w:val="en-GB"/>
              </w:rPr>
              <w:t>Çelebi Aviation</w:t>
            </w:r>
          </w:p>
        </w:tc>
        <w:tc>
          <w:tcPr>
            <w:tcW w:w="1359" w:type="dxa"/>
          </w:tcPr>
          <w:p w14:paraId="4B1A49FA" w14:textId="77777777" w:rsidR="00A23693" w:rsidRPr="008E46A6" w:rsidRDefault="00A23693" w:rsidP="00EB2548">
            <w:pPr>
              <w:jc w:val="right"/>
              <w:rPr>
                <w:rFonts w:ascii="Arial" w:hAnsi="Arial" w:cs="Arial"/>
                <w:bCs/>
                <w:lang w:val="en-GB"/>
              </w:rPr>
            </w:pPr>
            <w:r w:rsidRPr="008E46A6">
              <w:rPr>
                <w:rFonts w:ascii="Arial" w:hAnsi="Arial" w:cs="Arial"/>
                <w:bCs/>
                <w:lang w:val="en-GB"/>
              </w:rPr>
              <w:t>220</w:t>
            </w:r>
          </w:p>
        </w:tc>
        <w:tc>
          <w:tcPr>
            <w:tcW w:w="1418" w:type="dxa"/>
          </w:tcPr>
          <w:p w14:paraId="4A94DAAE" w14:textId="77777777" w:rsidR="00A23693" w:rsidRPr="008E46A6" w:rsidRDefault="00A23693" w:rsidP="00EB2548">
            <w:pPr>
              <w:jc w:val="right"/>
              <w:rPr>
                <w:rFonts w:ascii="Arial" w:hAnsi="Arial" w:cs="Arial"/>
                <w:bCs/>
                <w:lang w:val="en-GB"/>
              </w:rPr>
            </w:pPr>
            <w:r w:rsidRPr="008E46A6">
              <w:rPr>
                <w:rFonts w:ascii="Arial" w:hAnsi="Arial" w:cs="Arial"/>
                <w:bCs/>
                <w:lang w:val="en-GB"/>
              </w:rPr>
              <w:t>34</w:t>
            </w:r>
          </w:p>
        </w:tc>
        <w:tc>
          <w:tcPr>
            <w:tcW w:w="1276" w:type="dxa"/>
          </w:tcPr>
          <w:p w14:paraId="4B961D67" w14:textId="77777777" w:rsidR="00A23693" w:rsidRPr="008E46A6" w:rsidRDefault="00A23693" w:rsidP="00EB2548">
            <w:pPr>
              <w:jc w:val="right"/>
              <w:rPr>
                <w:rFonts w:ascii="Arial" w:hAnsi="Arial" w:cs="Arial"/>
                <w:bCs/>
                <w:lang w:val="en-GB"/>
              </w:rPr>
            </w:pPr>
            <w:r w:rsidRPr="008E46A6">
              <w:rPr>
                <w:rFonts w:ascii="Arial" w:hAnsi="Arial" w:cs="Arial"/>
                <w:bCs/>
                <w:lang w:val="en-GB"/>
              </w:rPr>
              <w:t>1.2</w:t>
            </w:r>
          </w:p>
        </w:tc>
      </w:tr>
    </w:tbl>
    <w:p w14:paraId="2B353181" w14:textId="77777777" w:rsidR="00A23693" w:rsidRPr="00D117D6" w:rsidRDefault="00A23693" w:rsidP="00F7486B">
      <w:pPr>
        <w:jc w:val="both"/>
        <w:rPr>
          <w:rFonts w:ascii="Arial" w:hAnsi="Arial" w:cs="Arial"/>
          <w:sz w:val="17"/>
          <w:szCs w:val="17"/>
          <w:lang w:val="en-GB"/>
        </w:rPr>
      </w:pPr>
    </w:p>
    <w:p w14:paraId="37F1F0F7" w14:textId="68287D4E" w:rsidR="00A23693" w:rsidRDefault="00A23693" w:rsidP="00F7486B">
      <w:pPr>
        <w:jc w:val="both"/>
        <w:rPr>
          <w:rFonts w:ascii="Arial" w:hAnsi="Arial" w:cs="Arial"/>
          <w:sz w:val="17"/>
          <w:szCs w:val="17"/>
          <w:lang w:val="en-GB"/>
        </w:rPr>
      </w:pPr>
      <w:r>
        <w:rPr>
          <w:rFonts w:ascii="Arial" w:hAnsi="Arial" w:cs="Arial"/>
          <w:sz w:val="17"/>
          <w:szCs w:val="17"/>
          <w:lang w:val="en-GB"/>
        </w:rPr>
        <w:t>Note: € = EUR = euro; US$1 = €</w:t>
      </w:r>
      <w:r w:rsidRPr="00787DEB">
        <w:rPr>
          <w:rFonts w:ascii="Arial" w:hAnsi="Arial" w:cs="Arial"/>
          <w:sz w:val="17"/>
          <w:szCs w:val="17"/>
          <w:lang w:val="en-GB"/>
        </w:rPr>
        <w:t>0.8934</w:t>
      </w:r>
      <w:r>
        <w:rPr>
          <w:rFonts w:ascii="Arial" w:hAnsi="Arial" w:cs="Arial"/>
          <w:sz w:val="17"/>
          <w:szCs w:val="17"/>
          <w:lang w:val="en-GB"/>
        </w:rPr>
        <w:t xml:space="preserve"> on August 5, 2019.</w:t>
      </w:r>
    </w:p>
    <w:p w14:paraId="4AAF6158" w14:textId="38E9641F" w:rsidR="00A23693" w:rsidRPr="00D117D6" w:rsidRDefault="00A23693" w:rsidP="007C18DD">
      <w:pPr>
        <w:jc w:val="both"/>
        <w:rPr>
          <w:rFonts w:ascii="Arial" w:hAnsi="Arial" w:cs="Arial"/>
          <w:b/>
          <w:bCs/>
          <w:lang w:val="en-GB"/>
        </w:rPr>
      </w:pPr>
      <w:r w:rsidRPr="00D117D6">
        <w:rPr>
          <w:rFonts w:ascii="Arial" w:hAnsi="Arial" w:cs="Arial"/>
          <w:sz w:val="17"/>
          <w:szCs w:val="17"/>
          <w:lang w:val="en-GB"/>
        </w:rPr>
        <w:t xml:space="preserve">Source: Created by </w:t>
      </w:r>
      <w:r>
        <w:rPr>
          <w:rFonts w:ascii="Arial" w:hAnsi="Arial" w:cs="Arial"/>
          <w:sz w:val="17"/>
          <w:szCs w:val="17"/>
          <w:lang w:val="en-GB"/>
        </w:rPr>
        <w:t xml:space="preserve">the </w:t>
      </w:r>
      <w:r w:rsidRPr="00D117D6">
        <w:rPr>
          <w:rFonts w:ascii="Arial" w:hAnsi="Arial" w:cs="Arial"/>
          <w:sz w:val="17"/>
          <w:szCs w:val="17"/>
          <w:lang w:val="en-GB"/>
        </w:rPr>
        <w:t xml:space="preserve">authors based on </w:t>
      </w:r>
      <w:r>
        <w:rPr>
          <w:rFonts w:ascii="Arial" w:hAnsi="Arial" w:cs="Arial"/>
          <w:sz w:val="17"/>
          <w:szCs w:val="17"/>
          <w:lang w:val="en-GB"/>
        </w:rPr>
        <w:t>Didier Bréchemier, “</w:t>
      </w:r>
      <w:r w:rsidRPr="00A954EC">
        <w:rPr>
          <w:rFonts w:ascii="Arial" w:hAnsi="Arial" w:cs="Arial"/>
          <w:sz w:val="17"/>
          <w:szCs w:val="17"/>
          <w:lang w:val="en-GB"/>
        </w:rPr>
        <w:t>Ground Handling Financial and M&amp;A Overview</w:t>
      </w:r>
      <w:r>
        <w:rPr>
          <w:rFonts w:ascii="Arial" w:hAnsi="Arial" w:cs="Arial"/>
          <w:sz w:val="17"/>
          <w:szCs w:val="17"/>
          <w:lang w:val="en-GB"/>
        </w:rPr>
        <w:t xml:space="preserve">,” </w:t>
      </w:r>
      <w:r w:rsidRPr="00D117D6">
        <w:rPr>
          <w:rFonts w:ascii="Arial" w:hAnsi="Arial" w:cs="Arial"/>
          <w:sz w:val="17"/>
          <w:szCs w:val="17"/>
          <w:lang w:val="en-GB"/>
        </w:rPr>
        <w:t>November 29</w:t>
      </w:r>
      <w:r>
        <w:rPr>
          <w:rFonts w:ascii="Arial" w:hAnsi="Arial" w:cs="Arial"/>
          <w:sz w:val="17"/>
          <w:szCs w:val="17"/>
          <w:lang w:val="en-GB"/>
        </w:rPr>
        <w:t>,</w:t>
      </w:r>
      <w:r w:rsidRPr="00D117D6">
        <w:rPr>
          <w:rFonts w:ascii="Arial" w:hAnsi="Arial" w:cs="Arial"/>
          <w:sz w:val="17"/>
          <w:szCs w:val="17"/>
          <w:lang w:val="en-GB"/>
        </w:rPr>
        <w:t xml:space="preserve"> 2016, accessed May 15</w:t>
      </w:r>
      <w:r>
        <w:rPr>
          <w:rFonts w:ascii="Arial" w:hAnsi="Arial" w:cs="Arial"/>
          <w:sz w:val="17"/>
          <w:szCs w:val="17"/>
          <w:lang w:val="en-GB"/>
        </w:rPr>
        <w:t>,</w:t>
      </w:r>
      <w:r w:rsidRPr="00D117D6">
        <w:rPr>
          <w:rFonts w:ascii="Arial" w:hAnsi="Arial" w:cs="Arial"/>
          <w:sz w:val="17"/>
          <w:szCs w:val="17"/>
          <w:lang w:val="en-GB"/>
        </w:rPr>
        <w:t xml:space="preserve"> 2019</w:t>
      </w:r>
      <w:r w:rsidRPr="00A954EC">
        <w:rPr>
          <w:rFonts w:ascii="Arial" w:hAnsi="Arial" w:cs="Arial"/>
          <w:sz w:val="17"/>
          <w:szCs w:val="17"/>
          <w:lang w:val="en-GB"/>
        </w:rPr>
        <w:t xml:space="preserve">, </w:t>
      </w:r>
      <w:r w:rsidRPr="008F3EC9">
        <w:rPr>
          <w:rFonts w:ascii="Arial" w:hAnsi="Arial" w:cs="Arial"/>
          <w:sz w:val="17"/>
          <w:szCs w:val="17"/>
          <w:lang w:val="en-GB"/>
        </w:rPr>
        <w:t>https://www.slideshare.net/DidierBrchemier/ground-handling-financial-and-ma-overview</w:t>
      </w:r>
      <w:r>
        <w:rPr>
          <w:rFonts w:ascii="Arial" w:hAnsi="Arial" w:cs="Arial"/>
          <w:sz w:val="17"/>
          <w:szCs w:val="17"/>
          <w:lang w:val="en-GB"/>
        </w:rPr>
        <w:t>.</w:t>
      </w:r>
    </w:p>
    <w:p w14:paraId="7B2BC630" w14:textId="77777777" w:rsidR="00A23693" w:rsidRPr="00D117D6" w:rsidRDefault="00A23693">
      <w:pPr>
        <w:spacing w:after="200" w:line="276" w:lineRule="auto"/>
        <w:rPr>
          <w:rFonts w:ascii="Arial" w:hAnsi="Arial" w:cs="Arial"/>
          <w:b/>
          <w:bCs/>
          <w:lang w:val="en-GB"/>
        </w:rPr>
      </w:pPr>
      <w:r w:rsidRPr="00D117D6">
        <w:rPr>
          <w:rFonts w:ascii="Arial" w:hAnsi="Arial" w:cs="Arial"/>
          <w:b/>
          <w:bCs/>
          <w:lang w:val="en-GB"/>
        </w:rPr>
        <w:br w:type="page"/>
      </w:r>
    </w:p>
    <w:p w14:paraId="45363FD7" w14:textId="576FEA8A" w:rsidR="00A23693" w:rsidRPr="00D117D6" w:rsidRDefault="00A23693" w:rsidP="00EB2548">
      <w:pPr>
        <w:pStyle w:val="ExhibitHeading"/>
        <w:rPr>
          <w:lang w:val="en-GB"/>
        </w:rPr>
      </w:pPr>
      <w:r w:rsidRPr="00D117D6">
        <w:rPr>
          <w:lang w:val="en-GB"/>
        </w:rPr>
        <w:lastRenderedPageBreak/>
        <w:t xml:space="preserve">EXHIBIT 6: REVIEW OF SATS </w:t>
      </w:r>
      <w:r>
        <w:rPr>
          <w:lang w:val="en-GB"/>
        </w:rPr>
        <w:t xml:space="preserve">LTD.’s </w:t>
      </w:r>
      <w:r w:rsidRPr="00D117D6">
        <w:rPr>
          <w:lang w:val="en-GB"/>
        </w:rPr>
        <w:t>EXISTING ASSOCIATIONS</w:t>
      </w:r>
      <w:r>
        <w:rPr>
          <w:lang w:val="en-GB"/>
        </w:rPr>
        <w:t xml:space="preserve">, </w:t>
      </w:r>
      <w:r w:rsidRPr="00D117D6">
        <w:rPr>
          <w:lang w:val="en-GB"/>
        </w:rPr>
        <w:t>2018</w:t>
      </w:r>
    </w:p>
    <w:p w14:paraId="7FBE15AB" w14:textId="77777777" w:rsidR="00A23693" w:rsidRPr="00D117D6" w:rsidRDefault="00A23693" w:rsidP="00F7486B">
      <w:pPr>
        <w:jc w:val="center"/>
        <w:rPr>
          <w:rFonts w:ascii="Arial" w:hAnsi="Arial" w:cs="Arial"/>
          <w:b/>
          <w:bCs/>
          <w:lang w:val="en-GB"/>
        </w:rPr>
      </w:pPr>
    </w:p>
    <w:p w14:paraId="3074A20E" w14:textId="0579ADD5" w:rsidR="00A23693" w:rsidRPr="00D117D6" w:rsidRDefault="00A23693" w:rsidP="00F7486B">
      <w:pPr>
        <w:jc w:val="center"/>
        <w:rPr>
          <w:rFonts w:ascii="Arial" w:hAnsi="Arial" w:cs="Arial"/>
          <w:b/>
          <w:sz w:val="2"/>
          <w:szCs w:val="2"/>
          <w:lang w:val="en-GB"/>
        </w:rPr>
      </w:pPr>
    </w:p>
    <w:p w14:paraId="280E8771" w14:textId="77777777" w:rsidR="00A23693" w:rsidRPr="00D117D6" w:rsidRDefault="00A23693" w:rsidP="00F7486B">
      <w:pPr>
        <w:jc w:val="center"/>
        <w:rPr>
          <w:rFonts w:ascii="Arial" w:hAnsi="Arial" w:cs="Arial"/>
          <w:b/>
          <w:sz w:val="2"/>
          <w:szCs w:val="2"/>
          <w:lang w:val="en-GB"/>
        </w:rPr>
      </w:pPr>
    </w:p>
    <w:tbl>
      <w:tblPr>
        <w:tblStyle w:val="TableGrid"/>
        <w:tblW w:w="9346" w:type="dxa"/>
        <w:jc w:val="center"/>
        <w:tblLook w:val="04A0" w:firstRow="1" w:lastRow="0" w:firstColumn="1" w:lastColumn="0" w:noHBand="0" w:noVBand="1"/>
        <w:tblCaption w:val="EXHIBIT 6"/>
        <w:tblDescription w:val="REVIEW OF SATS LTD.’S EXISTING ASSOCIATIONS, 2018"/>
      </w:tblPr>
      <w:tblGrid>
        <w:gridCol w:w="1318"/>
        <w:gridCol w:w="2072"/>
        <w:gridCol w:w="1224"/>
        <w:gridCol w:w="1319"/>
        <w:gridCol w:w="3413"/>
      </w:tblGrid>
      <w:tr w:rsidR="00A23693" w:rsidRPr="00203F22" w14:paraId="0EAF13D7" w14:textId="77777777" w:rsidTr="007C18DD">
        <w:trPr>
          <w:trHeight w:val="215"/>
          <w:jc w:val="center"/>
        </w:trPr>
        <w:tc>
          <w:tcPr>
            <w:tcW w:w="1318" w:type="dxa"/>
            <w:noWrap/>
            <w:hideMark/>
          </w:tcPr>
          <w:p w14:paraId="4D3BF0E6" w14:textId="77777777" w:rsidR="00A23693" w:rsidRPr="00203F22" w:rsidRDefault="00A23693" w:rsidP="00EB2548">
            <w:pPr>
              <w:rPr>
                <w:rFonts w:ascii="Arial" w:hAnsi="Arial" w:cs="Arial"/>
                <w:b/>
                <w:bCs/>
                <w:color w:val="000000"/>
                <w:sz w:val="16"/>
                <w:szCs w:val="16"/>
                <w:lang w:val="en-GB" w:eastAsia="en-IN"/>
              </w:rPr>
            </w:pPr>
            <w:r w:rsidRPr="00203F22">
              <w:rPr>
                <w:rFonts w:ascii="Arial" w:hAnsi="Arial" w:cs="Arial"/>
                <w:b/>
                <w:bCs/>
                <w:color w:val="000000"/>
                <w:sz w:val="16"/>
                <w:szCs w:val="16"/>
                <w:lang w:val="en-GB" w:eastAsia="en-IN"/>
              </w:rPr>
              <w:t>Country</w:t>
            </w:r>
          </w:p>
        </w:tc>
        <w:tc>
          <w:tcPr>
            <w:tcW w:w="2072" w:type="dxa"/>
            <w:noWrap/>
            <w:hideMark/>
          </w:tcPr>
          <w:p w14:paraId="0F958093" w14:textId="77777777" w:rsidR="00A23693" w:rsidRPr="00203F22" w:rsidRDefault="00A23693">
            <w:pPr>
              <w:jc w:val="center"/>
              <w:rPr>
                <w:rFonts w:ascii="Arial" w:hAnsi="Arial" w:cs="Arial"/>
                <w:b/>
                <w:bCs/>
                <w:color w:val="000000"/>
                <w:sz w:val="16"/>
                <w:szCs w:val="16"/>
                <w:lang w:val="en-GB" w:eastAsia="en-IN"/>
              </w:rPr>
            </w:pPr>
            <w:r w:rsidRPr="00203F22">
              <w:rPr>
                <w:rFonts w:ascii="Arial" w:hAnsi="Arial" w:cs="Arial"/>
                <w:b/>
                <w:bCs/>
                <w:color w:val="000000"/>
                <w:sz w:val="16"/>
                <w:szCs w:val="16"/>
                <w:lang w:val="en-GB" w:eastAsia="en-IN"/>
              </w:rPr>
              <w:t>Partner</w:t>
            </w:r>
          </w:p>
        </w:tc>
        <w:tc>
          <w:tcPr>
            <w:tcW w:w="1224" w:type="dxa"/>
            <w:noWrap/>
            <w:hideMark/>
          </w:tcPr>
          <w:p w14:paraId="757232C8" w14:textId="7B85992E" w:rsidR="00A23693" w:rsidRPr="00203F22" w:rsidRDefault="00A23693">
            <w:pPr>
              <w:jc w:val="center"/>
              <w:rPr>
                <w:rFonts w:ascii="Arial" w:hAnsi="Arial" w:cs="Arial"/>
                <w:b/>
                <w:bCs/>
                <w:color w:val="000000"/>
                <w:sz w:val="16"/>
                <w:szCs w:val="16"/>
                <w:lang w:val="en-GB" w:eastAsia="en-IN"/>
              </w:rPr>
            </w:pPr>
            <w:r w:rsidRPr="00203F22">
              <w:rPr>
                <w:rFonts w:ascii="Arial" w:hAnsi="Arial" w:cs="Arial"/>
                <w:b/>
                <w:bCs/>
                <w:color w:val="000000"/>
                <w:sz w:val="16"/>
                <w:szCs w:val="16"/>
                <w:lang w:val="en-GB" w:eastAsia="en-IN"/>
              </w:rPr>
              <w:t>Holding (%)</w:t>
            </w:r>
          </w:p>
        </w:tc>
        <w:tc>
          <w:tcPr>
            <w:tcW w:w="1319" w:type="dxa"/>
            <w:noWrap/>
            <w:hideMark/>
          </w:tcPr>
          <w:p w14:paraId="39132961" w14:textId="77777777" w:rsidR="00A23693" w:rsidRPr="00203F22" w:rsidRDefault="00A23693">
            <w:pPr>
              <w:jc w:val="center"/>
              <w:rPr>
                <w:rFonts w:ascii="Arial" w:hAnsi="Arial" w:cs="Arial"/>
                <w:b/>
                <w:bCs/>
                <w:color w:val="000000"/>
                <w:sz w:val="16"/>
                <w:szCs w:val="16"/>
                <w:lang w:val="en-GB" w:eastAsia="en-IN"/>
              </w:rPr>
            </w:pPr>
            <w:r w:rsidRPr="00203F22">
              <w:rPr>
                <w:rFonts w:ascii="Arial" w:hAnsi="Arial" w:cs="Arial"/>
                <w:b/>
                <w:bCs/>
                <w:color w:val="000000"/>
                <w:sz w:val="16"/>
                <w:szCs w:val="16"/>
                <w:lang w:val="en-GB" w:eastAsia="en-IN"/>
              </w:rPr>
              <w:t>Division</w:t>
            </w:r>
          </w:p>
        </w:tc>
        <w:tc>
          <w:tcPr>
            <w:tcW w:w="3413" w:type="dxa"/>
            <w:hideMark/>
          </w:tcPr>
          <w:p w14:paraId="2F27387E" w14:textId="77777777" w:rsidR="00A23693" w:rsidRPr="00203F22" w:rsidRDefault="00A23693">
            <w:pPr>
              <w:jc w:val="center"/>
              <w:rPr>
                <w:rFonts w:ascii="Arial" w:hAnsi="Arial" w:cs="Arial"/>
                <w:b/>
                <w:bCs/>
                <w:color w:val="000000"/>
                <w:sz w:val="16"/>
                <w:szCs w:val="16"/>
                <w:lang w:val="en-GB" w:eastAsia="en-IN"/>
              </w:rPr>
            </w:pPr>
            <w:r w:rsidRPr="00203F22">
              <w:rPr>
                <w:rFonts w:ascii="Arial" w:hAnsi="Arial" w:cs="Arial"/>
                <w:b/>
                <w:bCs/>
                <w:color w:val="000000"/>
                <w:sz w:val="16"/>
                <w:szCs w:val="16"/>
                <w:lang w:val="en-GB" w:eastAsia="en-IN"/>
              </w:rPr>
              <w:t>Description</w:t>
            </w:r>
          </w:p>
        </w:tc>
      </w:tr>
      <w:tr w:rsidR="00A23693" w:rsidRPr="00203F22" w14:paraId="2BE4DBBF" w14:textId="77777777" w:rsidTr="007C18DD">
        <w:trPr>
          <w:trHeight w:val="312"/>
          <w:jc w:val="center"/>
        </w:trPr>
        <w:tc>
          <w:tcPr>
            <w:tcW w:w="1318" w:type="dxa"/>
            <w:vMerge w:val="restart"/>
            <w:noWrap/>
            <w:hideMark/>
          </w:tcPr>
          <w:p w14:paraId="469616D6"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Greater China</w:t>
            </w:r>
          </w:p>
        </w:tc>
        <w:tc>
          <w:tcPr>
            <w:tcW w:w="2072" w:type="dxa"/>
            <w:noWrap/>
            <w:hideMark/>
          </w:tcPr>
          <w:p w14:paraId="06F6E3F7" w14:textId="0A7A0555"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Asia Airfreight Terminal </w:t>
            </w:r>
          </w:p>
        </w:tc>
        <w:tc>
          <w:tcPr>
            <w:tcW w:w="1224" w:type="dxa"/>
            <w:noWrap/>
            <w:hideMark/>
          </w:tcPr>
          <w:p w14:paraId="48943480" w14:textId="31A46D55"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w:t>
            </w:r>
            <w:r w:rsidR="002B6099">
              <w:rPr>
                <w:rFonts w:ascii="Arial" w:hAnsi="Arial" w:cs="Arial"/>
                <w:color w:val="000000"/>
                <w:sz w:val="16"/>
                <w:szCs w:val="16"/>
                <w:lang w:val="en-GB" w:eastAsia="en-IN"/>
              </w:rPr>
              <w:t>.0</w:t>
            </w:r>
          </w:p>
        </w:tc>
        <w:tc>
          <w:tcPr>
            <w:tcW w:w="1319" w:type="dxa"/>
            <w:noWrap/>
            <w:hideMark/>
          </w:tcPr>
          <w:p w14:paraId="78AEEE0F"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Gateway Services </w:t>
            </w:r>
          </w:p>
        </w:tc>
        <w:tc>
          <w:tcPr>
            <w:tcW w:w="3413" w:type="dxa"/>
            <w:hideMark/>
          </w:tcPr>
          <w:p w14:paraId="69EFB44D" w14:textId="7E7BA078" w:rsidR="00A23693"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C</w:t>
            </w:r>
            <w:r w:rsidR="00A23693" w:rsidRPr="00203F22">
              <w:rPr>
                <w:rFonts w:ascii="Arial" w:hAnsi="Arial" w:cs="Arial"/>
                <w:color w:val="000000"/>
                <w:sz w:val="16"/>
                <w:szCs w:val="16"/>
                <w:lang w:val="en-GB" w:eastAsia="en-IN"/>
              </w:rPr>
              <w:t>argo handling services</w:t>
            </w:r>
          </w:p>
        </w:tc>
      </w:tr>
      <w:tr w:rsidR="00A23693" w:rsidRPr="00203F22" w14:paraId="26B0086D" w14:textId="77777777" w:rsidTr="007C18DD">
        <w:trPr>
          <w:trHeight w:val="152"/>
          <w:jc w:val="center"/>
        </w:trPr>
        <w:tc>
          <w:tcPr>
            <w:tcW w:w="1318" w:type="dxa"/>
            <w:vMerge/>
            <w:hideMark/>
          </w:tcPr>
          <w:p w14:paraId="05CEE5D6" w14:textId="77777777" w:rsidR="00A23693" w:rsidRPr="00203F22" w:rsidRDefault="00A23693">
            <w:pPr>
              <w:rPr>
                <w:rFonts w:ascii="Arial" w:hAnsi="Arial" w:cs="Arial"/>
                <w:color w:val="000000"/>
                <w:sz w:val="16"/>
                <w:szCs w:val="16"/>
                <w:lang w:val="en-GB" w:eastAsia="en-IN"/>
              </w:rPr>
            </w:pPr>
          </w:p>
        </w:tc>
        <w:tc>
          <w:tcPr>
            <w:tcW w:w="2072" w:type="dxa"/>
            <w:noWrap/>
            <w:hideMark/>
          </w:tcPr>
          <w:p w14:paraId="6D54061A"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Beijing Aviation Ground Services</w:t>
            </w:r>
          </w:p>
        </w:tc>
        <w:tc>
          <w:tcPr>
            <w:tcW w:w="1224" w:type="dxa"/>
            <w:noWrap/>
            <w:hideMark/>
          </w:tcPr>
          <w:p w14:paraId="4B7AF899" w14:textId="478ED6CE"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29</w:t>
            </w:r>
            <w:r w:rsidR="002B6099">
              <w:rPr>
                <w:rFonts w:ascii="Arial" w:hAnsi="Arial" w:cs="Arial"/>
                <w:color w:val="000000"/>
                <w:sz w:val="16"/>
                <w:szCs w:val="16"/>
                <w:lang w:val="en-GB" w:eastAsia="en-IN"/>
              </w:rPr>
              <w:t>.0</w:t>
            </w:r>
          </w:p>
        </w:tc>
        <w:tc>
          <w:tcPr>
            <w:tcW w:w="1319" w:type="dxa"/>
            <w:noWrap/>
            <w:hideMark/>
          </w:tcPr>
          <w:p w14:paraId="479FE7D0"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Gateway Services </w:t>
            </w:r>
          </w:p>
        </w:tc>
        <w:tc>
          <w:tcPr>
            <w:tcW w:w="3413" w:type="dxa"/>
            <w:hideMark/>
          </w:tcPr>
          <w:p w14:paraId="5C8CF56C" w14:textId="3D07B59C" w:rsidR="00A23693" w:rsidRPr="00203F22" w:rsidRDefault="00A23693">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Aviation ground handling services in </w:t>
            </w:r>
            <w:r w:rsidR="00D713ED" w:rsidRPr="00D713ED">
              <w:rPr>
                <w:rFonts w:ascii="Arial" w:hAnsi="Arial" w:cs="Arial"/>
                <w:color w:val="000000"/>
                <w:sz w:val="16"/>
                <w:szCs w:val="16"/>
                <w:lang w:val="en-GB" w:eastAsia="en-IN"/>
              </w:rPr>
              <w:t>Beijing Capital International Airport</w:t>
            </w:r>
          </w:p>
        </w:tc>
      </w:tr>
      <w:tr w:rsidR="00A23693" w:rsidRPr="00203F22" w14:paraId="4749F0B4" w14:textId="77777777" w:rsidTr="007C18DD">
        <w:trPr>
          <w:trHeight w:val="64"/>
          <w:jc w:val="center"/>
        </w:trPr>
        <w:tc>
          <w:tcPr>
            <w:tcW w:w="1318" w:type="dxa"/>
            <w:vMerge/>
            <w:hideMark/>
          </w:tcPr>
          <w:p w14:paraId="4A400F6B" w14:textId="77777777" w:rsidR="00A23693" w:rsidRPr="00203F22" w:rsidRDefault="00A23693">
            <w:pPr>
              <w:rPr>
                <w:rFonts w:ascii="Arial" w:hAnsi="Arial" w:cs="Arial"/>
                <w:color w:val="000000"/>
                <w:sz w:val="16"/>
                <w:szCs w:val="16"/>
                <w:lang w:val="en-GB" w:eastAsia="en-IN"/>
              </w:rPr>
            </w:pPr>
          </w:p>
        </w:tc>
        <w:tc>
          <w:tcPr>
            <w:tcW w:w="2072" w:type="dxa"/>
            <w:noWrap/>
            <w:hideMark/>
          </w:tcPr>
          <w:p w14:paraId="169C6333"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Beijing Airport Inflight Kitchen</w:t>
            </w:r>
          </w:p>
        </w:tc>
        <w:tc>
          <w:tcPr>
            <w:tcW w:w="1224" w:type="dxa"/>
            <w:noWrap/>
            <w:hideMark/>
          </w:tcPr>
          <w:p w14:paraId="08966184" w14:textId="4DD36870"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28</w:t>
            </w:r>
            <w:r w:rsidR="002B6099">
              <w:rPr>
                <w:rFonts w:ascii="Arial" w:hAnsi="Arial" w:cs="Arial"/>
                <w:color w:val="000000"/>
                <w:sz w:val="16"/>
                <w:szCs w:val="16"/>
                <w:lang w:val="en-GB" w:eastAsia="en-IN"/>
              </w:rPr>
              <w:t>.0</w:t>
            </w:r>
          </w:p>
        </w:tc>
        <w:tc>
          <w:tcPr>
            <w:tcW w:w="1319" w:type="dxa"/>
            <w:noWrap/>
            <w:hideMark/>
          </w:tcPr>
          <w:p w14:paraId="0C27AB18"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p>
        </w:tc>
        <w:tc>
          <w:tcPr>
            <w:tcW w:w="3413" w:type="dxa"/>
            <w:hideMark/>
          </w:tcPr>
          <w:p w14:paraId="68DB7CA7" w14:textId="6BCEEA5A" w:rsidR="00A23693" w:rsidRPr="00203F22" w:rsidRDefault="00A23693">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Inflight catering </w:t>
            </w:r>
            <w:r>
              <w:rPr>
                <w:rFonts w:ascii="Arial" w:hAnsi="Arial" w:cs="Arial"/>
                <w:color w:val="000000"/>
                <w:sz w:val="16"/>
                <w:szCs w:val="16"/>
                <w:lang w:val="en-GB" w:eastAsia="en-IN"/>
              </w:rPr>
              <w:t>service</w:t>
            </w:r>
            <w:r w:rsidRPr="00203F22">
              <w:rPr>
                <w:rFonts w:ascii="Arial" w:hAnsi="Arial" w:cs="Arial"/>
                <w:color w:val="000000"/>
                <w:sz w:val="16"/>
                <w:szCs w:val="16"/>
                <w:lang w:val="en-GB" w:eastAsia="en-IN"/>
              </w:rPr>
              <w:t xml:space="preserve"> for </w:t>
            </w:r>
            <w:r w:rsidR="00D713ED">
              <w:t xml:space="preserve"> </w:t>
            </w:r>
            <w:r w:rsidR="00D713ED" w:rsidRPr="00D713ED">
              <w:rPr>
                <w:rFonts w:ascii="Arial" w:hAnsi="Arial" w:cs="Arial"/>
                <w:color w:val="000000"/>
                <w:sz w:val="16"/>
                <w:szCs w:val="16"/>
                <w:lang w:val="en-GB" w:eastAsia="en-IN"/>
              </w:rPr>
              <w:t>Beijing Capital International Airport</w:t>
            </w:r>
          </w:p>
        </w:tc>
      </w:tr>
      <w:tr w:rsidR="00A23693" w:rsidRPr="00203F22" w14:paraId="7020A667" w14:textId="77777777" w:rsidTr="007C18DD">
        <w:trPr>
          <w:trHeight w:val="116"/>
          <w:jc w:val="center"/>
        </w:trPr>
        <w:tc>
          <w:tcPr>
            <w:tcW w:w="1318" w:type="dxa"/>
            <w:vMerge/>
          </w:tcPr>
          <w:p w14:paraId="7AA401A7" w14:textId="77777777" w:rsidR="00A23693" w:rsidRPr="00203F22" w:rsidRDefault="00A23693">
            <w:pPr>
              <w:rPr>
                <w:rFonts w:ascii="Arial" w:hAnsi="Arial" w:cs="Arial"/>
                <w:color w:val="000000"/>
                <w:sz w:val="16"/>
                <w:szCs w:val="16"/>
                <w:lang w:val="en-GB" w:eastAsia="en-IN"/>
              </w:rPr>
            </w:pPr>
          </w:p>
        </w:tc>
        <w:tc>
          <w:tcPr>
            <w:tcW w:w="2072" w:type="dxa"/>
            <w:noWrap/>
          </w:tcPr>
          <w:p w14:paraId="00E062D3" w14:textId="1554EE80" w:rsidR="00A23693" w:rsidRPr="00203F22" w:rsidRDefault="00A23693" w:rsidP="00EB2548">
            <w:pPr>
              <w:rPr>
                <w:rFonts w:ascii="Arial" w:hAnsi="Arial" w:cs="Arial"/>
                <w:color w:val="000000"/>
                <w:sz w:val="16"/>
                <w:szCs w:val="16"/>
                <w:lang w:val="en-GB" w:eastAsia="en-IN"/>
              </w:rPr>
            </w:pPr>
            <w:r w:rsidRPr="00203F22">
              <w:rPr>
                <w:rFonts w:ascii="Arial" w:eastAsiaTheme="minorEastAsia" w:hAnsi="Arial" w:cs="Arial"/>
                <w:sz w:val="16"/>
                <w:szCs w:val="16"/>
                <w:lang w:val="en-GB" w:eastAsia="zh-CN"/>
              </w:rPr>
              <w:t>Capital A</w:t>
            </w:r>
            <w:r w:rsidRPr="00EB2548">
              <w:rPr>
                <w:rFonts w:ascii="Arial" w:eastAsiaTheme="minorEastAsia" w:hAnsi="Arial" w:cs="Arial"/>
                <w:sz w:val="16"/>
                <w:szCs w:val="16"/>
                <w:lang w:eastAsia="zh-CN"/>
              </w:rPr>
              <w:t>irport</w:t>
            </w:r>
            <w:r w:rsidRPr="00203F22">
              <w:rPr>
                <w:rFonts w:ascii="Arial" w:eastAsiaTheme="minorEastAsia" w:hAnsi="Arial" w:cs="Arial"/>
                <w:sz w:val="16"/>
                <w:szCs w:val="16"/>
                <w:lang w:val="en-GB" w:eastAsia="zh-CN"/>
              </w:rPr>
              <w:t xml:space="preserve"> Holding Company</w:t>
            </w:r>
          </w:p>
        </w:tc>
        <w:tc>
          <w:tcPr>
            <w:tcW w:w="1224" w:type="dxa"/>
            <w:noWrap/>
          </w:tcPr>
          <w:p w14:paraId="3B3BF592" w14:textId="425A7517"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40</w:t>
            </w:r>
            <w:r w:rsidR="002B6099">
              <w:rPr>
                <w:rFonts w:ascii="Arial" w:hAnsi="Arial" w:cs="Arial"/>
                <w:color w:val="000000"/>
                <w:sz w:val="16"/>
                <w:szCs w:val="16"/>
                <w:lang w:val="en-GB" w:eastAsia="en-IN"/>
              </w:rPr>
              <w:t>.0</w:t>
            </w:r>
          </w:p>
        </w:tc>
        <w:tc>
          <w:tcPr>
            <w:tcW w:w="1319" w:type="dxa"/>
            <w:noWrap/>
          </w:tcPr>
          <w:p w14:paraId="0648AF5F"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Gateway Services</w:t>
            </w:r>
          </w:p>
        </w:tc>
        <w:tc>
          <w:tcPr>
            <w:tcW w:w="3413" w:type="dxa"/>
          </w:tcPr>
          <w:p w14:paraId="1B4CE602" w14:textId="7C015FE0" w:rsidR="00A23693" w:rsidRPr="00203F22" w:rsidRDefault="00A23693" w:rsidP="007C18DD">
            <w:pPr>
              <w:autoSpaceDE w:val="0"/>
              <w:autoSpaceDN w:val="0"/>
              <w:adjustRightInd w:val="0"/>
              <w:rPr>
                <w:rFonts w:ascii="Arial" w:hAnsi="Arial" w:cs="Arial"/>
                <w:color w:val="000000"/>
                <w:sz w:val="16"/>
                <w:szCs w:val="16"/>
                <w:lang w:val="en-GB" w:eastAsia="en-IN"/>
              </w:rPr>
            </w:pPr>
            <w:r w:rsidRPr="00203F22">
              <w:rPr>
                <w:rFonts w:ascii="Arial" w:eastAsiaTheme="minorEastAsia" w:hAnsi="Arial" w:cs="Arial"/>
                <w:sz w:val="16"/>
                <w:szCs w:val="16"/>
                <w:lang w:val="en-GB" w:eastAsia="zh-CN"/>
              </w:rPr>
              <w:t>Ground and cargo handling and other related services at Beijing Daxing International Airport</w:t>
            </w:r>
          </w:p>
        </w:tc>
      </w:tr>
      <w:tr w:rsidR="00A23693" w:rsidRPr="00203F22" w14:paraId="355E7495" w14:textId="77777777" w:rsidTr="007C18DD">
        <w:trPr>
          <w:trHeight w:val="312"/>
          <w:jc w:val="center"/>
        </w:trPr>
        <w:tc>
          <w:tcPr>
            <w:tcW w:w="1318" w:type="dxa"/>
            <w:vMerge/>
          </w:tcPr>
          <w:p w14:paraId="2F9CA8CB" w14:textId="77777777" w:rsidR="00A23693" w:rsidRPr="00203F22" w:rsidRDefault="00A23693">
            <w:pPr>
              <w:rPr>
                <w:rFonts w:ascii="Arial" w:hAnsi="Arial" w:cs="Arial"/>
                <w:color w:val="000000"/>
                <w:sz w:val="16"/>
                <w:szCs w:val="16"/>
                <w:lang w:val="en-GB" w:eastAsia="en-IN"/>
              </w:rPr>
            </w:pPr>
          </w:p>
        </w:tc>
        <w:tc>
          <w:tcPr>
            <w:tcW w:w="2072" w:type="dxa"/>
            <w:noWrap/>
          </w:tcPr>
          <w:p w14:paraId="28043276" w14:textId="766A086F" w:rsidR="00A23693" w:rsidRPr="00203F22" w:rsidRDefault="00A23693" w:rsidP="00EB2548">
            <w:pPr>
              <w:rPr>
                <w:rFonts w:ascii="Arial" w:hAnsi="Arial" w:cs="Arial"/>
                <w:color w:val="000000"/>
                <w:sz w:val="16"/>
                <w:szCs w:val="16"/>
                <w:lang w:val="en-GB" w:eastAsia="en-IN"/>
              </w:rPr>
            </w:pPr>
            <w:r w:rsidRPr="00203F22">
              <w:rPr>
                <w:rFonts w:ascii="Arial" w:eastAsiaTheme="minorEastAsia" w:hAnsi="Arial" w:cs="Arial"/>
                <w:sz w:val="16"/>
                <w:szCs w:val="16"/>
                <w:lang w:val="en-GB" w:eastAsia="zh-CN"/>
              </w:rPr>
              <w:t>Capital A</w:t>
            </w:r>
            <w:r w:rsidRPr="00CF4577">
              <w:rPr>
                <w:rFonts w:ascii="Arial" w:eastAsiaTheme="minorEastAsia" w:hAnsi="Arial" w:cs="Arial"/>
                <w:sz w:val="16"/>
                <w:szCs w:val="16"/>
                <w:lang w:eastAsia="zh-CN"/>
              </w:rPr>
              <w:t>irport</w:t>
            </w:r>
            <w:r w:rsidRPr="00203F22">
              <w:rPr>
                <w:rFonts w:ascii="Arial" w:eastAsiaTheme="minorEastAsia" w:hAnsi="Arial" w:cs="Arial"/>
                <w:sz w:val="16"/>
                <w:szCs w:val="16"/>
                <w:lang w:val="en-GB" w:eastAsia="zh-CN"/>
              </w:rPr>
              <w:t xml:space="preserve"> Holding Company and Juneyao Airlines </w:t>
            </w:r>
          </w:p>
        </w:tc>
        <w:tc>
          <w:tcPr>
            <w:tcW w:w="1224" w:type="dxa"/>
            <w:noWrap/>
          </w:tcPr>
          <w:p w14:paraId="4410B3FB" w14:textId="234ADC7B"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10</w:t>
            </w:r>
            <w:r w:rsidR="002B6099">
              <w:rPr>
                <w:rFonts w:ascii="Arial" w:hAnsi="Arial" w:cs="Arial"/>
                <w:color w:val="000000"/>
                <w:sz w:val="16"/>
                <w:szCs w:val="16"/>
                <w:lang w:val="en-GB" w:eastAsia="en-IN"/>
              </w:rPr>
              <w:t>.0</w:t>
            </w:r>
          </w:p>
        </w:tc>
        <w:tc>
          <w:tcPr>
            <w:tcW w:w="1319" w:type="dxa"/>
            <w:noWrap/>
          </w:tcPr>
          <w:p w14:paraId="4FD5793A"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p>
        </w:tc>
        <w:tc>
          <w:tcPr>
            <w:tcW w:w="3413" w:type="dxa"/>
          </w:tcPr>
          <w:p w14:paraId="4B988621" w14:textId="77777777" w:rsidR="00A23693" w:rsidRPr="00203F22" w:rsidRDefault="00A23693">
            <w:pPr>
              <w:autoSpaceDE w:val="0"/>
              <w:autoSpaceDN w:val="0"/>
              <w:adjustRightInd w:val="0"/>
              <w:rPr>
                <w:rFonts w:ascii="Arial" w:hAnsi="Arial" w:cs="Arial"/>
                <w:color w:val="000000"/>
                <w:sz w:val="16"/>
                <w:szCs w:val="16"/>
                <w:lang w:val="en-GB" w:eastAsia="en-IN"/>
              </w:rPr>
            </w:pPr>
            <w:r w:rsidRPr="00203F22">
              <w:rPr>
                <w:rFonts w:ascii="Arial" w:eastAsiaTheme="minorEastAsia" w:hAnsi="Arial" w:cs="Arial"/>
                <w:sz w:val="16"/>
                <w:szCs w:val="16"/>
                <w:lang w:val="en-GB" w:eastAsia="zh-CN"/>
              </w:rPr>
              <w:t>Inflight catering and other related services at Beijing Daxing International Airport</w:t>
            </w:r>
          </w:p>
        </w:tc>
      </w:tr>
      <w:tr w:rsidR="00F7486B" w:rsidRPr="00203F22" w14:paraId="39FF4F41" w14:textId="77777777" w:rsidTr="007C18DD">
        <w:trPr>
          <w:trHeight w:val="312"/>
          <w:jc w:val="center"/>
        </w:trPr>
        <w:tc>
          <w:tcPr>
            <w:tcW w:w="1318" w:type="dxa"/>
            <w:vMerge/>
          </w:tcPr>
          <w:p w14:paraId="03AB54BF" w14:textId="77777777" w:rsidR="00A23693" w:rsidRPr="00203F22" w:rsidRDefault="00A23693">
            <w:pPr>
              <w:rPr>
                <w:rFonts w:ascii="Arial" w:hAnsi="Arial" w:cs="Arial"/>
                <w:color w:val="000000"/>
                <w:sz w:val="16"/>
                <w:szCs w:val="16"/>
                <w:lang w:val="en-GB" w:eastAsia="en-IN"/>
              </w:rPr>
            </w:pPr>
          </w:p>
        </w:tc>
        <w:tc>
          <w:tcPr>
            <w:tcW w:w="2072" w:type="dxa"/>
            <w:noWrap/>
          </w:tcPr>
          <w:p w14:paraId="5EDEC3FB" w14:textId="5CD277DE"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Nanji</w:t>
            </w:r>
            <w:r w:rsidRPr="00722A0A">
              <w:rPr>
                <w:rFonts w:ascii="Arial" w:hAnsi="Arial" w:cs="Arial"/>
                <w:color w:val="000000"/>
                <w:sz w:val="16"/>
                <w:szCs w:val="16"/>
                <w:lang w:val="en-GB" w:eastAsia="en-IN"/>
              </w:rPr>
              <w:t>ng Weizhou Airline Food C</w:t>
            </w:r>
            <w:r w:rsidRPr="00EB2548">
              <w:rPr>
                <w:rFonts w:ascii="Arial" w:hAnsi="Arial" w:cs="Arial"/>
                <w:color w:val="000000"/>
                <w:sz w:val="16"/>
                <w:szCs w:val="16"/>
              </w:rPr>
              <w:t>ompany</w:t>
            </w:r>
          </w:p>
        </w:tc>
        <w:tc>
          <w:tcPr>
            <w:tcW w:w="1224" w:type="dxa"/>
            <w:noWrap/>
          </w:tcPr>
          <w:p w14:paraId="23114E8D" w14:textId="09F92E75" w:rsidR="00A23693" w:rsidRPr="00203F22" w:rsidRDefault="00A23693"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45</w:t>
            </w:r>
            <w:r w:rsidR="002B6099">
              <w:rPr>
                <w:rFonts w:ascii="Arial" w:hAnsi="Arial" w:cs="Arial"/>
                <w:color w:val="000000"/>
                <w:sz w:val="16"/>
                <w:szCs w:val="16"/>
                <w:lang w:val="en-GB" w:eastAsia="en-IN"/>
              </w:rPr>
              <w:t>.0</w:t>
            </w:r>
          </w:p>
        </w:tc>
        <w:tc>
          <w:tcPr>
            <w:tcW w:w="1319" w:type="dxa"/>
            <w:noWrap/>
          </w:tcPr>
          <w:p w14:paraId="69FF2CF2" w14:textId="77777777" w:rsidR="00A23693" w:rsidRPr="00203F22" w:rsidRDefault="00A23693"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p>
        </w:tc>
        <w:tc>
          <w:tcPr>
            <w:tcW w:w="3413" w:type="dxa"/>
          </w:tcPr>
          <w:p w14:paraId="7D6C22D1" w14:textId="7FA0784D" w:rsidR="00A23693" w:rsidRPr="00203F22" w:rsidRDefault="002B6099">
            <w:pPr>
              <w:autoSpaceDE w:val="0"/>
              <w:autoSpaceDN w:val="0"/>
              <w:adjustRightInd w:val="0"/>
              <w:rPr>
                <w:rFonts w:ascii="Arial" w:hAnsi="Arial" w:cs="Arial"/>
                <w:color w:val="000000"/>
                <w:sz w:val="16"/>
                <w:szCs w:val="16"/>
                <w:lang w:val="en-GB" w:eastAsia="en-IN"/>
              </w:rPr>
            </w:pPr>
            <w:r>
              <w:rPr>
                <w:rFonts w:ascii="Arial" w:eastAsiaTheme="minorEastAsia" w:hAnsi="Arial" w:cs="Arial"/>
                <w:sz w:val="16"/>
                <w:szCs w:val="16"/>
                <w:lang w:val="en-GB" w:eastAsia="zh-CN"/>
              </w:rPr>
              <w:t>F</w:t>
            </w:r>
            <w:r w:rsidR="00A23693" w:rsidRPr="00203F22">
              <w:rPr>
                <w:rFonts w:ascii="Arial" w:eastAsiaTheme="minorEastAsia" w:hAnsi="Arial" w:cs="Arial"/>
                <w:sz w:val="16"/>
                <w:szCs w:val="16"/>
                <w:lang w:val="en-GB" w:eastAsia="zh-CN"/>
              </w:rPr>
              <w:t>rozen food, ambient meals</w:t>
            </w:r>
            <w:r w:rsidR="00A23693">
              <w:rPr>
                <w:rFonts w:ascii="Arial" w:eastAsiaTheme="minorEastAsia" w:hAnsi="Arial" w:cs="Arial"/>
                <w:sz w:val="16"/>
                <w:szCs w:val="16"/>
                <w:lang w:val="en-GB" w:eastAsia="zh-CN"/>
              </w:rPr>
              <w:t>,</w:t>
            </w:r>
            <w:r w:rsidR="00A23693" w:rsidRPr="00203F22">
              <w:rPr>
                <w:rFonts w:ascii="Arial" w:eastAsiaTheme="minorEastAsia" w:hAnsi="Arial" w:cs="Arial"/>
                <w:sz w:val="16"/>
                <w:szCs w:val="16"/>
                <w:lang w:val="en-GB" w:eastAsia="zh-CN"/>
              </w:rPr>
              <w:t xml:space="preserve"> and related food component</w:t>
            </w:r>
            <w:r>
              <w:rPr>
                <w:rFonts w:ascii="Arial" w:eastAsiaTheme="minorEastAsia" w:hAnsi="Arial" w:cs="Arial"/>
                <w:sz w:val="16"/>
                <w:szCs w:val="16"/>
                <w:lang w:val="en-GB" w:eastAsia="zh-CN"/>
              </w:rPr>
              <w:t xml:space="preserve"> production for</w:t>
            </w:r>
            <w:r w:rsidR="00A23693" w:rsidRPr="00203F22">
              <w:rPr>
                <w:rFonts w:ascii="Arial" w:eastAsiaTheme="minorEastAsia" w:hAnsi="Arial" w:cs="Arial"/>
                <w:sz w:val="16"/>
                <w:szCs w:val="16"/>
                <w:lang w:val="en-GB" w:eastAsia="zh-CN"/>
              </w:rPr>
              <w:t xml:space="preserve"> aviation companies in China</w:t>
            </w:r>
          </w:p>
          <w:p w14:paraId="3880A323" w14:textId="77777777" w:rsidR="00F7486B" w:rsidRPr="00203F22" w:rsidRDefault="00F7486B">
            <w:pPr>
              <w:rPr>
                <w:rFonts w:ascii="Arial" w:hAnsi="Arial" w:cs="Arial"/>
                <w:color w:val="000000"/>
                <w:sz w:val="16"/>
                <w:szCs w:val="16"/>
                <w:lang w:val="en-GB" w:eastAsia="en-IN"/>
              </w:rPr>
            </w:pPr>
          </w:p>
        </w:tc>
      </w:tr>
      <w:tr w:rsidR="00F7486B" w:rsidRPr="00203F22" w14:paraId="56D82C7E" w14:textId="77777777" w:rsidTr="007C18DD">
        <w:trPr>
          <w:trHeight w:val="312"/>
          <w:jc w:val="center"/>
        </w:trPr>
        <w:tc>
          <w:tcPr>
            <w:tcW w:w="1318" w:type="dxa"/>
            <w:vMerge/>
          </w:tcPr>
          <w:p w14:paraId="12904CC7" w14:textId="77777777" w:rsidR="00F7486B" w:rsidRPr="00203F22" w:rsidRDefault="00F7486B">
            <w:pPr>
              <w:rPr>
                <w:rFonts w:ascii="Arial" w:hAnsi="Arial" w:cs="Arial"/>
                <w:color w:val="000000"/>
                <w:sz w:val="16"/>
                <w:szCs w:val="16"/>
                <w:lang w:val="en-GB" w:eastAsia="en-IN"/>
              </w:rPr>
            </w:pPr>
          </w:p>
        </w:tc>
        <w:tc>
          <w:tcPr>
            <w:tcW w:w="2072" w:type="dxa"/>
            <w:noWrap/>
          </w:tcPr>
          <w:p w14:paraId="44DE31CE" w14:textId="62AABCD6" w:rsidR="00F7486B" w:rsidRPr="00203F22" w:rsidRDefault="00F7486B" w:rsidP="00EB2548">
            <w:pPr>
              <w:rPr>
                <w:rFonts w:ascii="Arial" w:hAnsi="Arial" w:cs="Arial"/>
                <w:color w:val="000000"/>
                <w:sz w:val="16"/>
                <w:szCs w:val="16"/>
                <w:lang w:val="en-GB" w:eastAsia="en-IN"/>
              </w:rPr>
            </w:pPr>
            <w:r w:rsidRPr="00203F22">
              <w:rPr>
                <w:rFonts w:ascii="Arial" w:hAnsi="Arial" w:cs="Arial"/>
                <w:sz w:val="16"/>
                <w:szCs w:val="16"/>
                <w:lang w:val="en-GB"/>
              </w:rPr>
              <w:t xml:space="preserve">Evergreen Air Cargo Services </w:t>
            </w:r>
            <w:r w:rsidR="00203F22" w:rsidRPr="00203F22">
              <w:rPr>
                <w:rFonts w:ascii="Arial" w:hAnsi="Arial" w:cs="Arial"/>
                <w:sz w:val="16"/>
                <w:szCs w:val="16"/>
                <w:lang w:val="en-GB"/>
              </w:rPr>
              <w:t>Corp</w:t>
            </w:r>
            <w:r w:rsidR="00203F22">
              <w:rPr>
                <w:rFonts w:ascii="Arial" w:hAnsi="Arial" w:cs="Arial"/>
                <w:sz w:val="16"/>
                <w:szCs w:val="16"/>
                <w:lang w:val="en-GB"/>
              </w:rPr>
              <w:t>.</w:t>
            </w:r>
          </w:p>
        </w:tc>
        <w:tc>
          <w:tcPr>
            <w:tcW w:w="1224" w:type="dxa"/>
            <w:noWrap/>
          </w:tcPr>
          <w:p w14:paraId="1B297891" w14:textId="3777F4D4"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sz w:val="16"/>
                <w:szCs w:val="16"/>
                <w:lang w:val="en-GB"/>
              </w:rPr>
              <w:t>25</w:t>
            </w:r>
            <w:r w:rsidR="002B6099">
              <w:rPr>
                <w:rFonts w:ascii="Arial" w:hAnsi="Arial" w:cs="Arial"/>
                <w:color w:val="000000"/>
                <w:sz w:val="16"/>
                <w:szCs w:val="16"/>
                <w:lang w:val="en-GB" w:eastAsia="en-IN"/>
              </w:rPr>
              <w:t>.0</w:t>
            </w:r>
          </w:p>
        </w:tc>
        <w:tc>
          <w:tcPr>
            <w:tcW w:w="1319" w:type="dxa"/>
            <w:noWrap/>
          </w:tcPr>
          <w:p w14:paraId="21030627"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sz w:val="16"/>
                <w:szCs w:val="16"/>
                <w:lang w:val="en-GB"/>
              </w:rPr>
              <w:t xml:space="preserve">Gateway Services </w:t>
            </w:r>
          </w:p>
        </w:tc>
        <w:tc>
          <w:tcPr>
            <w:tcW w:w="3413" w:type="dxa"/>
          </w:tcPr>
          <w:p w14:paraId="0C0FD7D8" w14:textId="77777777" w:rsidR="00F7486B" w:rsidRPr="00203F22" w:rsidRDefault="00F7486B">
            <w:pPr>
              <w:rPr>
                <w:rFonts w:ascii="Arial" w:hAnsi="Arial" w:cs="Arial"/>
                <w:color w:val="000000"/>
                <w:sz w:val="16"/>
                <w:szCs w:val="16"/>
                <w:lang w:val="en-GB" w:eastAsia="en-IN"/>
              </w:rPr>
            </w:pPr>
            <w:r w:rsidRPr="00203F22">
              <w:rPr>
                <w:rFonts w:ascii="Arial" w:hAnsi="Arial" w:cs="Arial"/>
                <w:sz w:val="16"/>
                <w:szCs w:val="16"/>
                <w:lang w:val="en-GB"/>
              </w:rPr>
              <w:t>Cargo handling services in Taiwan</w:t>
            </w:r>
          </w:p>
        </w:tc>
      </w:tr>
      <w:tr w:rsidR="00F7486B" w:rsidRPr="00203F22" w14:paraId="1AB18AF4" w14:textId="77777777" w:rsidTr="007C18DD">
        <w:trPr>
          <w:trHeight w:val="64"/>
          <w:jc w:val="center"/>
        </w:trPr>
        <w:tc>
          <w:tcPr>
            <w:tcW w:w="1318" w:type="dxa"/>
            <w:vMerge w:val="restart"/>
            <w:noWrap/>
            <w:hideMark/>
          </w:tcPr>
          <w:p w14:paraId="3E2FD25D"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Indonesia </w:t>
            </w:r>
          </w:p>
        </w:tc>
        <w:tc>
          <w:tcPr>
            <w:tcW w:w="2072" w:type="dxa"/>
            <w:noWrap/>
            <w:hideMark/>
          </w:tcPr>
          <w:p w14:paraId="4BA6058A"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PT Cardig Aero Services</w:t>
            </w:r>
          </w:p>
        </w:tc>
        <w:tc>
          <w:tcPr>
            <w:tcW w:w="1224" w:type="dxa"/>
            <w:noWrap/>
            <w:hideMark/>
          </w:tcPr>
          <w:p w14:paraId="3B2F4B1C" w14:textId="77777777"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41.7</w:t>
            </w:r>
          </w:p>
        </w:tc>
        <w:tc>
          <w:tcPr>
            <w:tcW w:w="1319" w:type="dxa"/>
            <w:hideMark/>
          </w:tcPr>
          <w:p w14:paraId="2061520E"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Food Solutions and Gateway Services </w:t>
            </w:r>
          </w:p>
        </w:tc>
        <w:tc>
          <w:tcPr>
            <w:tcW w:w="3413" w:type="dxa"/>
            <w:hideMark/>
          </w:tcPr>
          <w:p w14:paraId="5095B79B" w14:textId="4A343163"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G</w:t>
            </w:r>
            <w:r w:rsidR="00F7486B" w:rsidRPr="00203F22">
              <w:rPr>
                <w:rFonts w:ascii="Arial" w:hAnsi="Arial" w:cs="Arial"/>
                <w:color w:val="000000"/>
                <w:sz w:val="16"/>
                <w:szCs w:val="16"/>
                <w:lang w:val="en-GB" w:eastAsia="en-IN"/>
              </w:rPr>
              <w:t>round handling, cargo handling, aircraft release and maintenance, and catering services at airports in Indonesia</w:t>
            </w:r>
          </w:p>
        </w:tc>
      </w:tr>
      <w:tr w:rsidR="00F7486B" w:rsidRPr="00203F22" w14:paraId="45ACDA75" w14:textId="77777777" w:rsidTr="007C18DD">
        <w:trPr>
          <w:trHeight w:val="64"/>
          <w:jc w:val="center"/>
        </w:trPr>
        <w:tc>
          <w:tcPr>
            <w:tcW w:w="1318" w:type="dxa"/>
            <w:vMerge/>
            <w:hideMark/>
          </w:tcPr>
          <w:p w14:paraId="282C7DB8" w14:textId="77777777" w:rsidR="00F7486B" w:rsidRPr="00203F22" w:rsidRDefault="00F7486B">
            <w:pPr>
              <w:rPr>
                <w:rFonts w:ascii="Arial" w:hAnsi="Arial" w:cs="Arial"/>
                <w:color w:val="000000"/>
                <w:sz w:val="16"/>
                <w:szCs w:val="16"/>
                <w:lang w:val="en-GB" w:eastAsia="en-IN"/>
              </w:rPr>
            </w:pPr>
          </w:p>
        </w:tc>
        <w:tc>
          <w:tcPr>
            <w:tcW w:w="2072" w:type="dxa"/>
            <w:noWrap/>
            <w:hideMark/>
          </w:tcPr>
          <w:p w14:paraId="4DDFD5D5" w14:textId="5BC804D7" w:rsidR="00F7486B" w:rsidRPr="001C4464" w:rsidRDefault="00D713ED" w:rsidP="00EB2548">
            <w:pPr>
              <w:rPr>
                <w:rFonts w:ascii="Arial" w:hAnsi="Arial" w:cs="Arial"/>
                <w:color w:val="000000"/>
                <w:sz w:val="16"/>
                <w:szCs w:val="16"/>
                <w:lang w:val="fr-CA" w:eastAsia="en-IN"/>
              </w:rPr>
            </w:pPr>
            <w:r w:rsidRPr="001C4464">
              <w:rPr>
                <w:rFonts w:ascii="Arial" w:hAnsi="Arial" w:cs="Arial"/>
                <w:color w:val="000000"/>
                <w:sz w:val="16"/>
                <w:szCs w:val="16"/>
                <w:lang w:val="fr-CA" w:eastAsia="en-IN"/>
              </w:rPr>
              <w:t>PT Jasa Angkasa Semesta Tbk</w:t>
            </w:r>
          </w:p>
        </w:tc>
        <w:tc>
          <w:tcPr>
            <w:tcW w:w="1224" w:type="dxa"/>
            <w:noWrap/>
            <w:hideMark/>
          </w:tcPr>
          <w:p w14:paraId="1F1B2BFD" w14:textId="77777777"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49.8</w:t>
            </w:r>
          </w:p>
        </w:tc>
        <w:tc>
          <w:tcPr>
            <w:tcW w:w="1319" w:type="dxa"/>
            <w:noWrap/>
            <w:hideMark/>
          </w:tcPr>
          <w:p w14:paraId="70735A0E"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Gateway Services</w:t>
            </w:r>
          </w:p>
        </w:tc>
        <w:tc>
          <w:tcPr>
            <w:tcW w:w="3413" w:type="dxa"/>
            <w:hideMark/>
          </w:tcPr>
          <w:p w14:paraId="1452C06D" w14:textId="4F576FEA"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G</w:t>
            </w:r>
            <w:r w:rsidR="00F7486B" w:rsidRPr="00203F22">
              <w:rPr>
                <w:rFonts w:ascii="Arial" w:hAnsi="Arial" w:cs="Arial"/>
                <w:color w:val="000000"/>
                <w:sz w:val="16"/>
                <w:szCs w:val="16"/>
                <w:lang w:val="en-GB" w:eastAsia="en-IN"/>
              </w:rPr>
              <w:t>round handling services at airports in Indonesia</w:t>
            </w:r>
          </w:p>
        </w:tc>
      </w:tr>
      <w:tr w:rsidR="00F7486B" w:rsidRPr="00203F22" w14:paraId="02BF3F17" w14:textId="77777777" w:rsidTr="007C18DD">
        <w:trPr>
          <w:trHeight w:val="64"/>
          <w:jc w:val="center"/>
        </w:trPr>
        <w:tc>
          <w:tcPr>
            <w:tcW w:w="1318" w:type="dxa"/>
            <w:vMerge/>
            <w:hideMark/>
          </w:tcPr>
          <w:p w14:paraId="13459193" w14:textId="77777777" w:rsidR="00F7486B" w:rsidRPr="00203F22" w:rsidRDefault="00F7486B">
            <w:pPr>
              <w:rPr>
                <w:rFonts w:ascii="Arial" w:hAnsi="Arial" w:cs="Arial"/>
                <w:color w:val="000000"/>
                <w:sz w:val="16"/>
                <w:szCs w:val="16"/>
                <w:lang w:val="en-GB" w:eastAsia="en-IN"/>
              </w:rPr>
            </w:pPr>
          </w:p>
        </w:tc>
        <w:tc>
          <w:tcPr>
            <w:tcW w:w="2072" w:type="dxa"/>
            <w:noWrap/>
            <w:hideMark/>
          </w:tcPr>
          <w:p w14:paraId="6EEE6A6C" w14:textId="236E9EAC" w:rsidR="00F7486B" w:rsidRPr="001C4464" w:rsidRDefault="00D713ED" w:rsidP="00EB2548">
            <w:pPr>
              <w:rPr>
                <w:rFonts w:ascii="Arial" w:hAnsi="Arial" w:cs="Arial"/>
                <w:color w:val="000000"/>
                <w:sz w:val="16"/>
                <w:szCs w:val="16"/>
                <w:lang w:val="fr-CA" w:eastAsia="en-IN"/>
              </w:rPr>
            </w:pPr>
            <w:r w:rsidRPr="001C4464">
              <w:rPr>
                <w:rFonts w:ascii="Arial" w:hAnsi="Arial" w:cs="Arial"/>
                <w:color w:val="000000"/>
                <w:sz w:val="16"/>
                <w:szCs w:val="16"/>
                <w:lang w:val="fr-CA" w:eastAsia="en-IN"/>
              </w:rPr>
              <w:t>PT Purantara Mitra Angkasa Dua</w:t>
            </w:r>
          </w:p>
        </w:tc>
        <w:tc>
          <w:tcPr>
            <w:tcW w:w="1224" w:type="dxa"/>
            <w:noWrap/>
            <w:hideMark/>
          </w:tcPr>
          <w:p w14:paraId="4B75B003" w14:textId="0FF836F2"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20</w:t>
            </w:r>
            <w:r w:rsidR="002B6099">
              <w:rPr>
                <w:rFonts w:ascii="Arial" w:hAnsi="Arial" w:cs="Arial"/>
                <w:color w:val="000000"/>
                <w:sz w:val="16"/>
                <w:szCs w:val="16"/>
                <w:lang w:val="en-GB" w:eastAsia="en-IN"/>
              </w:rPr>
              <w:t>.0</w:t>
            </w:r>
          </w:p>
        </w:tc>
        <w:tc>
          <w:tcPr>
            <w:tcW w:w="1319" w:type="dxa"/>
            <w:noWrap/>
            <w:hideMark/>
          </w:tcPr>
          <w:p w14:paraId="7CEE49D0" w14:textId="42A286D0"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r w:rsidR="00D117D6" w:rsidRPr="00203F22">
              <w:rPr>
                <w:rFonts w:ascii="Arial" w:hAnsi="Arial" w:cs="Arial"/>
                <w:color w:val="000000"/>
                <w:sz w:val="16"/>
                <w:szCs w:val="16"/>
                <w:lang w:val="en-GB" w:eastAsia="en-IN"/>
              </w:rPr>
              <w:t xml:space="preserve"> </w:t>
            </w:r>
          </w:p>
        </w:tc>
        <w:tc>
          <w:tcPr>
            <w:tcW w:w="3413" w:type="dxa"/>
            <w:hideMark/>
          </w:tcPr>
          <w:p w14:paraId="5C92B1E3" w14:textId="4B1B3987" w:rsidR="00F7486B" w:rsidRPr="00203F22" w:rsidRDefault="003A723D">
            <w:pPr>
              <w:rPr>
                <w:rFonts w:ascii="Arial" w:hAnsi="Arial" w:cs="Arial"/>
                <w:color w:val="000000"/>
                <w:sz w:val="16"/>
                <w:szCs w:val="16"/>
                <w:lang w:val="en-GB" w:eastAsia="en-IN"/>
              </w:rPr>
            </w:pPr>
            <w:r>
              <w:rPr>
                <w:rFonts w:ascii="Arial" w:hAnsi="Arial" w:cs="Arial"/>
                <w:color w:val="000000"/>
                <w:sz w:val="16"/>
                <w:szCs w:val="16"/>
                <w:lang w:val="en-GB" w:eastAsia="en-IN"/>
              </w:rPr>
              <w:t>Inflight</w:t>
            </w:r>
            <w:r w:rsidR="00F7486B" w:rsidRPr="00203F22">
              <w:rPr>
                <w:rFonts w:ascii="Arial" w:hAnsi="Arial" w:cs="Arial"/>
                <w:color w:val="000000"/>
                <w:sz w:val="16"/>
                <w:szCs w:val="16"/>
                <w:lang w:val="en-GB" w:eastAsia="en-IN"/>
              </w:rPr>
              <w:t xml:space="preserve"> catering services for international airlines in Indonesia</w:t>
            </w:r>
          </w:p>
        </w:tc>
      </w:tr>
      <w:tr w:rsidR="00F7486B" w:rsidRPr="00203F22" w14:paraId="4D23B9A2" w14:textId="77777777" w:rsidTr="007C18DD">
        <w:trPr>
          <w:trHeight w:val="64"/>
          <w:jc w:val="center"/>
        </w:trPr>
        <w:tc>
          <w:tcPr>
            <w:tcW w:w="1318" w:type="dxa"/>
            <w:noWrap/>
            <w:hideMark/>
          </w:tcPr>
          <w:p w14:paraId="7DE3FEDD"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Malaysia </w:t>
            </w:r>
          </w:p>
        </w:tc>
        <w:tc>
          <w:tcPr>
            <w:tcW w:w="2072" w:type="dxa"/>
            <w:noWrap/>
            <w:hideMark/>
          </w:tcPr>
          <w:p w14:paraId="2EB55641" w14:textId="65C9FBE8" w:rsidR="00F7486B" w:rsidRPr="00203F22" w:rsidRDefault="00D713ED" w:rsidP="00EB2548">
            <w:pPr>
              <w:rPr>
                <w:rFonts w:ascii="Arial" w:hAnsi="Arial" w:cs="Arial"/>
                <w:color w:val="000000"/>
                <w:sz w:val="16"/>
                <w:szCs w:val="16"/>
                <w:lang w:val="en-GB" w:eastAsia="en-IN"/>
              </w:rPr>
            </w:pPr>
            <w:r w:rsidRPr="00D713ED">
              <w:rPr>
                <w:rFonts w:ascii="Arial" w:hAnsi="Arial" w:cs="Arial"/>
                <w:color w:val="000000"/>
                <w:sz w:val="16"/>
                <w:szCs w:val="16"/>
                <w:lang w:val="en-GB" w:eastAsia="en-IN"/>
              </w:rPr>
              <w:t>Brahim's SATS Food Services Sdn Bhd</w:t>
            </w:r>
          </w:p>
        </w:tc>
        <w:tc>
          <w:tcPr>
            <w:tcW w:w="1224" w:type="dxa"/>
            <w:noWrap/>
            <w:hideMark/>
          </w:tcPr>
          <w:p w14:paraId="7DBAD0A7" w14:textId="406091CB"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w:t>
            </w:r>
            <w:r w:rsidR="002B6099">
              <w:rPr>
                <w:rFonts w:ascii="Arial" w:hAnsi="Arial" w:cs="Arial"/>
                <w:color w:val="000000"/>
                <w:sz w:val="16"/>
                <w:szCs w:val="16"/>
                <w:lang w:val="en-GB" w:eastAsia="en-IN"/>
              </w:rPr>
              <w:t>.0</w:t>
            </w:r>
          </w:p>
        </w:tc>
        <w:tc>
          <w:tcPr>
            <w:tcW w:w="1319" w:type="dxa"/>
            <w:noWrap/>
            <w:hideMark/>
          </w:tcPr>
          <w:p w14:paraId="02E39D18"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Food Solutions </w:t>
            </w:r>
          </w:p>
        </w:tc>
        <w:tc>
          <w:tcPr>
            <w:tcW w:w="3413" w:type="dxa"/>
            <w:hideMark/>
          </w:tcPr>
          <w:p w14:paraId="710E5019" w14:textId="686D52C0"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I</w:t>
            </w:r>
            <w:r w:rsidR="00F7486B" w:rsidRPr="00203F22">
              <w:rPr>
                <w:rFonts w:ascii="Arial" w:hAnsi="Arial" w:cs="Arial"/>
                <w:color w:val="000000"/>
                <w:sz w:val="16"/>
                <w:szCs w:val="16"/>
                <w:lang w:val="en-GB" w:eastAsia="en-IN"/>
              </w:rPr>
              <w:t>nflight catering services in Kuala Lumpur International Airport and Penang International Airport</w:t>
            </w:r>
          </w:p>
        </w:tc>
      </w:tr>
      <w:tr w:rsidR="00F7486B" w:rsidRPr="00203F22" w14:paraId="408C92D0" w14:textId="77777777" w:rsidTr="007C18DD">
        <w:trPr>
          <w:trHeight w:val="64"/>
          <w:jc w:val="center"/>
        </w:trPr>
        <w:tc>
          <w:tcPr>
            <w:tcW w:w="1318" w:type="dxa"/>
            <w:noWrap/>
            <w:hideMark/>
          </w:tcPr>
          <w:p w14:paraId="6E9551A4"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Philippines </w:t>
            </w:r>
          </w:p>
        </w:tc>
        <w:tc>
          <w:tcPr>
            <w:tcW w:w="2072" w:type="dxa"/>
            <w:noWrap/>
            <w:hideMark/>
          </w:tcPr>
          <w:p w14:paraId="7169FFF4" w14:textId="293A7DA8"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MacroAsia Catering </w:t>
            </w:r>
            <w:r w:rsidR="00203F22">
              <w:rPr>
                <w:rFonts w:ascii="Arial" w:hAnsi="Arial" w:cs="Arial"/>
                <w:color w:val="000000"/>
                <w:sz w:val="16"/>
                <w:szCs w:val="16"/>
                <w:lang w:val="en-GB" w:eastAsia="en-IN"/>
              </w:rPr>
              <w:t>Services</w:t>
            </w:r>
          </w:p>
        </w:tc>
        <w:tc>
          <w:tcPr>
            <w:tcW w:w="1224" w:type="dxa"/>
            <w:noWrap/>
            <w:hideMark/>
          </w:tcPr>
          <w:p w14:paraId="0A8D2BC1" w14:textId="53C5F535"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33</w:t>
            </w:r>
            <w:r w:rsidR="002B6099">
              <w:rPr>
                <w:rFonts w:ascii="Arial" w:hAnsi="Arial" w:cs="Arial"/>
                <w:color w:val="000000"/>
                <w:sz w:val="16"/>
                <w:szCs w:val="16"/>
                <w:lang w:val="en-GB" w:eastAsia="en-IN"/>
              </w:rPr>
              <w:t>.0</w:t>
            </w:r>
          </w:p>
        </w:tc>
        <w:tc>
          <w:tcPr>
            <w:tcW w:w="1319" w:type="dxa"/>
            <w:noWrap/>
            <w:hideMark/>
          </w:tcPr>
          <w:p w14:paraId="64D4452E"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Food Solutions </w:t>
            </w:r>
          </w:p>
        </w:tc>
        <w:tc>
          <w:tcPr>
            <w:tcW w:w="3413" w:type="dxa"/>
            <w:hideMark/>
          </w:tcPr>
          <w:p w14:paraId="3E6EED26" w14:textId="450C7B6C"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I</w:t>
            </w:r>
            <w:r w:rsidR="00F7486B" w:rsidRPr="00203F22">
              <w:rPr>
                <w:rFonts w:ascii="Arial" w:hAnsi="Arial" w:cs="Arial"/>
                <w:color w:val="000000"/>
                <w:sz w:val="16"/>
                <w:szCs w:val="16"/>
                <w:lang w:val="en-GB" w:eastAsia="en-IN"/>
              </w:rPr>
              <w:t xml:space="preserve">nflight catering services in Ninoy Aquino International Airport in </w:t>
            </w:r>
            <w:r w:rsidR="003A723D">
              <w:rPr>
                <w:rFonts w:ascii="Arial" w:hAnsi="Arial" w:cs="Arial"/>
                <w:color w:val="000000"/>
                <w:sz w:val="16"/>
                <w:szCs w:val="16"/>
                <w:lang w:val="en-GB" w:eastAsia="en-IN"/>
              </w:rPr>
              <w:t>Manila</w:t>
            </w:r>
          </w:p>
        </w:tc>
      </w:tr>
      <w:tr w:rsidR="00F7486B" w:rsidRPr="00203F22" w14:paraId="5B0FD7CD" w14:textId="77777777" w:rsidTr="007C18DD">
        <w:trPr>
          <w:trHeight w:val="64"/>
          <w:jc w:val="center"/>
        </w:trPr>
        <w:tc>
          <w:tcPr>
            <w:tcW w:w="1318" w:type="dxa"/>
            <w:noWrap/>
            <w:hideMark/>
          </w:tcPr>
          <w:p w14:paraId="6BE8FE64"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Vietnam</w:t>
            </w:r>
          </w:p>
        </w:tc>
        <w:tc>
          <w:tcPr>
            <w:tcW w:w="2072" w:type="dxa"/>
            <w:noWrap/>
            <w:hideMark/>
          </w:tcPr>
          <w:p w14:paraId="64743172"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Tan Son Nhat Cargo Services</w:t>
            </w:r>
          </w:p>
        </w:tc>
        <w:tc>
          <w:tcPr>
            <w:tcW w:w="1224" w:type="dxa"/>
            <w:noWrap/>
            <w:hideMark/>
          </w:tcPr>
          <w:p w14:paraId="5899CAA3" w14:textId="6C5CD1A3"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15</w:t>
            </w:r>
            <w:r w:rsidR="002B6099">
              <w:rPr>
                <w:rFonts w:ascii="Arial" w:hAnsi="Arial" w:cs="Arial"/>
                <w:color w:val="000000"/>
                <w:sz w:val="16"/>
                <w:szCs w:val="16"/>
                <w:lang w:val="en-GB" w:eastAsia="en-IN"/>
              </w:rPr>
              <w:t>.0</w:t>
            </w:r>
          </w:p>
        </w:tc>
        <w:tc>
          <w:tcPr>
            <w:tcW w:w="1319" w:type="dxa"/>
            <w:noWrap/>
            <w:hideMark/>
          </w:tcPr>
          <w:p w14:paraId="1EFFC275"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Gateway Services</w:t>
            </w:r>
          </w:p>
        </w:tc>
        <w:tc>
          <w:tcPr>
            <w:tcW w:w="3413" w:type="dxa"/>
            <w:hideMark/>
          </w:tcPr>
          <w:p w14:paraId="54D3C3EA" w14:textId="7A8DF304" w:rsidR="00F7486B" w:rsidRPr="00203F22" w:rsidRDefault="00F7486B">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Cargo handling services to airlines and forwarding agents at Tan Son Nhat </w:t>
            </w:r>
            <w:r w:rsidR="00307D2E">
              <w:rPr>
                <w:rFonts w:ascii="Arial" w:hAnsi="Arial" w:cs="Arial"/>
                <w:color w:val="000000"/>
                <w:sz w:val="16"/>
                <w:szCs w:val="16"/>
                <w:lang w:val="en-GB" w:eastAsia="en-IN"/>
              </w:rPr>
              <w:t>International A</w:t>
            </w:r>
            <w:r w:rsidR="00EF4ACC">
              <w:rPr>
                <w:rFonts w:ascii="Arial" w:hAnsi="Arial" w:cs="Arial"/>
                <w:color w:val="000000"/>
                <w:sz w:val="16"/>
                <w:szCs w:val="16"/>
                <w:lang w:val="en-GB" w:eastAsia="en-IN"/>
              </w:rPr>
              <w:t>i</w:t>
            </w:r>
            <w:r w:rsidR="00307D2E">
              <w:rPr>
                <w:rFonts w:ascii="Arial" w:hAnsi="Arial" w:cs="Arial"/>
                <w:color w:val="000000"/>
                <w:sz w:val="16"/>
                <w:szCs w:val="16"/>
                <w:lang w:val="en-GB" w:eastAsia="en-IN"/>
              </w:rPr>
              <w:t>rport</w:t>
            </w:r>
          </w:p>
        </w:tc>
      </w:tr>
      <w:tr w:rsidR="00F7486B" w:rsidRPr="00203F22" w14:paraId="556C9AFF" w14:textId="77777777" w:rsidTr="007C18DD">
        <w:trPr>
          <w:trHeight w:val="332"/>
          <w:jc w:val="center"/>
        </w:trPr>
        <w:tc>
          <w:tcPr>
            <w:tcW w:w="1318" w:type="dxa"/>
            <w:vMerge w:val="restart"/>
            <w:noWrap/>
            <w:hideMark/>
          </w:tcPr>
          <w:p w14:paraId="09D6AD9D"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India</w:t>
            </w:r>
          </w:p>
          <w:p w14:paraId="0BCF2738" w14:textId="77777777" w:rsidR="00F7486B" w:rsidRPr="00203F22" w:rsidRDefault="00F7486B">
            <w:pPr>
              <w:rPr>
                <w:rFonts w:ascii="Arial" w:hAnsi="Arial" w:cs="Arial"/>
                <w:sz w:val="16"/>
                <w:szCs w:val="16"/>
                <w:lang w:val="en-GB" w:eastAsia="en-IN"/>
              </w:rPr>
            </w:pPr>
          </w:p>
          <w:p w14:paraId="25205840" w14:textId="77777777" w:rsidR="00F7486B" w:rsidRPr="00203F22" w:rsidRDefault="00F7486B">
            <w:pPr>
              <w:rPr>
                <w:rFonts w:ascii="Arial" w:hAnsi="Arial" w:cs="Arial"/>
                <w:sz w:val="16"/>
                <w:szCs w:val="16"/>
                <w:lang w:val="en-GB" w:eastAsia="en-IN"/>
              </w:rPr>
            </w:pPr>
          </w:p>
          <w:p w14:paraId="64E65EF9" w14:textId="77777777" w:rsidR="00F7486B" w:rsidRPr="00203F22" w:rsidRDefault="00F7486B">
            <w:pPr>
              <w:rPr>
                <w:rFonts w:ascii="Arial" w:hAnsi="Arial" w:cs="Arial"/>
                <w:color w:val="000000"/>
                <w:sz w:val="16"/>
                <w:szCs w:val="16"/>
                <w:lang w:val="en-GB" w:eastAsia="en-IN"/>
              </w:rPr>
            </w:pPr>
          </w:p>
          <w:p w14:paraId="74D65A7C" w14:textId="77777777" w:rsidR="00F7486B" w:rsidRPr="00203F22" w:rsidRDefault="00F7486B">
            <w:pPr>
              <w:rPr>
                <w:rFonts w:ascii="Arial" w:hAnsi="Arial" w:cs="Arial"/>
                <w:sz w:val="16"/>
                <w:szCs w:val="16"/>
                <w:lang w:val="en-GB" w:eastAsia="en-IN"/>
              </w:rPr>
            </w:pPr>
          </w:p>
          <w:p w14:paraId="5E5A33B1" w14:textId="77777777" w:rsidR="00F7486B" w:rsidRPr="00203F22" w:rsidRDefault="00F7486B">
            <w:pPr>
              <w:rPr>
                <w:rFonts w:ascii="Arial" w:hAnsi="Arial" w:cs="Arial"/>
                <w:color w:val="000000"/>
                <w:sz w:val="16"/>
                <w:szCs w:val="16"/>
                <w:lang w:val="en-GB" w:eastAsia="en-IN"/>
              </w:rPr>
            </w:pPr>
          </w:p>
          <w:p w14:paraId="457DF5D3" w14:textId="77777777" w:rsidR="00F7486B" w:rsidRPr="00203F22" w:rsidRDefault="00F7486B">
            <w:pPr>
              <w:rPr>
                <w:rFonts w:ascii="Arial" w:hAnsi="Arial" w:cs="Arial"/>
                <w:sz w:val="16"/>
                <w:szCs w:val="16"/>
                <w:lang w:val="en-GB" w:eastAsia="en-IN"/>
              </w:rPr>
            </w:pPr>
          </w:p>
        </w:tc>
        <w:tc>
          <w:tcPr>
            <w:tcW w:w="2072" w:type="dxa"/>
            <w:noWrap/>
            <w:hideMark/>
          </w:tcPr>
          <w:p w14:paraId="0C4C8868" w14:textId="2774E654"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Air India SATS Airport Services</w:t>
            </w:r>
            <w:r w:rsidR="00203F22">
              <w:rPr>
                <w:rFonts w:ascii="Arial" w:hAnsi="Arial" w:cs="Arial"/>
                <w:color w:val="000000"/>
                <w:sz w:val="16"/>
                <w:szCs w:val="16"/>
                <w:lang w:val="en-GB" w:eastAsia="en-IN"/>
              </w:rPr>
              <w:t xml:space="preserve"> Private Limited</w:t>
            </w:r>
          </w:p>
        </w:tc>
        <w:tc>
          <w:tcPr>
            <w:tcW w:w="1224" w:type="dxa"/>
            <w:noWrap/>
            <w:hideMark/>
          </w:tcPr>
          <w:p w14:paraId="6F19AEB5" w14:textId="3FE33CD2"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50</w:t>
            </w:r>
            <w:r w:rsidR="002B6099">
              <w:rPr>
                <w:rFonts w:ascii="Arial" w:hAnsi="Arial" w:cs="Arial"/>
                <w:color w:val="000000"/>
                <w:sz w:val="16"/>
                <w:szCs w:val="16"/>
                <w:lang w:val="en-GB" w:eastAsia="en-IN"/>
              </w:rPr>
              <w:t>.0</w:t>
            </w:r>
          </w:p>
        </w:tc>
        <w:tc>
          <w:tcPr>
            <w:tcW w:w="1319" w:type="dxa"/>
            <w:noWrap/>
            <w:hideMark/>
          </w:tcPr>
          <w:p w14:paraId="4750470C"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Gateway Services </w:t>
            </w:r>
          </w:p>
        </w:tc>
        <w:tc>
          <w:tcPr>
            <w:tcW w:w="3413" w:type="dxa"/>
            <w:hideMark/>
          </w:tcPr>
          <w:p w14:paraId="6DC26369" w14:textId="77777777" w:rsidR="00F7486B" w:rsidRPr="00203F22" w:rsidRDefault="00F7486B">
            <w:pPr>
              <w:rPr>
                <w:rFonts w:ascii="Arial" w:hAnsi="Arial" w:cs="Arial"/>
                <w:color w:val="000000"/>
                <w:sz w:val="16"/>
                <w:szCs w:val="16"/>
                <w:lang w:val="en-GB" w:eastAsia="en-IN"/>
              </w:rPr>
            </w:pPr>
            <w:r w:rsidRPr="00203F22">
              <w:rPr>
                <w:rFonts w:ascii="Arial" w:hAnsi="Arial" w:cs="Arial"/>
                <w:color w:val="000000"/>
                <w:sz w:val="16"/>
                <w:szCs w:val="16"/>
                <w:lang w:val="en-GB" w:eastAsia="en-IN"/>
              </w:rPr>
              <w:t>Ground handling and cargo handling services in India</w:t>
            </w:r>
          </w:p>
        </w:tc>
      </w:tr>
      <w:tr w:rsidR="00F7486B" w:rsidRPr="00203F22" w14:paraId="3DDA6F8D" w14:textId="77777777" w:rsidTr="007C18DD">
        <w:trPr>
          <w:trHeight w:val="312"/>
          <w:jc w:val="center"/>
        </w:trPr>
        <w:tc>
          <w:tcPr>
            <w:tcW w:w="1318" w:type="dxa"/>
            <w:vMerge/>
            <w:hideMark/>
          </w:tcPr>
          <w:p w14:paraId="4282F92F" w14:textId="77777777" w:rsidR="00F7486B" w:rsidRPr="00203F22" w:rsidRDefault="00F7486B">
            <w:pPr>
              <w:rPr>
                <w:rFonts w:ascii="Arial" w:hAnsi="Arial" w:cs="Arial"/>
                <w:color w:val="000000"/>
                <w:sz w:val="16"/>
                <w:szCs w:val="16"/>
                <w:lang w:val="en-GB" w:eastAsia="en-IN"/>
              </w:rPr>
            </w:pPr>
          </w:p>
        </w:tc>
        <w:tc>
          <w:tcPr>
            <w:tcW w:w="2072" w:type="dxa"/>
            <w:noWrap/>
            <w:hideMark/>
          </w:tcPr>
          <w:p w14:paraId="359E6408" w14:textId="32B0DEDC" w:rsidR="00F7486B" w:rsidRPr="00203F22" w:rsidRDefault="00203F22"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Mumbai Cargo Service Center Airport Private Limited</w:t>
            </w:r>
          </w:p>
        </w:tc>
        <w:tc>
          <w:tcPr>
            <w:tcW w:w="1224" w:type="dxa"/>
            <w:noWrap/>
            <w:hideMark/>
          </w:tcPr>
          <w:p w14:paraId="18704639" w14:textId="0BA11FA1"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w:t>
            </w:r>
            <w:r w:rsidR="002B6099">
              <w:rPr>
                <w:rFonts w:ascii="Arial" w:hAnsi="Arial" w:cs="Arial"/>
                <w:color w:val="000000"/>
                <w:sz w:val="16"/>
                <w:szCs w:val="16"/>
                <w:lang w:val="en-GB" w:eastAsia="en-IN"/>
              </w:rPr>
              <w:t>.0</w:t>
            </w:r>
          </w:p>
        </w:tc>
        <w:tc>
          <w:tcPr>
            <w:tcW w:w="1319" w:type="dxa"/>
            <w:noWrap/>
            <w:hideMark/>
          </w:tcPr>
          <w:p w14:paraId="2642BED8"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Gateway Services </w:t>
            </w:r>
          </w:p>
        </w:tc>
        <w:tc>
          <w:tcPr>
            <w:tcW w:w="3413" w:type="dxa"/>
            <w:hideMark/>
          </w:tcPr>
          <w:p w14:paraId="69A0188B" w14:textId="77777777" w:rsidR="00F7486B" w:rsidRPr="00203F22" w:rsidRDefault="00F7486B">
            <w:pPr>
              <w:rPr>
                <w:rFonts w:ascii="Arial" w:hAnsi="Arial" w:cs="Arial"/>
                <w:color w:val="000000"/>
                <w:sz w:val="16"/>
                <w:szCs w:val="16"/>
                <w:lang w:val="en-GB" w:eastAsia="en-IN"/>
              </w:rPr>
            </w:pPr>
            <w:r w:rsidRPr="00203F22">
              <w:rPr>
                <w:rFonts w:ascii="Arial" w:hAnsi="Arial" w:cs="Arial"/>
                <w:color w:val="000000"/>
                <w:sz w:val="16"/>
                <w:szCs w:val="16"/>
                <w:lang w:val="en-GB" w:eastAsia="en-IN"/>
              </w:rPr>
              <w:t>Air cargo handling services</w:t>
            </w:r>
          </w:p>
        </w:tc>
      </w:tr>
      <w:tr w:rsidR="00F7486B" w:rsidRPr="00203F22" w14:paraId="7EF339A4" w14:textId="77777777" w:rsidTr="007C18DD">
        <w:trPr>
          <w:trHeight w:val="64"/>
          <w:jc w:val="center"/>
        </w:trPr>
        <w:tc>
          <w:tcPr>
            <w:tcW w:w="1318" w:type="dxa"/>
            <w:vMerge/>
            <w:hideMark/>
          </w:tcPr>
          <w:p w14:paraId="7FF65301" w14:textId="77777777" w:rsidR="00F7486B" w:rsidRPr="00203F22" w:rsidRDefault="00F7486B">
            <w:pPr>
              <w:rPr>
                <w:rFonts w:ascii="Arial" w:hAnsi="Arial" w:cs="Arial"/>
                <w:color w:val="000000"/>
                <w:sz w:val="16"/>
                <w:szCs w:val="16"/>
                <w:lang w:val="en-GB" w:eastAsia="en-IN"/>
              </w:rPr>
            </w:pPr>
          </w:p>
        </w:tc>
        <w:tc>
          <w:tcPr>
            <w:tcW w:w="2072" w:type="dxa"/>
            <w:noWrap/>
            <w:hideMark/>
          </w:tcPr>
          <w:p w14:paraId="27DB44F3"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Taj SATS Air Catering Limited</w:t>
            </w:r>
          </w:p>
        </w:tc>
        <w:tc>
          <w:tcPr>
            <w:tcW w:w="1224" w:type="dxa"/>
            <w:noWrap/>
            <w:hideMark/>
          </w:tcPr>
          <w:p w14:paraId="21F0F439" w14:textId="3F472713"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w:t>
            </w:r>
            <w:r w:rsidR="002B6099">
              <w:rPr>
                <w:rFonts w:ascii="Arial" w:hAnsi="Arial" w:cs="Arial"/>
                <w:color w:val="000000"/>
                <w:sz w:val="16"/>
                <w:szCs w:val="16"/>
                <w:lang w:val="en-GB" w:eastAsia="en-IN"/>
              </w:rPr>
              <w:t>.0</w:t>
            </w:r>
          </w:p>
        </w:tc>
        <w:tc>
          <w:tcPr>
            <w:tcW w:w="1319" w:type="dxa"/>
            <w:noWrap/>
            <w:hideMark/>
          </w:tcPr>
          <w:p w14:paraId="33D5EF4C"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p>
        </w:tc>
        <w:tc>
          <w:tcPr>
            <w:tcW w:w="3413" w:type="dxa"/>
            <w:hideMark/>
          </w:tcPr>
          <w:p w14:paraId="314A001E" w14:textId="0AE7B8C0"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A</w:t>
            </w:r>
            <w:r w:rsidR="00F7486B" w:rsidRPr="00203F22">
              <w:rPr>
                <w:rFonts w:ascii="Arial" w:hAnsi="Arial" w:cs="Arial"/>
                <w:color w:val="000000"/>
                <w:sz w:val="16"/>
                <w:szCs w:val="16"/>
                <w:lang w:val="en-GB" w:eastAsia="en-IN"/>
              </w:rPr>
              <w:t xml:space="preserve">irline services in the areas of </w:t>
            </w:r>
            <w:r w:rsidR="005E6654">
              <w:rPr>
                <w:rFonts w:ascii="Arial" w:hAnsi="Arial" w:cs="Arial"/>
                <w:color w:val="000000"/>
                <w:sz w:val="16"/>
                <w:szCs w:val="16"/>
                <w:lang w:val="en-GB" w:eastAsia="en-IN"/>
              </w:rPr>
              <w:t>inflight</w:t>
            </w:r>
            <w:r w:rsidR="00F7486B" w:rsidRPr="00203F22">
              <w:rPr>
                <w:rFonts w:ascii="Arial" w:hAnsi="Arial" w:cs="Arial"/>
                <w:color w:val="000000"/>
                <w:sz w:val="16"/>
                <w:szCs w:val="16"/>
                <w:lang w:val="en-GB" w:eastAsia="en-IN"/>
              </w:rPr>
              <w:t xml:space="preserve"> catering, laundry, </w:t>
            </w:r>
            <w:r w:rsidR="005E6654">
              <w:rPr>
                <w:rFonts w:ascii="Arial" w:hAnsi="Arial" w:cs="Arial"/>
                <w:color w:val="000000"/>
                <w:sz w:val="16"/>
                <w:szCs w:val="16"/>
                <w:lang w:val="en-GB" w:eastAsia="en-IN"/>
              </w:rPr>
              <w:t xml:space="preserve">and </w:t>
            </w:r>
            <w:r w:rsidR="00F7486B" w:rsidRPr="00203F22">
              <w:rPr>
                <w:rFonts w:ascii="Arial" w:hAnsi="Arial" w:cs="Arial"/>
                <w:color w:val="000000"/>
                <w:sz w:val="16"/>
                <w:szCs w:val="16"/>
                <w:lang w:val="en-GB" w:eastAsia="en-IN"/>
              </w:rPr>
              <w:t>aircraft cleaning</w:t>
            </w:r>
          </w:p>
        </w:tc>
      </w:tr>
      <w:tr w:rsidR="00F7486B" w:rsidRPr="00203F22" w14:paraId="7FDE99F8" w14:textId="77777777" w:rsidTr="007C18DD">
        <w:trPr>
          <w:trHeight w:val="305"/>
          <w:jc w:val="center"/>
        </w:trPr>
        <w:tc>
          <w:tcPr>
            <w:tcW w:w="1318" w:type="dxa"/>
            <w:noWrap/>
            <w:hideMark/>
          </w:tcPr>
          <w:p w14:paraId="53F73200"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Oman</w:t>
            </w:r>
          </w:p>
        </w:tc>
        <w:tc>
          <w:tcPr>
            <w:tcW w:w="2072" w:type="dxa"/>
            <w:noWrap/>
            <w:hideMark/>
          </w:tcPr>
          <w:p w14:paraId="4D4619B8" w14:textId="2D91C25D"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Oman Air SATS Cargo</w:t>
            </w:r>
            <w:r w:rsidR="00203F22">
              <w:rPr>
                <w:rFonts w:ascii="Arial" w:hAnsi="Arial" w:cs="Arial"/>
                <w:color w:val="000000"/>
                <w:sz w:val="16"/>
                <w:szCs w:val="16"/>
                <w:lang w:val="en-GB" w:eastAsia="en-IN"/>
              </w:rPr>
              <w:t xml:space="preserve"> LLC</w:t>
            </w:r>
            <w:r w:rsidRPr="00203F22">
              <w:rPr>
                <w:rFonts w:ascii="Arial" w:hAnsi="Arial" w:cs="Arial"/>
                <w:color w:val="000000"/>
                <w:sz w:val="16"/>
                <w:szCs w:val="16"/>
                <w:lang w:val="en-GB" w:eastAsia="en-IN"/>
              </w:rPr>
              <w:t xml:space="preserve"> </w:t>
            </w:r>
          </w:p>
        </w:tc>
        <w:tc>
          <w:tcPr>
            <w:tcW w:w="1224" w:type="dxa"/>
            <w:noWrap/>
            <w:hideMark/>
          </w:tcPr>
          <w:p w14:paraId="15557B04" w14:textId="27B2D799"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33</w:t>
            </w:r>
            <w:r w:rsidR="002B6099">
              <w:rPr>
                <w:rFonts w:ascii="Arial" w:hAnsi="Arial" w:cs="Arial"/>
                <w:color w:val="000000"/>
                <w:sz w:val="16"/>
                <w:szCs w:val="16"/>
                <w:lang w:val="en-GB" w:eastAsia="en-IN"/>
              </w:rPr>
              <w:t>.0</w:t>
            </w:r>
          </w:p>
        </w:tc>
        <w:tc>
          <w:tcPr>
            <w:tcW w:w="1319" w:type="dxa"/>
            <w:noWrap/>
            <w:hideMark/>
          </w:tcPr>
          <w:p w14:paraId="0B5D13C2"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Gateway Services </w:t>
            </w:r>
          </w:p>
        </w:tc>
        <w:tc>
          <w:tcPr>
            <w:tcW w:w="3413" w:type="dxa"/>
            <w:hideMark/>
          </w:tcPr>
          <w:p w14:paraId="0CCBC203" w14:textId="77777777" w:rsidR="00F7486B" w:rsidRPr="00203F22" w:rsidRDefault="00F7486B">
            <w:pPr>
              <w:rPr>
                <w:rFonts w:ascii="Arial" w:hAnsi="Arial" w:cs="Arial"/>
                <w:color w:val="000000"/>
                <w:sz w:val="16"/>
                <w:szCs w:val="16"/>
                <w:lang w:val="en-GB" w:eastAsia="en-IN"/>
              </w:rPr>
            </w:pPr>
            <w:r w:rsidRPr="00203F22">
              <w:rPr>
                <w:rFonts w:ascii="Arial" w:hAnsi="Arial" w:cs="Arial"/>
                <w:color w:val="000000"/>
                <w:sz w:val="16"/>
                <w:szCs w:val="16"/>
                <w:lang w:val="en-GB" w:eastAsia="en-IN"/>
              </w:rPr>
              <w:t>Cargo operations handler in Muscat International Airport</w:t>
            </w:r>
          </w:p>
        </w:tc>
      </w:tr>
      <w:tr w:rsidR="00F7486B" w:rsidRPr="00203F22" w14:paraId="407B278D" w14:textId="77777777" w:rsidTr="007C18DD">
        <w:trPr>
          <w:trHeight w:val="64"/>
          <w:jc w:val="center"/>
        </w:trPr>
        <w:tc>
          <w:tcPr>
            <w:tcW w:w="1318" w:type="dxa"/>
            <w:noWrap/>
            <w:hideMark/>
          </w:tcPr>
          <w:p w14:paraId="19C5B7BB"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Pakistan </w:t>
            </w:r>
          </w:p>
        </w:tc>
        <w:tc>
          <w:tcPr>
            <w:tcW w:w="2072" w:type="dxa"/>
            <w:noWrap/>
            <w:hideMark/>
          </w:tcPr>
          <w:p w14:paraId="5126457E" w14:textId="10D1E1CE" w:rsidR="00F7486B" w:rsidRPr="00203F22" w:rsidRDefault="00D713ED" w:rsidP="00EB2548">
            <w:pPr>
              <w:rPr>
                <w:rFonts w:ascii="Arial" w:hAnsi="Arial" w:cs="Arial"/>
                <w:color w:val="000000"/>
                <w:sz w:val="16"/>
                <w:szCs w:val="16"/>
                <w:lang w:val="en-GB" w:eastAsia="en-IN"/>
              </w:rPr>
            </w:pPr>
            <w:r>
              <w:rPr>
                <w:rFonts w:ascii="Arial" w:hAnsi="Arial" w:cs="Arial"/>
                <w:color w:val="000000"/>
                <w:sz w:val="16"/>
                <w:szCs w:val="16"/>
                <w:lang w:val="en-GB" w:eastAsia="en-IN"/>
              </w:rPr>
              <w:t>A</w:t>
            </w:r>
            <w:r w:rsidRPr="00D713ED">
              <w:rPr>
                <w:rFonts w:ascii="Arial" w:hAnsi="Arial" w:cs="Arial"/>
                <w:color w:val="000000"/>
                <w:sz w:val="16"/>
                <w:szCs w:val="16"/>
                <w:lang w:val="en-GB" w:eastAsia="en-IN"/>
              </w:rPr>
              <w:t>viserv Ltd</w:t>
            </w:r>
            <w:r w:rsidR="00DA792B">
              <w:rPr>
                <w:rFonts w:ascii="Arial" w:hAnsi="Arial" w:cs="Arial"/>
                <w:color w:val="000000"/>
                <w:sz w:val="16"/>
                <w:szCs w:val="16"/>
                <w:lang w:val="en-GB" w:eastAsia="en-IN"/>
              </w:rPr>
              <w:t>.</w:t>
            </w:r>
          </w:p>
        </w:tc>
        <w:tc>
          <w:tcPr>
            <w:tcW w:w="1224" w:type="dxa"/>
            <w:noWrap/>
            <w:hideMark/>
          </w:tcPr>
          <w:p w14:paraId="4444D455" w14:textId="1305DE4E"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49</w:t>
            </w:r>
            <w:r w:rsidR="002B6099">
              <w:rPr>
                <w:rFonts w:ascii="Arial" w:hAnsi="Arial" w:cs="Arial"/>
                <w:color w:val="000000"/>
                <w:sz w:val="16"/>
                <w:szCs w:val="16"/>
                <w:lang w:val="en-GB" w:eastAsia="en-IN"/>
              </w:rPr>
              <w:t>.0</w:t>
            </w:r>
          </w:p>
        </w:tc>
        <w:tc>
          <w:tcPr>
            <w:tcW w:w="1319" w:type="dxa"/>
            <w:noWrap/>
            <w:hideMark/>
          </w:tcPr>
          <w:p w14:paraId="1F928764"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Food Solutions </w:t>
            </w:r>
          </w:p>
        </w:tc>
        <w:tc>
          <w:tcPr>
            <w:tcW w:w="3413" w:type="dxa"/>
            <w:hideMark/>
          </w:tcPr>
          <w:p w14:paraId="5360B7E1" w14:textId="2CBBC3E8" w:rsidR="00F7486B" w:rsidRPr="00203F22" w:rsidRDefault="00F7486B">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Inflight catering </w:t>
            </w:r>
            <w:r w:rsidR="005E6654">
              <w:rPr>
                <w:rFonts w:ascii="Arial" w:hAnsi="Arial" w:cs="Arial"/>
                <w:color w:val="000000"/>
                <w:sz w:val="16"/>
                <w:szCs w:val="16"/>
                <w:lang w:val="en-GB" w:eastAsia="en-IN"/>
              </w:rPr>
              <w:t>services</w:t>
            </w:r>
          </w:p>
        </w:tc>
      </w:tr>
      <w:tr w:rsidR="00F7486B" w:rsidRPr="00203F22" w14:paraId="0021BA4F" w14:textId="77777777" w:rsidTr="007C18DD">
        <w:trPr>
          <w:trHeight w:val="64"/>
          <w:jc w:val="center"/>
        </w:trPr>
        <w:tc>
          <w:tcPr>
            <w:tcW w:w="1318" w:type="dxa"/>
            <w:noWrap/>
            <w:hideMark/>
          </w:tcPr>
          <w:p w14:paraId="4FA92CE1"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Maldives </w:t>
            </w:r>
          </w:p>
        </w:tc>
        <w:tc>
          <w:tcPr>
            <w:tcW w:w="2072" w:type="dxa"/>
            <w:noWrap/>
            <w:hideMark/>
          </w:tcPr>
          <w:p w14:paraId="282B99B8"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Maldives Inflight Catering Private Limited </w:t>
            </w:r>
          </w:p>
        </w:tc>
        <w:tc>
          <w:tcPr>
            <w:tcW w:w="1224" w:type="dxa"/>
            <w:noWrap/>
            <w:hideMark/>
          </w:tcPr>
          <w:p w14:paraId="2BB4E37D" w14:textId="632E0204"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35</w:t>
            </w:r>
            <w:r w:rsidR="002B6099">
              <w:rPr>
                <w:rFonts w:ascii="Arial" w:hAnsi="Arial" w:cs="Arial"/>
                <w:color w:val="000000"/>
                <w:sz w:val="16"/>
                <w:szCs w:val="16"/>
                <w:lang w:val="en-GB" w:eastAsia="en-IN"/>
              </w:rPr>
              <w:t>.0</w:t>
            </w:r>
          </w:p>
        </w:tc>
        <w:tc>
          <w:tcPr>
            <w:tcW w:w="1319" w:type="dxa"/>
            <w:noWrap/>
            <w:hideMark/>
          </w:tcPr>
          <w:p w14:paraId="5587FC5D"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Food Solutions </w:t>
            </w:r>
          </w:p>
        </w:tc>
        <w:tc>
          <w:tcPr>
            <w:tcW w:w="3413" w:type="dxa"/>
            <w:hideMark/>
          </w:tcPr>
          <w:p w14:paraId="5CE96056" w14:textId="76A76168"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I</w:t>
            </w:r>
            <w:r w:rsidR="00F7486B" w:rsidRPr="00203F22">
              <w:rPr>
                <w:rFonts w:ascii="Arial" w:hAnsi="Arial" w:cs="Arial"/>
                <w:color w:val="000000"/>
                <w:sz w:val="16"/>
                <w:szCs w:val="16"/>
                <w:lang w:val="en-GB" w:eastAsia="en-IN"/>
              </w:rPr>
              <w:t>nflight catering services in Maldives</w:t>
            </w:r>
            <w:r w:rsidR="002D1B00">
              <w:rPr>
                <w:rFonts w:ascii="Arial" w:hAnsi="Arial" w:cs="Arial"/>
                <w:color w:val="000000"/>
                <w:sz w:val="16"/>
                <w:szCs w:val="16"/>
                <w:lang w:val="en-GB" w:eastAsia="en-IN"/>
              </w:rPr>
              <w:t>,</w:t>
            </w:r>
            <w:r w:rsidR="00F7486B" w:rsidRPr="00203F22">
              <w:rPr>
                <w:rFonts w:ascii="Arial" w:hAnsi="Arial" w:cs="Arial"/>
                <w:color w:val="000000"/>
                <w:sz w:val="16"/>
                <w:szCs w:val="16"/>
                <w:lang w:val="en-GB" w:eastAsia="en-IN"/>
              </w:rPr>
              <w:t xml:space="preserve"> based at Velana International Airport</w:t>
            </w:r>
          </w:p>
        </w:tc>
      </w:tr>
      <w:tr w:rsidR="00F7486B" w:rsidRPr="00203F22" w14:paraId="517E5278" w14:textId="77777777" w:rsidTr="007C18DD">
        <w:trPr>
          <w:trHeight w:val="242"/>
          <w:jc w:val="center"/>
        </w:trPr>
        <w:tc>
          <w:tcPr>
            <w:tcW w:w="1318" w:type="dxa"/>
            <w:noWrap/>
            <w:hideMark/>
          </w:tcPr>
          <w:p w14:paraId="28F50DDE"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Japan</w:t>
            </w:r>
          </w:p>
        </w:tc>
        <w:tc>
          <w:tcPr>
            <w:tcW w:w="2072" w:type="dxa"/>
            <w:noWrap/>
            <w:hideMark/>
          </w:tcPr>
          <w:p w14:paraId="5C21B4B9"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 xml:space="preserve">TFK Corporation </w:t>
            </w:r>
          </w:p>
        </w:tc>
        <w:tc>
          <w:tcPr>
            <w:tcW w:w="1224" w:type="dxa"/>
            <w:noWrap/>
            <w:hideMark/>
          </w:tcPr>
          <w:p w14:paraId="141EF27A" w14:textId="77777777" w:rsidR="00F7486B" w:rsidRPr="00203F22" w:rsidRDefault="00F7486B" w:rsidP="00EB2548">
            <w:pPr>
              <w:jc w:val="right"/>
              <w:rPr>
                <w:rFonts w:ascii="Arial" w:hAnsi="Arial" w:cs="Arial"/>
                <w:color w:val="000000"/>
                <w:sz w:val="16"/>
                <w:szCs w:val="16"/>
                <w:lang w:val="en-GB" w:eastAsia="en-IN"/>
              </w:rPr>
            </w:pPr>
            <w:r w:rsidRPr="00203F22">
              <w:rPr>
                <w:rFonts w:ascii="Arial" w:hAnsi="Arial" w:cs="Arial"/>
                <w:color w:val="000000"/>
                <w:sz w:val="16"/>
                <w:szCs w:val="16"/>
                <w:lang w:val="en-GB" w:eastAsia="en-IN"/>
              </w:rPr>
              <w:t>59.4</w:t>
            </w:r>
          </w:p>
        </w:tc>
        <w:tc>
          <w:tcPr>
            <w:tcW w:w="1319" w:type="dxa"/>
            <w:noWrap/>
            <w:hideMark/>
          </w:tcPr>
          <w:p w14:paraId="024900ED" w14:textId="77777777" w:rsidR="00F7486B" w:rsidRPr="00203F22" w:rsidRDefault="00F7486B" w:rsidP="00EB2548">
            <w:pPr>
              <w:rPr>
                <w:rFonts w:ascii="Arial" w:hAnsi="Arial" w:cs="Arial"/>
                <w:color w:val="000000"/>
                <w:sz w:val="16"/>
                <w:szCs w:val="16"/>
                <w:lang w:val="en-GB" w:eastAsia="en-IN"/>
              </w:rPr>
            </w:pPr>
            <w:r w:rsidRPr="00203F22">
              <w:rPr>
                <w:rFonts w:ascii="Arial" w:hAnsi="Arial" w:cs="Arial"/>
                <w:color w:val="000000"/>
                <w:sz w:val="16"/>
                <w:szCs w:val="16"/>
                <w:lang w:val="en-GB" w:eastAsia="en-IN"/>
              </w:rPr>
              <w:t>Food Solutions</w:t>
            </w:r>
          </w:p>
        </w:tc>
        <w:tc>
          <w:tcPr>
            <w:tcW w:w="3413" w:type="dxa"/>
            <w:hideMark/>
          </w:tcPr>
          <w:p w14:paraId="45B525F7" w14:textId="0E50D3D0" w:rsidR="00F7486B" w:rsidRPr="00203F22" w:rsidRDefault="002B6099">
            <w:pPr>
              <w:rPr>
                <w:rFonts w:ascii="Arial" w:hAnsi="Arial" w:cs="Arial"/>
                <w:color w:val="000000"/>
                <w:sz w:val="16"/>
                <w:szCs w:val="16"/>
                <w:lang w:val="en-GB" w:eastAsia="en-IN"/>
              </w:rPr>
            </w:pPr>
            <w:r>
              <w:rPr>
                <w:rFonts w:ascii="Arial" w:hAnsi="Arial" w:cs="Arial"/>
                <w:color w:val="000000"/>
                <w:sz w:val="16"/>
                <w:szCs w:val="16"/>
                <w:lang w:val="en-GB" w:eastAsia="en-IN"/>
              </w:rPr>
              <w:t>I</w:t>
            </w:r>
            <w:r w:rsidR="00F7486B" w:rsidRPr="00203F22">
              <w:rPr>
                <w:rFonts w:ascii="Arial" w:hAnsi="Arial" w:cs="Arial"/>
                <w:color w:val="000000"/>
                <w:sz w:val="16"/>
                <w:szCs w:val="16"/>
                <w:lang w:val="en-GB" w:eastAsia="en-IN"/>
              </w:rPr>
              <w:t xml:space="preserve">nflight catering and non-aviation catering at Narita and </w:t>
            </w:r>
            <w:r w:rsidR="00723787">
              <w:rPr>
                <w:rFonts w:ascii="Arial" w:hAnsi="Arial" w:cs="Arial"/>
                <w:color w:val="000000"/>
                <w:sz w:val="16"/>
                <w:szCs w:val="16"/>
                <w:lang w:val="en-GB" w:eastAsia="en-IN"/>
              </w:rPr>
              <w:t>Tokyo International Airports in Japan</w:t>
            </w:r>
          </w:p>
        </w:tc>
      </w:tr>
    </w:tbl>
    <w:p w14:paraId="4D82136E" w14:textId="77777777" w:rsidR="00090B65" w:rsidRDefault="00090B65" w:rsidP="00F7486B">
      <w:pPr>
        <w:rPr>
          <w:rFonts w:ascii="Arial" w:hAnsi="Arial" w:cs="Arial"/>
          <w:sz w:val="17"/>
          <w:szCs w:val="17"/>
          <w:lang w:val="en-GB"/>
        </w:rPr>
      </w:pPr>
    </w:p>
    <w:p w14:paraId="22656362" w14:textId="0A0E6565" w:rsidR="007C18DD" w:rsidRDefault="00F7486B" w:rsidP="00EB2548">
      <w:pPr>
        <w:jc w:val="both"/>
        <w:rPr>
          <w:rStyle w:val="Hyperlink"/>
          <w:rFonts w:ascii="Arial" w:hAnsi="Arial" w:cs="Arial"/>
          <w:color w:val="auto"/>
          <w:spacing w:val="-4"/>
          <w:sz w:val="17"/>
          <w:szCs w:val="17"/>
          <w:u w:val="none"/>
          <w:lang w:val="en-GB"/>
        </w:rPr>
      </w:pPr>
      <w:r w:rsidRPr="007C18DD">
        <w:rPr>
          <w:rFonts w:ascii="Arial" w:hAnsi="Arial" w:cs="Arial"/>
          <w:spacing w:val="-4"/>
          <w:sz w:val="17"/>
          <w:szCs w:val="17"/>
          <w:lang w:val="en-GB"/>
        </w:rPr>
        <w:t xml:space="preserve">Source: </w:t>
      </w:r>
      <w:r w:rsidR="002D0B75" w:rsidRPr="007C18DD">
        <w:rPr>
          <w:rFonts w:ascii="Arial" w:hAnsi="Arial" w:cs="Arial"/>
          <w:spacing w:val="-4"/>
          <w:sz w:val="17"/>
          <w:szCs w:val="17"/>
          <w:lang w:val="en-GB"/>
        </w:rPr>
        <w:t>Created</w:t>
      </w:r>
      <w:r w:rsidRPr="007C18DD">
        <w:rPr>
          <w:rFonts w:ascii="Arial" w:hAnsi="Arial" w:cs="Arial"/>
          <w:spacing w:val="-4"/>
          <w:sz w:val="17"/>
          <w:szCs w:val="17"/>
          <w:lang w:val="en-GB"/>
        </w:rPr>
        <w:t xml:space="preserve"> by </w:t>
      </w:r>
      <w:r w:rsidR="002D0B75" w:rsidRPr="007C18DD">
        <w:rPr>
          <w:rFonts w:ascii="Arial" w:hAnsi="Arial" w:cs="Arial"/>
          <w:spacing w:val="-4"/>
          <w:sz w:val="17"/>
          <w:szCs w:val="17"/>
          <w:lang w:val="en-GB"/>
        </w:rPr>
        <w:t xml:space="preserve">the </w:t>
      </w:r>
      <w:r w:rsidRPr="007C18DD">
        <w:rPr>
          <w:rFonts w:ascii="Arial" w:hAnsi="Arial" w:cs="Arial"/>
          <w:spacing w:val="-4"/>
          <w:sz w:val="17"/>
          <w:szCs w:val="17"/>
          <w:lang w:val="en-GB"/>
        </w:rPr>
        <w:t xml:space="preserve">authors based on data from </w:t>
      </w:r>
      <w:r w:rsidR="00586937" w:rsidRPr="007C18DD">
        <w:rPr>
          <w:rFonts w:ascii="Arial" w:hAnsi="Arial" w:cs="Arial"/>
          <w:spacing w:val="-4"/>
          <w:sz w:val="17"/>
          <w:szCs w:val="17"/>
          <w:lang w:val="en-GB"/>
        </w:rPr>
        <w:t xml:space="preserve">SATS Ltd., </w:t>
      </w:r>
      <w:r w:rsidR="00586937" w:rsidRPr="007C18DD">
        <w:rPr>
          <w:rFonts w:ascii="Arial" w:hAnsi="Arial" w:cs="Arial"/>
          <w:i/>
          <w:iCs/>
          <w:spacing w:val="-4"/>
          <w:sz w:val="17"/>
          <w:szCs w:val="17"/>
          <w:lang w:val="en-GB"/>
        </w:rPr>
        <w:t>Capital Markets Day</w:t>
      </w:r>
      <w:r w:rsidR="00586937" w:rsidRPr="007C18DD">
        <w:rPr>
          <w:rFonts w:ascii="Arial" w:hAnsi="Arial" w:cs="Arial"/>
          <w:spacing w:val="-4"/>
          <w:sz w:val="17"/>
          <w:szCs w:val="17"/>
          <w:lang w:val="en-GB"/>
        </w:rPr>
        <w:t xml:space="preserve">, May 30, 2019, accessed May 31, 2019, </w:t>
      </w:r>
      <w:r w:rsidR="007C18DD" w:rsidRPr="007C18DD">
        <w:rPr>
          <w:rFonts w:ascii="Arial" w:hAnsi="Arial" w:cs="Arial"/>
          <w:spacing w:val="-4"/>
          <w:sz w:val="17"/>
          <w:szCs w:val="17"/>
          <w:lang w:val="en-GB"/>
        </w:rPr>
        <w:t>https://www.sats.com.sg/docs/default-source/financial-reports/road-shows/2019-2020/preso-cmd-30may19.pdf?sfvrsn</w:t>
      </w:r>
      <w:r w:rsidR="00586937" w:rsidRPr="007C18DD">
        <w:rPr>
          <w:rFonts w:ascii="Arial" w:hAnsi="Arial" w:cs="Arial"/>
          <w:spacing w:val="-4"/>
          <w:sz w:val="17"/>
          <w:szCs w:val="17"/>
          <w:lang w:val="en-GB"/>
        </w:rPr>
        <w:t>=2cf1f37f_4</w:t>
      </w:r>
      <w:r w:rsidR="00090B65" w:rsidRPr="007C18DD">
        <w:rPr>
          <w:rStyle w:val="Hyperlink"/>
          <w:rFonts w:ascii="Arial" w:hAnsi="Arial" w:cs="Arial"/>
          <w:color w:val="auto"/>
          <w:spacing w:val="-4"/>
          <w:sz w:val="17"/>
          <w:szCs w:val="17"/>
          <w:u w:val="none"/>
          <w:lang w:val="en-GB"/>
        </w:rPr>
        <w:t>;</w:t>
      </w:r>
    </w:p>
    <w:p w14:paraId="50480D2D" w14:textId="4DDA7DF2" w:rsidR="007C18DD" w:rsidRPr="007C18DD" w:rsidRDefault="001A2A96" w:rsidP="00EB2548">
      <w:pPr>
        <w:jc w:val="both"/>
        <w:rPr>
          <w:rFonts w:ascii="Arial" w:hAnsi="Arial" w:cs="Arial"/>
          <w:spacing w:val="-2"/>
          <w:sz w:val="17"/>
          <w:szCs w:val="17"/>
          <w:lang w:val="en-GB"/>
        </w:rPr>
      </w:pPr>
      <w:bookmarkStart w:id="12" w:name="_Hlk65772317"/>
      <w:r w:rsidRPr="007C18DD">
        <w:rPr>
          <w:rFonts w:ascii="Arial" w:hAnsi="Arial" w:cs="Arial"/>
          <w:spacing w:val="-2"/>
          <w:sz w:val="17"/>
          <w:szCs w:val="17"/>
          <w:lang w:val="en-GB"/>
        </w:rPr>
        <w:t>SATS Ltd.</w:t>
      </w:r>
      <w:r w:rsidR="00090B65" w:rsidRPr="007C18DD">
        <w:rPr>
          <w:rFonts w:ascii="Arial" w:hAnsi="Arial" w:cs="Arial"/>
          <w:spacing w:val="-2"/>
          <w:sz w:val="17"/>
          <w:szCs w:val="17"/>
          <w:lang w:val="en-GB"/>
        </w:rPr>
        <w:t xml:space="preserve">, </w:t>
      </w:r>
      <w:r w:rsidR="00090B65" w:rsidRPr="007C18DD">
        <w:rPr>
          <w:rFonts w:ascii="Arial" w:hAnsi="Arial" w:cs="Arial"/>
          <w:i/>
          <w:iCs/>
          <w:spacing w:val="-2"/>
          <w:sz w:val="17"/>
          <w:szCs w:val="17"/>
          <w:lang w:val="en-GB"/>
        </w:rPr>
        <w:t>Execution of Two Joint Venture Agreements in Relation to Two New Companies to Be Incorporated in Beijing</w:t>
      </w:r>
      <w:r w:rsidR="00090B65" w:rsidRPr="007C18DD">
        <w:rPr>
          <w:rFonts w:ascii="Arial" w:hAnsi="Arial" w:cs="Arial"/>
          <w:spacing w:val="-2"/>
          <w:sz w:val="17"/>
          <w:szCs w:val="17"/>
          <w:lang w:val="en-GB"/>
        </w:rPr>
        <w:t xml:space="preserve">, </w:t>
      </w:r>
      <w:r w:rsidR="00090B65" w:rsidRPr="007C18DD">
        <w:rPr>
          <w:rFonts w:ascii="Arial" w:hAnsi="Arial" w:cs="Arial"/>
          <w:i/>
          <w:iCs/>
          <w:spacing w:val="-2"/>
          <w:sz w:val="17"/>
          <w:szCs w:val="17"/>
          <w:lang w:val="en-GB"/>
        </w:rPr>
        <w:t>China</w:t>
      </w:r>
      <w:r w:rsidR="00090B65" w:rsidRPr="007C18DD">
        <w:rPr>
          <w:rFonts w:ascii="Arial" w:hAnsi="Arial" w:cs="Arial"/>
          <w:spacing w:val="-2"/>
          <w:sz w:val="17"/>
          <w:szCs w:val="17"/>
          <w:lang w:val="en-GB"/>
        </w:rPr>
        <w:t xml:space="preserve">, January 24, 2019, accessed May 15, 2019, </w:t>
      </w:r>
      <w:r w:rsidR="007C18DD" w:rsidRPr="007C18DD">
        <w:rPr>
          <w:rFonts w:ascii="Arial" w:hAnsi="Arial" w:cs="Arial"/>
          <w:spacing w:val="-2"/>
          <w:sz w:val="17"/>
          <w:szCs w:val="17"/>
          <w:lang w:val="en-GB"/>
        </w:rPr>
        <w:t>https://links.sgx.com/FileOpen/SGXAnn_Daxing%20JVs%20Final.ashx</w:t>
      </w:r>
      <w:r w:rsidR="00090B65" w:rsidRPr="007C18DD">
        <w:rPr>
          <w:rFonts w:ascii="Arial" w:hAnsi="Arial" w:cs="Arial"/>
          <w:spacing w:val="-2"/>
          <w:sz w:val="17"/>
          <w:szCs w:val="17"/>
          <w:lang w:val="en-GB"/>
        </w:rPr>
        <w:t>?App=</w:t>
      </w:r>
    </w:p>
    <w:p w14:paraId="762E98FC" w14:textId="6D129C13" w:rsidR="00F7486B" w:rsidRPr="007C18DD" w:rsidRDefault="00090B65" w:rsidP="00EB2548">
      <w:pPr>
        <w:jc w:val="both"/>
        <w:rPr>
          <w:rFonts w:ascii="Arial" w:hAnsi="Arial" w:cs="Arial"/>
          <w:spacing w:val="-4"/>
          <w:sz w:val="17"/>
          <w:szCs w:val="17"/>
          <w:lang w:val="en-GB"/>
        </w:rPr>
      </w:pPr>
      <w:r w:rsidRPr="007C18DD">
        <w:rPr>
          <w:rFonts w:ascii="Arial" w:hAnsi="Arial" w:cs="Arial"/>
          <w:spacing w:val="-4"/>
          <w:sz w:val="17"/>
          <w:szCs w:val="17"/>
          <w:lang w:val="en-GB"/>
        </w:rPr>
        <w:t>Announcement&amp;FileID=541425</w:t>
      </w:r>
      <w:bookmarkEnd w:id="12"/>
      <w:r w:rsidRPr="007C18DD">
        <w:rPr>
          <w:rFonts w:ascii="Arial" w:hAnsi="Arial" w:cs="Arial"/>
          <w:spacing w:val="-4"/>
          <w:sz w:val="17"/>
          <w:szCs w:val="17"/>
          <w:lang w:val="en-GB"/>
        </w:rPr>
        <w:t xml:space="preserve">; </w:t>
      </w:r>
      <w:r w:rsidR="001A2A96" w:rsidRPr="007C18DD">
        <w:rPr>
          <w:rFonts w:ascii="Arial" w:hAnsi="Arial" w:cs="Arial"/>
          <w:spacing w:val="-4"/>
          <w:sz w:val="17"/>
          <w:szCs w:val="17"/>
          <w:lang w:val="en-GB"/>
        </w:rPr>
        <w:t>SATS Ltd.</w:t>
      </w:r>
      <w:r w:rsidRPr="007C18DD">
        <w:rPr>
          <w:rFonts w:ascii="Arial" w:hAnsi="Arial" w:cs="Arial"/>
          <w:spacing w:val="-4"/>
          <w:sz w:val="17"/>
          <w:szCs w:val="17"/>
          <w:lang w:val="en-GB"/>
        </w:rPr>
        <w:t xml:space="preserve">, </w:t>
      </w:r>
      <w:r w:rsidRPr="007C18DD">
        <w:rPr>
          <w:rFonts w:ascii="Arial" w:hAnsi="Arial" w:cs="Arial"/>
          <w:i/>
          <w:iCs/>
          <w:spacing w:val="-4"/>
          <w:sz w:val="17"/>
          <w:szCs w:val="17"/>
          <w:lang w:val="en-GB"/>
        </w:rPr>
        <w:t xml:space="preserve">Execution of Share Purchase Agreement and Share Subcription </w:t>
      </w:r>
      <w:r w:rsidR="00A00CFB" w:rsidRPr="007C18DD">
        <w:rPr>
          <w:rFonts w:ascii="Arial" w:hAnsi="Arial" w:cs="Arial"/>
          <w:spacing w:val="-4"/>
          <w:sz w:val="17"/>
          <w:szCs w:val="17"/>
          <w:lang w:val="en-GB"/>
        </w:rPr>
        <w:t>[</w:t>
      </w:r>
      <w:r w:rsidR="00A00CFB" w:rsidRPr="007C18DD">
        <w:rPr>
          <w:rFonts w:ascii="Arial" w:hAnsi="Arial" w:cs="Arial"/>
          <w:i/>
          <w:iCs/>
          <w:spacing w:val="-4"/>
          <w:sz w:val="17"/>
          <w:szCs w:val="17"/>
          <w:lang w:val="en-GB"/>
        </w:rPr>
        <w:t>sic</w:t>
      </w:r>
      <w:r w:rsidR="00A00CFB" w:rsidRPr="007C18DD">
        <w:rPr>
          <w:rFonts w:ascii="Arial" w:hAnsi="Arial" w:cs="Arial"/>
          <w:spacing w:val="-4"/>
          <w:sz w:val="17"/>
          <w:szCs w:val="17"/>
          <w:lang w:val="en-GB"/>
        </w:rPr>
        <w:t xml:space="preserve">] </w:t>
      </w:r>
      <w:r w:rsidRPr="001C4464">
        <w:rPr>
          <w:rFonts w:ascii="Arial" w:hAnsi="Arial" w:cs="Arial"/>
          <w:i/>
          <w:iCs/>
          <w:spacing w:val="-4"/>
          <w:sz w:val="17"/>
          <w:szCs w:val="17"/>
          <w:lang w:val="en-GB"/>
        </w:rPr>
        <w:t>Agreement</w:t>
      </w:r>
      <w:r w:rsidRPr="007C18DD">
        <w:rPr>
          <w:rFonts w:ascii="Arial" w:hAnsi="Arial" w:cs="Arial"/>
          <w:i/>
          <w:iCs/>
          <w:spacing w:val="-4"/>
          <w:sz w:val="17"/>
          <w:szCs w:val="17"/>
          <w:lang w:val="en-GB"/>
        </w:rPr>
        <w:t xml:space="preserve"> in Relation to Nanjing Weizhou Airline Food Corp., Ltd.</w:t>
      </w:r>
      <w:r w:rsidRPr="007C18DD">
        <w:rPr>
          <w:rFonts w:ascii="Arial" w:hAnsi="Arial" w:cs="Arial"/>
          <w:spacing w:val="-4"/>
          <w:sz w:val="17"/>
          <w:szCs w:val="17"/>
          <w:lang w:val="en-GB"/>
        </w:rPr>
        <w:t>, May 17, 2019, accessed May 31, 2019</w:t>
      </w:r>
      <w:r w:rsidR="00A00CFB" w:rsidRPr="007C18DD">
        <w:rPr>
          <w:spacing w:val="-4"/>
        </w:rPr>
        <w:t xml:space="preserve">, </w:t>
      </w:r>
      <w:r w:rsidR="00A00CFB" w:rsidRPr="007C18DD">
        <w:rPr>
          <w:rFonts w:ascii="Arial" w:hAnsi="Arial" w:cs="Arial"/>
          <w:spacing w:val="-4"/>
          <w:sz w:val="17"/>
          <w:szCs w:val="17"/>
          <w:lang w:val="en-GB"/>
        </w:rPr>
        <w:t>https://links.sgx.com/FileOpen/SATS_NWA_Annc_Final.ashx?App=Announcement&amp;FileID=560064</w:t>
      </w:r>
      <w:r w:rsidR="00A00CFB" w:rsidRPr="007C18DD">
        <w:rPr>
          <w:rStyle w:val="Hyperlink"/>
          <w:rFonts w:ascii="Arial" w:hAnsi="Arial" w:cs="Arial"/>
          <w:color w:val="auto"/>
          <w:spacing w:val="-4"/>
          <w:sz w:val="17"/>
          <w:szCs w:val="17"/>
          <w:u w:val="none"/>
          <w:lang w:val="en-GB" w:eastAsia="en-IN"/>
        </w:rPr>
        <w:t>.</w:t>
      </w:r>
    </w:p>
    <w:p w14:paraId="3536067F" w14:textId="74A3F6F2" w:rsidR="00090B65" w:rsidRPr="007C18DD" w:rsidRDefault="00090B65" w:rsidP="00F7486B">
      <w:pPr>
        <w:rPr>
          <w:rFonts w:ascii="Arial" w:hAnsi="Arial" w:cs="Arial"/>
          <w:sz w:val="17"/>
          <w:szCs w:val="17"/>
          <w:lang w:val="en-GB"/>
        </w:rPr>
      </w:pPr>
    </w:p>
    <w:p w14:paraId="5145A6B0" w14:textId="77777777" w:rsidR="00090B65" w:rsidRPr="007C18DD" w:rsidRDefault="00090B65" w:rsidP="00F7486B">
      <w:pPr>
        <w:rPr>
          <w:rFonts w:ascii="Arial" w:hAnsi="Arial" w:cs="Arial"/>
          <w:sz w:val="17"/>
          <w:szCs w:val="17"/>
          <w:lang w:val="en-GB"/>
        </w:rPr>
      </w:pPr>
    </w:p>
    <w:p w14:paraId="6BF15A50" w14:textId="77777777" w:rsidR="007C18DD" w:rsidRDefault="007C18DD">
      <w:pPr>
        <w:spacing w:after="200" w:line="276" w:lineRule="auto"/>
        <w:rPr>
          <w:rFonts w:ascii="Arial" w:hAnsi="Arial" w:cs="Arial"/>
          <w:b/>
          <w:lang w:val="en-GB"/>
        </w:rPr>
      </w:pPr>
      <w:r>
        <w:rPr>
          <w:rFonts w:ascii="Arial" w:hAnsi="Arial" w:cs="Arial"/>
          <w:b/>
          <w:lang w:val="en-GB"/>
        </w:rPr>
        <w:br w:type="page"/>
      </w:r>
    </w:p>
    <w:p w14:paraId="1F4E1B6E" w14:textId="7576DC61" w:rsidR="00F7486B" w:rsidRDefault="00F7486B" w:rsidP="00F7486B">
      <w:pPr>
        <w:jc w:val="center"/>
        <w:rPr>
          <w:rFonts w:ascii="Arial" w:hAnsi="Arial" w:cs="Arial"/>
          <w:b/>
          <w:lang w:val="en-GB"/>
        </w:rPr>
      </w:pPr>
      <w:r w:rsidRPr="00D117D6">
        <w:rPr>
          <w:rFonts w:ascii="Arial" w:hAnsi="Arial" w:cs="Arial"/>
          <w:b/>
          <w:lang w:val="en-GB"/>
        </w:rPr>
        <w:lastRenderedPageBreak/>
        <w:t xml:space="preserve">EXHIBIT 7: SATS </w:t>
      </w:r>
      <w:r w:rsidR="00722A0A">
        <w:rPr>
          <w:rFonts w:ascii="Arial" w:hAnsi="Arial" w:cs="Arial"/>
          <w:b/>
          <w:lang w:val="en-GB"/>
        </w:rPr>
        <w:t xml:space="preserve">LTD. </w:t>
      </w:r>
      <w:r w:rsidRPr="00D117D6">
        <w:rPr>
          <w:rFonts w:ascii="Arial" w:hAnsi="Arial" w:cs="Arial"/>
          <w:b/>
          <w:lang w:val="en-GB"/>
        </w:rPr>
        <w:t>SHARE OF REVENUE BY REGION</w:t>
      </w:r>
      <w:r w:rsidR="00722A0A">
        <w:rPr>
          <w:rFonts w:ascii="Arial" w:hAnsi="Arial" w:cs="Arial"/>
          <w:b/>
          <w:lang w:val="en-GB"/>
        </w:rPr>
        <w:t>,</w:t>
      </w:r>
      <w:r w:rsidRPr="00D117D6">
        <w:rPr>
          <w:rFonts w:ascii="Arial" w:hAnsi="Arial" w:cs="Arial"/>
          <w:b/>
          <w:lang w:val="en-GB"/>
        </w:rPr>
        <w:t xml:space="preserve"> 2018</w:t>
      </w:r>
      <w:r w:rsidR="00722A0A">
        <w:rPr>
          <w:rFonts w:ascii="Arial" w:hAnsi="Arial" w:cs="Arial"/>
          <w:b/>
          <w:lang w:val="en-GB"/>
        </w:rPr>
        <w:t>–2019</w:t>
      </w:r>
    </w:p>
    <w:p w14:paraId="127F1F69" w14:textId="52CF01C2" w:rsidR="00F7486B" w:rsidRPr="00D117D6" w:rsidRDefault="00F7486B" w:rsidP="00F7486B">
      <w:pPr>
        <w:jc w:val="center"/>
        <w:rPr>
          <w:rFonts w:ascii="Arial" w:hAnsi="Arial" w:cs="Arial"/>
          <w:b/>
          <w:lang w:val="en-GB"/>
        </w:rPr>
      </w:pPr>
    </w:p>
    <w:p w14:paraId="31E4A775" w14:textId="6A83499D" w:rsidR="00F7486B" w:rsidRPr="00D117D6" w:rsidRDefault="007C18DD" w:rsidP="00F7486B">
      <w:pPr>
        <w:jc w:val="center"/>
        <w:rPr>
          <w:rFonts w:ascii="Arial" w:hAnsi="Arial" w:cs="Arial"/>
          <w:b/>
          <w:lang w:val="en-GB"/>
        </w:rPr>
      </w:pPr>
      <w:r w:rsidRPr="00D117D6">
        <w:rPr>
          <w:rFonts w:ascii="Segoe MDL2 Assets" w:hAnsi="Segoe MDL2 Assets" w:cs="Arial"/>
          <w:bCs/>
          <w:noProof/>
          <w:sz w:val="24"/>
          <w:szCs w:val="24"/>
          <w:lang w:val="en-SG" w:eastAsia="zh-CN"/>
        </w:rPr>
        <w:drawing>
          <wp:anchor distT="0" distB="0" distL="114300" distR="114300" simplePos="0" relativeHeight="251659264" behindDoc="0" locked="0" layoutInCell="1" allowOverlap="1" wp14:anchorId="0495CE2E" wp14:editId="197D4341">
            <wp:simplePos x="0" y="0"/>
            <wp:positionH relativeFrom="margin">
              <wp:posOffset>1095016</wp:posOffset>
            </wp:positionH>
            <wp:positionV relativeFrom="margin">
              <wp:posOffset>303805</wp:posOffset>
            </wp:positionV>
            <wp:extent cx="3942080" cy="2515870"/>
            <wp:effectExtent l="0" t="0" r="1270" b="17780"/>
            <wp:wrapSquare wrapText="bothSides"/>
            <wp:docPr id="29" name="Chart 29" descr="EXHIBIT 7: SATS LTD. SHARE OF REVENUE BY REGION, 2018–20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BF902B4" w14:textId="1A8A51DD" w:rsidR="00F7486B" w:rsidRPr="00D117D6" w:rsidRDefault="00F7486B" w:rsidP="00F7486B">
      <w:pPr>
        <w:jc w:val="center"/>
        <w:rPr>
          <w:rFonts w:ascii="Arial" w:hAnsi="Arial" w:cs="Arial"/>
          <w:b/>
          <w:lang w:val="en-GB"/>
        </w:rPr>
      </w:pPr>
    </w:p>
    <w:p w14:paraId="0AE98D02" w14:textId="60A388DD" w:rsidR="00F7486B" w:rsidRPr="00D117D6" w:rsidRDefault="00F7486B" w:rsidP="00F7486B">
      <w:pPr>
        <w:jc w:val="center"/>
        <w:rPr>
          <w:rFonts w:ascii="Arial" w:hAnsi="Arial" w:cs="Arial"/>
          <w:b/>
          <w:lang w:val="en-GB"/>
        </w:rPr>
      </w:pPr>
    </w:p>
    <w:p w14:paraId="3CD3427E" w14:textId="26F05985" w:rsidR="00F7486B" w:rsidRPr="00D117D6" w:rsidRDefault="00F7486B" w:rsidP="00F7486B">
      <w:pPr>
        <w:jc w:val="center"/>
        <w:rPr>
          <w:rFonts w:ascii="Arial" w:hAnsi="Arial" w:cs="Arial"/>
          <w:b/>
          <w:lang w:val="en-GB"/>
        </w:rPr>
      </w:pPr>
    </w:p>
    <w:p w14:paraId="4A155AFA" w14:textId="36C87FBC" w:rsidR="00F7486B" w:rsidRPr="00D117D6" w:rsidRDefault="00F7486B" w:rsidP="00F7486B">
      <w:pPr>
        <w:rPr>
          <w:rFonts w:ascii="Arial" w:hAnsi="Arial" w:cs="Arial"/>
          <w:sz w:val="17"/>
          <w:szCs w:val="17"/>
          <w:lang w:val="en-GB"/>
        </w:rPr>
      </w:pPr>
    </w:p>
    <w:p w14:paraId="0BC49092" w14:textId="301345AE" w:rsidR="00F7486B" w:rsidRPr="00D117D6" w:rsidRDefault="00F7486B" w:rsidP="00F7486B">
      <w:pPr>
        <w:rPr>
          <w:rFonts w:ascii="Arial" w:hAnsi="Arial" w:cs="Arial"/>
          <w:sz w:val="17"/>
          <w:szCs w:val="17"/>
          <w:lang w:val="en-GB"/>
        </w:rPr>
      </w:pPr>
    </w:p>
    <w:p w14:paraId="62002823" w14:textId="0FBA1DA4" w:rsidR="00F7486B" w:rsidRPr="00D117D6" w:rsidRDefault="00F7486B" w:rsidP="00F7486B">
      <w:pPr>
        <w:rPr>
          <w:rFonts w:ascii="Arial" w:hAnsi="Arial" w:cs="Arial"/>
          <w:sz w:val="17"/>
          <w:szCs w:val="17"/>
          <w:lang w:val="en-GB"/>
        </w:rPr>
      </w:pPr>
    </w:p>
    <w:p w14:paraId="07FA989D" w14:textId="1FD0F8FD" w:rsidR="00F7486B" w:rsidRPr="00D117D6" w:rsidRDefault="00F7486B" w:rsidP="00F7486B">
      <w:pPr>
        <w:rPr>
          <w:rFonts w:ascii="Arial" w:hAnsi="Arial" w:cs="Arial"/>
          <w:sz w:val="17"/>
          <w:szCs w:val="17"/>
          <w:lang w:val="en-GB"/>
        </w:rPr>
      </w:pPr>
    </w:p>
    <w:p w14:paraId="0876DF64" w14:textId="6516898C" w:rsidR="00F7486B" w:rsidRPr="00D117D6" w:rsidRDefault="00F7486B" w:rsidP="00F7486B">
      <w:pPr>
        <w:rPr>
          <w:rFonts w:ascii="Arial" w:hAnsi="Arial" w:cs="Arial"/>
          <w:sz w:val="17"/>
          <w:szCs w:val="17"/>
          <w:lang w:val="en-GB"/>
        </w:rPr>
      </w:pPr>
    </w:p>
    <w:p w14:paraId="5A2C2EFF" w14:textId="77777777" w:rsidR="00F7486B" w:rsidRPr="00D117D6" w:rsidRDefault="00F7486B" w:rsidP="00F7486B">
      <w:pPr>
        <w:rPr>
          <w:rFonts w:ascii="Arial" w:hAnsi="Arial" w:cs="Arial"/>
          <w:sz w:val="17"/>
          <w:szCs w:val="17"/>
          <w:lang w:val="en-GB"/>
        </w:rPr>
      </w:pPr>
    </w:p>
    <w:p w14:paraId="50278BAB" w14:textId="77777777" w:rsidR="00F7486B" w:rsidRPr="00D117D6" w:rsidRDefault="00F7486B" w:rsidP="00F7486B">
      <w:pPr>
        <w:rPr>
          <w:rFonts w:ascii="Arial" w:hAnsi="Arial" w:cs="Arial"/>
          <w:sz w:val="17"/>
          <w:szCs w:val="17"/>
          <w:lang w:val="en-GB"/>
        </w:rPr>
      </w:pPr>
    </w:p>
    <w:p w14:paraId="0678E843" w14:textId="77777777" w:rsidR="00F7486B" w:rsidRPr="00D117D6" w:rsidRDefault="00F7486B" w:rsidP="00F7486B">
      <w:pPr>
        <w:rPr>
          <w:rFonts w:ascii="Arial" w:hAnsi="Arial" w:cs="Arial"/>
          <w:sz w:val="17"/>
          <w:szCs w:val="17"/>
          <w:lang w:val="en-GB"/>
        </w:rPr>
      </w:pPr>
    </w:p>
    <w:p w14:paraId="451FD8AA" w14:textId="77777777" w:rsidR="00F7486B" w:rsidRPr="00D117D6" w:rsidRDefault="00F7486B" w:rsidP="00F7486B">
      <w:pPr>
        <w:rPr>
          <w:rFonts w:ascii="Arial" w:hAnsi="Arial" w:cs="Arial"/>
          <w:sz w:val="17"/>
          <w:szCs w:val="17"/>
          <w:lang w:val="en-GB"/>
        </w:rPr>
      </w:pPr>
    </w:p>
    <w:p w14:paraId="179E4C7C" w14:textId="77777777" w:rsidR="00F7486B" w:rsidRPr="00D117D6" w:rsidRDefault="00F7486B" w:rsidP="00F7486B">
      <w:pPr>
        <w:rPr>
          <w:rFonts w:ascii="Arial" w:hAnsi="Arial" w:cs="Arial"/>
          <w:sz w:val="17"/>
          <w:szCs w:val="17"/>
          <w:lang w:val="en-GB"/>
        </w:rPr>
      </w:pPr>
    </w:p>
    <w:p w14:paraId="36744749" w14:textId="77777777" w:rsidR="00F7486B" w:rsidRPr="00D117D6" w:rsidRDefault="00F7486B" w:rsidP="00F7486B">
      <w:pPr>
        <w:rPr>
          <w:rFonts w:ascii="Arial" w:hAnsi="Arial" w:cs="Arial"/>
          <w:sz w:val="17"/>
          <w:szCs w:val="17"/>
          <w:lang w:val="en-GB"/>
        </w:rPr>
      </w:pPr>
    </w:p>
    <w:p w14:paraId="0BE50DF2" w14:textId="77777777" w:rsidR="00F7486B" w:rsidRPr="00D117D6" w:rsidRDefault="00F7486B" w:rsidP="00F7486B">
      <w:pPr>
        <w:rPr>
          <w:rFonts w:ascii="Arial" w:hAnsi="Arial" w:cs="Arial"/>
          <w:sz w:val="17"/>
          <w:szCs w:val="17"/>
          <w:lang w:val="en-GB"/>
        </w:rPr>
      </w:pPr>
    </w:p>
    <w:p w14:paraId="63EBCA6A" w14:textId="77777777" w:rsidR="00F7486B" w:rsidRPr="00D117D6" w:rsidRDefault="00F7486B" w:rsidP="00F7486B">
      <w:pPr>
        <w:rPr>
          <w:rFonts w:ascii="Arial" w:hAnsi="Arial" w:cs="Arial"/>
          <w:sz w:val="17"/>
          <w:szCs w:val="17"/>
          <w:lang w:val="en-GB"/>
        </w:rPr>
      </w:pPr>
    </w:p>
    <w:p w14:paraId="787679D3" w14:textId="77777777" w:rsidR="00F7486B" w:rsidRPr="00D117D6" w:rsidRDefault="00F7486B" w:rsidP="00F7486B">
      <w:pPr>
        <w:rPr>
          <w:rFonts w:ascii="Arial" w:hAnsi="Arial" w:cs="Arial"/>
          <w:sz w:val="17"/>
          <w:szCs w:val="17"/>
          <w:lang w:val="en-GB"/>
        </w:rPr>
      </w:pPr>
    </w:p>
    <w:p w14:paraId="6E843B0B" w14:textId="77777777" w:rsidR="00F7486B" w:rsidRPr="00D117D6" w:rsidRDefault="00F7486B" w:rsidP="00F7486B">
      <w:pPr>
        <w:rPr>
          <w:rFonts w:ascii="Arial" w:hAnsi="Arial" w:cs="Arial"/>
          <w:sz w:val="17"/>
          <w:szCs w:val="17"/>
          <w:lang w:val="en-GB"/>
        </w:rPr>
      </w:pPr>
    </w:p>
    <w:p w14:paraId="2451E9C4" w14:textId="7581C829" w:rsidR="003E75FD" w:rsidRDefault="003E75FD" w:rsidP="00F7486B">
      <w:pPr>
        <w:rPr>
          <w:rFonts w:ascii="Arial" w:hAnsi="Arial" w:cs="Arial"/>
          <w:sz w:val="17"/>
          <w:szCs w:val="17"/>
          <w:lang w:val="en-GB"/>
        </w:rPr>
      </w:pPr>
    </w:p>
    <w:p w14:paraId="76ABB46D" w14:textId="77777777" w:rsidR="007C18DD" w:rsidRDefault="007C18DD" w:rsidP="00F7486B">
      <w:pPr>
        <w:rPr>
          <w:rFonts w:ascii="Arial" w:hAnsi="Arial" w:cs="Arial"/>
          <w:sz w:val="17"/>
          <w:szCs w:val="17"/>
          <w:lang w:val="en-GB"/>
        </w:rPr>
      </w:pPr>
    </w:p>
    <w:p w14:paraId="0EE8C36F" w14:textId="791E8088" w:rsidR="003E75FD" w:rsidRDefault="003E75FD" w:rsidP="00F7486B">
      <w:pPr>
        <w:rPr>
          <w:rFonts w:ascii="Arial" w:hAnsi="Arial" w:cs="Arial"/>
          <w:sz w:val="17"/>
          <w:szCs w:val="17"/>
          <w:lang w:val="en-GB"/>
        </w:rPr>
      </w:pPr>
      <w:r>
        <w:rPr>
          <w:rFonts w:ascii="Arial" w:hAnsi="Arial" w:cs="Arial"/>
          <w:sz w:val="17"/>
          <w:szCs w:val="17"/>
          <w:lang w:val="en-GB"/>
        </w:rPr>
        <w:t xml:space="preserve">Note: ASEAN = </w:t>
      </w:r>
      <w:r w:rsidRPr="003E75FD">
        <w:rPr>
          <w:rFonts w:ascii="Arial" w:hAnsi="Arial" w:cs="Arial"/>
          <w:sz w:val="17"/>
          <w:szCs w:val="17"/>
          <w:lang w:val="en-GB"/>
        </w:rPr>
        <w:t>Association of Southeast Asian Nations</w:t>
      </w:r>
      <w:r>
        <w:rPr>
          <w:rFonts w:ascii="Arial" w:hAnsi="Arial" w:cs="Arial"/>
          <w:sz w:val="17"/>
          <w:szCs w:val="17"/>
          <w:lang w:val="en-GB"/>
        </w:rPr>
        <w:t xml:space="preserve">; </w:t>
      </w:r>
      <w:r w:rsidR="002B6099">
        <w:rPr>
          <w:rFonts w:ascii="Arial" w:hAnsi="Arial" w:cs="Arial"/>
          <w:sz w:val="17"/>
          <w:szCs w:val="17"/>
          <w:lang w:val="en-GB"/>
        </w:rPr>
        <w:t>ASEAN (</w:t>
      </w:r>
      <w:r>
        <w:rPr>
          <w:rFonts w:ascii="Arial" w:hAnsi="Arial" w:cs="Arial"/>
          <w:sz w:val="17"/>
          <w:szCs w:val="17"/>
          <w:lang w:val="en-GB"/>
        </w:rPr>
        <w:t>Ex-SG</w:t>
      </w:r>
      <w:r w:rsidR="002B6099">
        <w:rPr>
          <w:rFonts w:ascii="Arial" w:hAnsi="Arial" w:cs="Arial"/>
          <w:sz w:val="17"/>
          <w:szCs w:val="17"/>
          <w:lang w:val="en-GB"/>
        </w:rPr>
        <w:t>)</w:t>
      </w:r>
      <w:r>
        <w:rPr>
          <w:rFonts w:ascii="Arial" w:hAnsi="Arial" w:cs="Arial"/>
          <w:sz w:val="17"/>
          <w:szCs w:val="17"/>
          <w:lang w:val="en-GB"/>
        </w:rPr>
        <w:t xml:space="preserve"> = </w:t>
      </w:r>
      <w:r w:rsidR="00EF1D9D">
        <w:rPr>
          <w:rFonts w:ascii="Arial" w:hAnsi="Arial" w:cs="Arial"/>
          <w:sz w:val="17"/>
          <w:szCs w:val="17"/>
          <w:lang w:val="en-GB"/>
        </w:rPr>
        <w:t xml:space="preserve">ASEAN </w:t>
      </w:r>
      <w:r w:rsidR="002B6099">
        <w:rPr>
          <w:rFonts w:ascii="Arial" w:hAnsi="Arial" w:cs="Arial"/>
          <w:sz w:val="17"/>
          <w:szCs w:val="17"/>
          <w:lang w:val="en-GB"/>
        </w:rPr>
        <w:t>(</w:t>
      </w:r>
      <w:r w:rsidR="00EF1D9D">
        <w:rPr>
          <w:rFonts w:ascii="Arial" w:hAnsi="Arial" w:cs="Arial"/>
          <w:sz w:val="17"/>
          <w:szCs w:val="17"/>
          <w:lang w:val="en-GB"/>
        </w:rPr>
        <w:t>excluding Singapore</w:t>
      </w:r>
      <w:r w:rsidR="002B6099">
        <w:rPr>
          <w:rFonts w:ascii="Arial" w:hAnsi="Arial" w:cs="Arial"/>
          <w:sz w:val="17"/>
          <w:szCs w:val="17"/>
          <w:lang w:val="en-GB"/>
        </w:rPr>
        <w:t>)</w:t>
      </w:r>
    </w:p>
    <w:p w14:paraId="0FAAC188" w14:textId="3FB5B00B" w:rsidR="00F7486B" w:rsidRPr="008E46A6" w:rsidRDefault="00F7486B" w:rsidP="008E46A6">
      <w:pPr>
        <w:jc w:val="both"/>
        <w:rPr>
          <w:rFonts w:ascii="Arial" w:hAnsi="Arial" w:cs="Arial"/>
          <w:spacing w:val="-4"/>
          <w:sz w:val="17"/>
          <w:szCs w:val="17"/>
          <w:lang w:val="en-GB"/>
        </w:rPr>
      </w:pPr>
      <w:r w:rsidRPr="008E46A6">
        <w:rPr>
          <w:rFonts w:ascii="Arial" w:hAnsi="Arial" w:cs="Arial"/>
          <w:spacing w:val="-4"/>
          <w:sz w:val="17"/>
          <w:szCs w:val="17"/>
          <w:lang w:val="en-GB"/>
        </w:rPr>
        <w:t xml:space="preserve">Source: Created by </w:t>
      </w:r>
      <w:r w:rsidR="003E75FD" w:rsidRPr="008E46A6">
        <w:rPr>
          <w:rFonts w:ascii="Arial" w:hAnsi="Arial" w:cs="Arial"/>
          <w:spacing w:val="-4"/>
          <w:sz w:val="17"/>
          <w:szCs w:val="17"/>
          <w:lang w:val="en-GB"/>
        </w:rPr>
        <w:t xml:space="preserve">the </w:t>
      </w:r>
      <w:r w:rsidRPr="008E46A6">
        <w:rPr>
          <w:rFonts w:ascii="Arial" w:hAnsi="Arial" w:cs="Arial"/>
          <w:spacing w:val="-4"/>
          <w:sz w:val="17"/>
          <w:szCs w:val="17"/>
          <w:lang w:val="en-GB"/>
        </w:rPr>
        <w:t xml:space="preserve">authors based on data from </w:t>
      </w:r>
      <w:r w:rsidR="00586937" w:rsidRPr="008E46A6">
        <w:rPr>
          <w:rFonts w:ascii="Arial" w:hAnsi="Arial" w:cs="Arial"/>
          <w:spacing w:val="-4"/>
          <w:sz w:val="17"/>
          <w:szCs w:val="17"/>
          <w:lang w:val="en-GB"/>
        </w:rPr>
        <w:t xml:space="preserve">SATS Ltd., </w:t>
      </w:r>
      <w:r w:rsidR="00586937" w:rsidRPr="008E46A6">
        <w:rPr>
          <w:rFonts w:ascii="Arial" w:hAnsi="Arial" w:cs="Arial"/>
          <w:i/>
          <w:iCs/>
          <w:spacing w:val="-4"/>
          <w:sz w:val="17"/>
          <w:szCs w:val="17"/>
          <w:lang w:val="en-GB"/>
        </w:rPr>
        <w:t>Capital Markets Day</w:t>
      </w:r>
      <w:r w:rsidR="00586937" w:rsidRPr="008E46A6">
        <w:rPr>
          <w:rFonts w:ascii="Arial" w:hAnsi="Arial" w:cs="Arial"/>
          <w:spacing w:val="-4"/>
          <w:sz w:val="17"/>
          <w:szCs w:val="17"/>
          <w:lang w:val="en-GB"/>
        </w:rPr>
        <w:t>, May 30, 2019, accessed May 31, 2019, https://www.sats.com.sg/docs/default-source/financial-reports/road-shows/2019-2020/preso-cmd-30may19.pdf?sfvrsn=2cf1f37f_4.</w:t>
      </w:r>
    </w:p>
    <w:p w14:paraId="24CF2525" w14:textId="5869127B" w:rsidR="00F7486B" w:rsidRPr="00D117D6" w:rsidRDefault="00F7486B" w:rsidP="007C18DD">
      <w:pPr>
        <w:jc w:val="both"/>
        <w:rPr>
          <w:rFonts w:ascii="Arial" w:hAnsi="Arial" w:cs="Arial"/>
          <w:b/>
          <w:lang w:val="en-GB"/>
        </w:rPr>
      </w:pPr>
    </w:p>
    <w:p w14:paraId="51F6CEB3" w14:textId="77777777" w:rsidR="00F7486B" w:rsidRPr="00D117D6" w:rsidRDefault="00F7486B" w:rsidP="00F7486B">
      <w:pPr>
        <w:rPr>
          <w:rFonts w:ascii="Arial" w:hAnsi="Arial" w:cs="Arial"/>
          <w:b/>
          <w:lang w:val="en-GB"/>
        </w:rPr>
      </w:pPr>
    </w:p>
    <w:p w14:paraId="3960DB01" w14:textId="77777777" w:rsidR="00247489" w:rsidRDefault="00247489">
      <w:pPr>
        <w:spacing w:after="200" w:line="276" w:lineRule="auto"/>
        <w:rPr>
          <w:rFonts w:ascii="Arial" w:hAnsi="Arial" w:cs="Arial"/>
          <w:b/>
          <w:bCs/>
          <w:lang w:val="en-GB"/>
        </w:rPr>
      </w:pPr>
      <w:r>
        <w:rPr>
          <w:rFonts w:ascii="Arial" w:hAnsi="Arial" w:cs="Arial"/>
          <w:b/>
          <w:bCs/>
          <w:lang w:val="en-GB"/>
        </w:rPr>
        <w:br w:type="page"/>
      </w:r>
    </w:p>
    <w:p w14:paraId="39D0D2C2" w14:textId="382F6BB7" w:rsidR="00F7486B" w:rsidRPr="00D117D6" w:rsidRDefault="00F7486B" w:rsidP="00EB2548">
      <w:pPr>
        <w:pStyle w:val="ExhibitHeading"/>
        <w:rPr>
          <w:lang w:val="en-GB"/>
        </w:rPr>
      </w:pPr>
      <w:r w:rsidRPr="00D117D6">
        <w:rPr>
          <w:lang w:val="en-GB"/>
        </w:rPr>
        <w:lastRenderedPageBreak/>
        <w:t>EXHIBIT 8: CARGO VOLUME GROWTH IN CHINA</w:t>
      </w:r>
      <w:r w:rsidR="00247489">
        <w:rPr>
          <w:lang w:val="en-GB"/>
        </w:rPr>
        <w:t>,</w:t>
      </w:r>
      <w:r w:rsidRPr="00D117D6">
        <w:rPr>
          <w:lang w:val="en-GB"/>
        </w:rPr>
        <w:t xml:space="preserve"> 2011</w:t>
      </w:r>
      <w:r w:rsidR="00247489">
        <w:rPr>
          <w:lang w:val="en-GB"/>
        </w:rPr>
        <w:t>–</w:t>
      </w:r>
      <w:r w:rsidRPr="00D117D6">
        <w:rPr>
          <w:lang w:val="en-GB"/>
        </w:rPr>
        <w:t xml:space="preserve">2017 </w:t>
      </w:r>
      <w:r w:rsidR="00247489">
        <w:rPr>
          <w:lang w:val="en-GB"/>
        </w:rPr>
        <w:t>(Millions of Metric Tons)</w:t>
      </w:r>
    </w:p>
    <w:p w14:paraId="21FFADAA" w14:textId="77777777" w:rsidR="00F7486B" w:rsidRPr="00D117D6" w:rsidRDefault="00F7486B" w:rsidP="00F7486B">
      <w:pPr>
        <w:jc w:val="center"/>
        <w:rPr>
          <w:rFonts w:ascii="Arial" w:hAnsi="Arial" w:cs="Arial"/>
          <w:b/>
          <w:bCs/>
          <w:lang w:val="en-GB"/>
        </w:rPr>
      </w:pPr>
    </w:p>
    <w:p w14:paraId="1B323FE9" w14:textId="77777777" w:rsidR="00F7486B" w:rsidRPr="00D117D6" w:rsidRDefault="00F7486B" w:rsidP="00F7486B">
      <w:pPr>
        <w:jc w:val="center"/>
        <w:rPr>
          <w:lang w:val="en-GB"/>
        </w:rPr>
      </w:pPr>
      <w:r w:rsidRPr="00D117D6">
        <w:rPr>
          <w:rFonts w:ascii="Arial" w:hAnsi="Arial" w:cs="Arial"/>
          <w:b/>
          <w:noProof/>
          <w:lang w:val="en-SG" w:eastAsia="zh-CN"/>
        </w:rPr>
        <w:drawing>
          <wp:inline distT="0" distB="0" distL="0" distR="0" wp14:anchorId="3BB998AA" wp14:editId="0DB40083">
            <wp:extent cx="5796951" cy="3623094"/>
            <wp:effectExtent l="0" t="0" r="13335" b="15875"/>
            <wp:docPr id="32" name="Chart 32" descr="EXHIBIT 8: CARGO VOLUME GROWTH IN CHINA, 2011–2017 (MILLIONS OF METRIC TON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3F3047" w14:textId="77777777" w:rsidR="00F7486B" w:rsidRPr="00D117D6" w:rsidRDefault="00F7486B" w:rsidP="00F7486B">
      <w:pPr>
        <w:rPr>
          <w:rFonts w:ascii="Arial" w:hAnsi="Arial" w:cs="Arial"/>
          <w:sz w:val="17"/>
          <w:szCs w:val="17"/>
          <w:lang w:val="en-GB"/>
        </w:rPr>
      </w:pPr>
    </w:p>
    <w:p w14:paraId="71CA828B" w14:textId="7E765FA0" w:rsidR="00F7486B" w:rsidRPr="00D117D6" w:rsidRDefault="00F7486B" w:rsidP="00F7486B">
      <w:pPr>
        <w:rPr>
          <w:rFonts w:ascii="Arial" w:hAnsi="Arial" w:cs="Arial"/>
          <w:sz w:val="17"/>
          <w:szCs w:val="17"/>
          <w:lang w:val="en-GB"/>
        </w:rPr>
      </w:pPr>
      <w:r w:rsidRPr="00D117D6">
        <w:rPr>
          <w:rFonts w:ascii="Arial" w:hAnsi="Arial" w:cs="Arial"/>
          <w:sz w:val="17"/>
          <w:szCs w:val="17"/>
          <w:lang w:val="en-GB"/>
        </w:rPr>
        <w:t xml:space="preserve">Source: Created by </w:t>
      </w:r>
      <w:r w:rsidR="00247489">
        <w:rPr>
          <w:rFonts w:ascii="Arial" w:hAnsi="Arial" w:cs="Arial"/>
          <w:sz w:val="17"/>
          <w:szCs w:val="17"/>
          <w:lang w:val="en-GB"/>
        </w:rPr>
        <w:t xml:space="preserve">the </w:t>
      </w:r>
      <w:r w:rsidRPr="00D117D6">
        <w:rPr>
          <w:rFonts w:ascii="Arial" w:hAnsi="Arial" w:cs="Arial"/>
          <w:sz w:val="17"/>
          <w:szCs w:val="17"/>
          <w:lang w:val="en-GB"/>
        </w:rPr>
        <w:t>authors based on data from “Air Cargo Volume in China from 2007</w:t>
      </w:r>
      <w:r w:rsidR="00247489">
        <w:rPr>
          <w:rFonts w:ascii="Arial" w:hAnsi="Arial" w:cs="Arial"/>
          <w:sz w:val="17"/>
          <w:szCs w:val="17"/>
          <w:lang w:val="en-GB"/>
        </w:rPr>
        <w:t xml:space="preserve"> to</w:t>
      </w:r>
      <w:r w:rsidRPr="00D117D6">
        <w:rPr>
          <w:rFonts w:ascii="Arial" w:hAnsi="Arial" w:cs="Arial"/>
          <w:sz w:val="17"/>
          <w:szCs w:val="17"/>
          <w:lang w:val="en-GB"/>
        </w:rPr>
        <w:t>2017</w:t>
      </w:r>
      <w:r w:rsidR="00247489">
        <w:rPr>
          <w:rFonts w:ascii="Arial" w:hAnsi="Arial" w:cs="Arial"/>
          <w:sz w:val="17"/>
          <w:szCs w:val="17"/>
          <w:lang w:val="en-GB"/>
        </w:rPr>
        <w:t>,</w:t>
      </w:r>
      <w:r w:rsidRPr="00D117D6">
        <w:rPr>
          <w:rFonts w:ascii="Arial" w:hAnsi="Arial" w:cs="Arial"/>
          <w:sz w:val="17"/>
          <w:szCs w:val="17"/>
          <w:lang w:val="en-GB"/>
        </w:rPr>
        <w:t>”</w:t>
      </w:r>
      <w:r w:rsidR="00247489">
        <w:rPr>
          <w:rFonts w:ascii="Arial" w:hAnsi="Arial" w:cs="Arial"/>
          <w:sz w:val="17"/>
          <w:szCs w:val="17"/>
          <w:lang w:val="en-GB"/>
        </w:rPr>
        <w:t xml:space="preserve"> Statista,</w:t>
      </w:r>
      <w:r w:rsidRPr="00D117D6">
        <w:rPr>
          <w:rFonts w:ascii="Arial" w:hAnsi="Arial" w:cs="Arial"/>
          <w:sz w:val="17"/>
          <w:szCs w:val="17"/>
          <w:lang w:val="en-GB"/>
        </w:rPr>
        <w:t xml:space="preserve"> June 2018, accessed May 15</w:t>
      </w:r>
      <w:r w:rsidR="00746709">
        <w:rPr>
          <w:rFonts w:ascii="Arial" w:hAnsi="Arial" w:cs="Arial"/>
          <w:sz w:val="17"/>
          <w:szCs w:val="17"/>
          <w:lang w:val="en-GB"/>
        </w:rPr>
        <w:t>,</w:t>
      </w:r>
      <w:r w:rsidRPr="00D117D6">
        <w:rPr>
          <w:rFonts w:ascii="Arial" w:hAnsi="Arial" w:cs="Arial"/>
          <w:sz w:val="17"/>
          <w:szCs w:val="17"/>
          <w:lang w:val="en-GB"/>
        </w:rPr>
        <w:t xml:space="preserve"> 2019, https://www.statista.com/statistics/275913/air-cargo-volume-in-china/</w:t>
      </w:r>
      <w:r w:rsidR="00247489">
        <w:rPr>
          <w:rFonts w:ascii="Arial" w:hAnsi="Arial" w:cs="Arial"/>
          <w:sz w:val="17"/>
          <w:szCs w:val="17"/>
          <w:lang w:val="en-GB"/>
        </w:rPr>
        <w:t>.</w:t>
      </w:r>
    </w:p>
    <w:p w14:paraId="00FEF17B" w14:textId="77777777" w:rsidR="00F7486B" w:rsidRPr="00D117D6" w:rsidRDefault="00F7486B" w:rsidP="00F7486B">
      <w:pPr>
        <w:jc w:val="center"/>
        <w:rPr>
          <w:rFonts w:ascii="Arial" w:hAnsi="Arial" w:cs="Arial"/>
          <w:b/>
          <w:bCs/>
          <w:sz w:val="8"/>
          <w:szCs w:val="8"/>
          <w:lang w:val="en-GB"/>
        </w:rPr>
      </w:pPr>
    </w:p>
    <w:p w14:paraId="4F82AD36" w14:textId="5B0204B1" w:rsidR="00F7486B" w:rsidRDefault="00F7486B" w:rsidP="00F7486B">
      <w:pPr>
        <w:jc w:val="center"/>
        <w:rPr>
          <w:rFonts w:ascii="Arial" w:hAnsi="Arial" w:cs="Arial"/>
          <w:b/>
          <w:bCs/>
          <w:lang w:val="en-GB"/>
        </w:rPr>
      </w:pPr>
    </w:p>
    <w:p w14:paraId="777AD423" w14:textId="77777777" w:rsidR="00722C15" w:rsidRPr="00D117D6" w:rsidRDefault="00722C15" w:rsidP="00F7486B">
      <w:pPr>
        <w:jc w:val="center"/>
        <w:rPr>
          <w:rFonts w:ascii="Arial" w:hAnsi="Arial" w:cs="Arial"/>
          <w:b/>
          <w:bCs/>
          <w:lang w:val="en-GB"/>
        </w:rPr>
      </w:pPr>
    </w:p>
    <w:p w14:paraId="2BDE37DA" w14:textId="02E34646" w:rsidR="00F7486B" w:rsidRPr="00D117D6" w:rsidRDefault="00F7486B" w:rsidP="00F7486B">
      <w:pPr>
        <w:jc w:val="center"/>
        <w:rPr>
          <w:rFonts w:ascii="Arial" w:hAnsi="Arial" w:cs="Arial"/>
          <w:b/>
          <w:bCs/>
          <w:lang w:val="en-GB"/>
        </w:rPr>
      </w:pPr>
      <w:r w:rsidRPr="00D117D6">
        <w:rPr>
          <w:rFonts w:ascii="Arial" w:hAnsi="Arial" w:cs="Arial"/>
          <w:b/>
          <w:bCs/>
          <w:lang w:val="en-GB"/>
        </w:rPr>
        <w:t xml:space="preserve">EXHIBIT 9: SATS </w:t>
      </w:r>
      <w:r w:rsidR="00722C15">
        <w:rPr>
          <w:rFonts w:ascii="Arial" w:hAnsi="Arial" w:cs="Arial"/>
          <w:b/>
          <w:bCs/>
          <w:lang w:val="en-GB"/>
        </w:rPr>
        <w:t xml:space="preserve">LTD. </w:t>
      </w:r>
      <w:r w:rsidRPr="00D117D6">
        <w:rPr>
          <w:rFonts w:ascii="Arial" w:hAnsi="Arial" w:cs="Arial"/>
          <w:b/>
          <w:bCs/>
          <w:lang w:val="en-GB"/>
        </w:rPr>
        <w:t>REVENUE IN JAPAN</w:t>
      </w:r>
      <w:r w:rsidR="00722C15">
        <w:rPr>
          <w:rFonts w:ascii="Arial" w:hAnsi="Arial" w:cs="Arial"/>
          <w:b/>
          <w:bCs/>
          <w:lang w:val="en-GB"/>
        </w:rPr>
        <w:t xml:space="preserve">, </w:t>
      </w:r>
      <w:r w:rsidRPr="00D117D6">
        <w:rPr>
          <w:rFonts w:ascii="Arial" w:hAnsi="Arial" w:cs="Arial"/>
          <w:b/>
          <w:bCs/>
          <w:lang w:val="en-GB"/>
        </w:rPr>
        <w:t>2013</w:t>
      </w:r>
      <w:r w:rsidR="00722C15">
        <w:rPr>
          <w:rFonts w:ascii="Arial" w:hAnsi="Arial" w:cs="Arial"/>
          <w:b/>
          <w:bCs/>
          <w:lang w:val="en-GB"/>
        </w:rPr>
        <w:t>–</w:t>
      </w:r>
      <w:r w:rsidRPr="00D117D6">
        <w:rPr>
          <w:rFonts w:ascii="Arial" w:hAnsi="Arial" w:cs="Arial"/>
          <w:b/>
          <w:bCs/>
          <w:lang w:val="en-GB"/>
        </w:rPr>
        <w:t>2019</w:t>
      </w:r>
    </w:p>
    <w:p w14:paraId="38318AAC" w14:textId="77777777" w:rsidR="00F7486B" w:rsidRPr="00D117D6" w:rsidRDefault="00F7486B" w:rsidP="00F7486B">
      <w:pPr>
        <w:jc w:val="center"/>
        <w:rPr>
          <w:lang w:val="en-GB"/>
        </w:rPr>
      </w:pPr>
    </w:p>
    <w:tbl>
      <w:tblPr>
        <w:tblStyle w:val="TableGrid"/>
        <w:tblpPr w:leftFromText="180" w:rightFromText="180" w:vertAnchor="text" w:horzAnchor="margin" w:tblpXSpec="center" w:tblpY="48"/>
        <w:tblW w:w="0" w:type="auto"/>
        <w:tblLook w:val="04A0" w:firstRow="1" w:lastRow="0" w:firstColumn="1" w:lastColumn="0" w:noHBand="0" w:noVBand="1"/>
        <w:tblCaption w:val="EXHIBIT 9"/>
        <w:tblDescription w:val="SATS LTD. REVENUE IN JAPAN, 2013–2019"/>
      </w:tblPr>
      <w:tblGrid>
        <w:gridCol w:w="1129"/>
        <w:gridCol w:w="1701"/>
      </w:tblGrid>
      <w:tr w:rsidR="00F7486B" w:rsidRPr="00D117D6" w14:paraId="2BD6A681" w14:textId="77777777" w:rsidTr="0030664C">
        <w:trPr>
          <w:tblHeader/>
        </w:trPr>
        <w:tc>
          <w:tcPr>
            <w:tcW w:w="1129" w:type="dxa"/>
          </w:tcPr>
          <w:p w14:paraId="07115D92" w14:textId="77777777" w:rsidR="00F7486B" w:rsidRPr="00D117D6" w:rsidRDefault="00F7486B" w:rsidP="00EB2548">
            <w:pPr>
              <w:rPr>
                <w:rFonts w:ascii="Arial" w:hAnsi="Arial" w:cs="Arial"/>
                <w:b/>
                <w:lang w:val="en-GB"/>
              </w:rPr>
            </w:pPr>
            <w:r w:rsidRPr="00D117D6">
              <w:rPr>
                <w:rFonts w:ascii="Arial" w:hAnsi="Arial" w:cs="Arial"/>
                <w:b/>
                <w:lang w:val="en-GB"/>
              </w:rPr>
              <w:t xml:space="preserve">Year </w:t>
            </w:r>
          </w:p>
        </w:tc>
        <w:tc>
          <w:tcPr>
            <w:tcW w:w="1701" w:type="dxa"/>
          </w:tcPr>
          <w:p w14:paraId="403F666E" w14:textId="77777777" w:rsidR="00F7486B" w:rsidRPr="00D117D6" w:rsidRDefault="00F7486B" w:rsidP="004A7CE8">
            <w:pPr>
              <w:jc w:val="center"/>
              <w:rPr>
                <w:rFonts w:ascii="Arial" w:hAnsi="Arial" w:cs="Arial"/>
                <w:b/>
                <w:lang w:val="en-GB"/>
              </w:rPr>
            </w:pPr>
            <w:r w:rsidRPr="00D117D6">
              <w:rPr>
                <w:rFonts w:ascii="Arial" w:hAnsi="Arial" w:cs="Arial"/>
                <w:b/>
                <w:lang w:val="en-GB"/>
              </w:rPr>
              <w:t>Total Revenue</w:t>
            </w:r>
          </w:p>
          <w:p w14:paraId="5B49733C" w14:textId="640B8BA6" w:rsidR="00F7486B" w:rsidRPr="00D117D6" w:rsidRDefault="00F7486B" w:rsidP="004A7CE8">
            <w:pPr>
              <w:jc w:val="center"/>
              <w:rPr>
                <w:rFonts w:ascii="Arial" w:hAnsi="Arial" w:cs="Arial"/>
                <w:b/>
                <w:lang w:val="en-GB"/>
              </w:rPr>
            </w:pPr>
            <w:r w:rsidRPr="00D117D6">
              <w:rPr>
                <w:rFonts w:ascii="Arial" w:hAnsi="Arial" w:cs="Arial"/>
                <w:b/>
                <w:lang w:val="en-GB"/>
              </w:rPr>
              <w:t>(SG$</w:t>
            </w:r>
            <w:r w:rsidR="00722C15">
              <w:rPr>
                <w:rFonts w:ascii="Arial" w:hAnsi="Arial" w:cs="Arial"/>
                <w:b/>
                <w:lang w:val="en-GB"/>
              </w:rPr>
              <w:t xml:space="preserve"> Millions</w:t>
            </w:r>
            <w:r w:rsidRPr="00D117D6">
              <w:rPr>
                <w:rFonts w:ascii="Arial" w:hAnsi="Arial" w:cs="Arial"/>
                <w:b/>
                <w:lang w:val="en-GB"/>
              </w:rPr>
              <w:t>)</w:t>
            </w:r>
          </w:p>
        </w:tc>
      </w:tr>
      <w:tr w:rsidR="00F7486B" w:rsidRPr="00D117D6" w14:paraId="1BF39214" w14:textId="77777777" w:rsidTr="0030664C">
        <w:trPr>
          <w:tblHeader/>
        </w:trPr>
        <w:tc>
          <w:tcPr>
            <w:tcW w:w="1129" w:type="dxa"/>
          </w:tcPr>
          <w:p w14:paraId="64BE774E" w14:textId="29F93D32" w:rsidR="00F7486B" w:rsidRPr="00D117D6" w:rsidRDefault="00F7486B" w:rsidP="00EB2548">
            <w:pPr>
              <w:rPr>
                <w:rFonts w:ascii="Arial" w:hAnsi="Arial" w:cs="Arial"/>
                <w:bCs/>
                <w:lang w:val="en-GB"/>
              </w:rPr>
            </w:pPr>
            <w:r w:rsidRPr="00D117D6">
              <w:rPr>
                <w:rFonts w:ascii="Arial" w:hAnsi="Arial" w:cs="Arial"/>
                <w:bCs/>
                <w:lang w:val="en-GB"/>
              </w:rPr>
              <w:t>2013</w:t>
            </w:r>
            <w:r w:rsidR="00722C15">
              <w:rPr>
                <w:rFonts w:ascii="Arial" w:hAnsi="Arial" w:cs="Arial"/>
                <w:bCs/>
                <w:lang w:val="en-GB"/>
              </w:rPr>
              <w:t>–</w:t>
            </w:r>
            <w:r w:rsidRPr="00D117D6">
              <w:rPr>
                <w:rFonts w:ascii="Arial" w:hAnsi="Arial" w:cs="Arial"/>
                <w:bCs/>
                <w:lang w:val="en-GB"/>
              </w:rPr>
              <w:t>14</w:t>
            </w:r>
          </w:p>
        </w:tc>
        <w:tc>
          <w:tcPr>
            <w:tcW w:w="1701" w:type="dxa"/>
          </w:tcPr>
          <w:p w14:paraId="79F3E05F" w14:textId="77777777" w:rsidR="00F7486B" w:rsidRPr="00D117D6" w:rsidRDefault="00F7486B" w:rsidP="00EB2548">
            <w:pPr>
              <w:jc w:val="center"/>
              <w:rPr>
                <w:rFonts w:ascii="Arial" w:hAnsi="Arial" w:cs="Arial"/>
                <w:bCs/>
                <w:lang w:val="en-GB"/>
              </w:rPr>
            </w:pPr>
            <w:r w:rsidRPr="00D117D6">
              <w:rPr>
                <w:rFonts w:ascii="Arial" w:hAnsi="Arial" w:cs="Arial"/>
                <w:bCs/>
                <w:lang w:val="en-GB"/>
              </w:rPr>
              <w:t>268.1</w:t>
            </w:r>
          </w:p>
        </w:tc>
      </w:tr>
      <w:tr w:rsidR="00F7486B" w:rsidRPr="00D117D6" w14:paraId="0D253047" w14:textId="77777777" w:rsidTr="0030664C">
        <w:trPr>
          <w:tblHeader/>
        </w:trPr>
        <w:tc>
          <w:tcPr>
            <w:tcW w:w="1129" w:type="dxa"/>
          </w:tcPr>
          <w:p w14:paraId="6A37BC97" w14:textId="59AD6222" w:rsidR="00F7486B" w:rsidRPr="00D117D6" w:rsidRDefault="00F7486B" w:rsidP="00EB2548">
            <w:pPr>
              <w:rPr>
                <w:rFonts w:ascii="Arial" w:hAnsi="Arial" w:cs="Arial"/>
                <w:bCs/>
                <w:lang w:val="en-GB"/>
              </w:rPr>
            </w:pPr>
            <w:r w:rsidRPr="00D117D6">
              <w:rPr>
                <w:rFonts w:ascii="Arial" w:hAnsi="Arial" w:cs="Arial"/>
                <w:bCs/>
                <w:lang w:val="en-GB"/>
              </w:rPr>
              <w:t>2014</w:t>
            </w:r>
            <w:r w:rsidR="00722C15">
              <w:rPr>
                <w:rFonts w:ascii="Arial" w:hAnsi="Arial" w:cs="Arial"/>
                <w:bCs/>
                <w:lang w:val="en-GB"/>
              </w:rPr>
              <w:t>–</w:t>
            </w:r>
            <w:r w:rsidRPr="00D117D6">
              <w:rPr>
                <w:rFonts w:ascii="Arial" w:hAnsi="Arial" w:cs="Arial"/>
                <w:bCs/>
                <w:lang w:val="en-GB"/>
              </w:rPr>
              <w:t>15</w:t>
            </w:r>
          </w:p>
        </w:tc>
        <w:tc>
          <w:tcPr>
            <w:tcW w:w="1701" w:type="dxa"/>
          </w:tcPr>
          <w:p w14:paraId="774AD6F3" w14:textId="77777777" w:rsidR="00F7486B" w:rsidRPr="00D117D6" w:rsidRDefault="00F7486B" w:rsidP="00EB2548">
            <w:pPr>
              <w:jc w:val="center"/>
              <w:rPr>
                <w:rFonts w:ascii="Arial" w:hAnsi="Arial" w:cs="Arial"/>
                <w:bCs/>
                <w:lang w:val="en-GB"/>
              </w:rPr>
            </w:pPr>
            <w:r w:rsidRPr="00D117D6">
              <w:rPr>
                <w:rFonts w:ascii="Arial" w:hAnsi="Arial" w:cs="Arial"/>
                <w:bCs/>
                <w:lang w:val="en-GB"/>
              </w:rPr>
              <w:t>220.9</w:t>
            </w:r>
          </w:p>
        </w:tc>
      </w:tr>
      <w:tr w:rsidR="00F7486B" w:rsidRPr="00D117D6" w14:paraId="062F1CFC" w14:textId="77777777" w:rsidTr="0030664C">
        <w:trPr>
          <w:tblHeader/>
        </w:trPr>
        <w:tc>
          <w:tcPr>
            <w:tcW w:w="1129" w:type="dxa"/>
          </w:tcPr>
          <w:p w14:paraId="66B9BAFA" w14:textId="6B9A8A51" w:rsidR="00F7486B" w:rsidRPr="00D117D6" w:rsidRDefault="00F7486B" w:rsidP="00EB2548">
            <w:pPr>
              <w:rPr>
                <w:rFonts w:ascii="Arial" w:hAnsi="Arial" w:cs="Arial"/>
                <w:bCs/>
                <w:lang w:val="en-GB"/>
              </w:rPr>
            </w:pPr>
            <w:r w:rsidRPr="00D117D6">
              <w:rPr>
                <w:rFonts w:ascii="Arial" w:hAnsi="Arial" w:cs="Arial"/>
                <w:bCs/>
                <w:lang w:val="en-GB"/>
              </w:rPr>
              <w:t>2015</w:t>
            </w:r>
            <w:r w:rsidR="00722C15">
              <w:rPr>
                <w:rFonts w:ascii="Arial" w:hAnsi="Arial" w:cs="Arial"/>
                <w:bCs/>
                <w:lang w:val="en-GB"/>
              </w:rPr>
              <w:t>–</w:t>
            </w:r>
            <w:r w:rsidRPr="00D117D6">
              <w:rPr>
                <w:rFonts w:ascii="Arial" w:hAnsi="Arial" w:cs="Arial"/>
                <w:bCs/>
                <w:lang w:val="en-GB"/>
              </w:rPr>
              <w:t>16</w:t>
            </w:r>
          </w:p>
        </w:tc>
        <w:tc>
          <w:tcPr>
            <w:tcW w:w="1701" w:type="dxa"/>
          </w:tcPr>
          <w:p w14:paraId="7E4708F2" w14:textId="77777777" w:rsidR="00F7486B" w:rsidRPr="00D117D6" w:rsidRDefault="00F7486B" w:rsidP="00EB2548">
            <w:pPr>
              <w:jc w:val="center"/>
              <w:rPr>
                <w:rFonts w:ascii="Arial" w:hAnsi="Arial" w:cs="Arial"/>
                <w:bCs/>
                <w:lang w:val="en-GB"/>
              </w:rPr>
            </w:pPr>
            <w:r w:rsidRPr="00D117D6">
              <w:rPr>
                <w:rFonts w:ascii="Arial" w:hAnsi="Arial" w:cs="Arial"/>
                <w:bCs/>
                <w:lang w:val="en-GB"/>
              </w:rPr>
              <w:t>221.7</w:t>
            </w:r>
          </w:p>
        </w:tc>
      </w:tr>
      <w:tr w:rsidR="00F7486B" w:rsidRPr="00D117D6" w14:paraId="6859A91E" w14:textId="77777777" w:rsidTr="0030664C">
        <w:trPr>
          <w:tblHeader/>
        </w:trPr>
        <w:tc>
          <w:tcPr>
            <w:tcW w:w="1129" w:type="dxa"/>
          </w:tcPr>
          <w:p w14:paraId="5877A6C5" w14:textId="22B928B5" w:rsidR="00F7486B" w:rsidRPr="00D117D6" w:rsidRDefault="00F7486B" w:rsidP="00EB2548">
            <w:pPr>
              <w:rPr>
                <w:rFonts w:ascii="Arial" w:hAnsi="Arial" w:cs="Arial"/>
                <w:bCs/>
                <w:lang w:val="en-GB"/>
              </w:rPr>
            </w:pPr>
            <w:r w:rsidRPr="00D117D6">
              <w:rPr>
                <w:rFonts w:ascii="Arial" w:hAnsi="Arial" w:cs="Arial"/>
                <w:bCs/>
                <w:lang w:val="en-GB"/>
              </w:rPr>
              <w:t>2016</w:t>
            </w:r>
            <w:r w:rsidR="00722C15">
              <w:rPr>
                <w:rFonts w:ascii="Arial" w:hAnsi="Arial" w:cs="Arial"/>
                <w:bCs/>
                <w:lang w:val="en-GB"/>
              </w:rPr>
              <w:t>–</w:t>
            </w:r>
            <w:r w:rsidRPr="00D117D6">
              <w:rPr>
                <w:rFonts w:ascii="Arial" w:hAnsi="Arial" w:cs="Arial"/>
                <w:bCs/>
                <w:lang w:val="en-GB"/>
              </w:rPr>
              <w:t>17</w:t>
            </w:r>
          </w:p>
        </w:tc>
        <w:tc>
          <w:tcPr>
            <w:tcW w:w="1701" w:type="dxa"/>
          </w:tcPr>
          <w:p w14:paraId="0145A864" w14:textId="77777777" w:rsidR="00F7486B" w:rsidRPr="00D117D6" w:rsidRDefault="00F7486B" w:rsidP="00EB2548">
            <w:pPr>
              <w:jc w:val="center"/>
              <w:rPr>
                <w:rFonts w:ascii="Arial" w:hAnsi="Arial" w:cs="Arial"/>
                <w:bCs/>
                <w:lang w:val="en-GB"/>
              </w:rPr>
            </w:pPr>
            <w:r w:rsidRPr="00D117D6">
              <w:rPr>
                <w:rFonts w:ascii="Arial" w:hAnsi="Arial" w:cs="Arial"/>
                <w:bCs/>
                <w:lang w:val="en-GB"/>
              </w:rPr>
              <w:t>259.5</w:t>
            </w:r>
          </w:p>
        </w:tc>
      </w:tr>
      <w:tr w:rsidR="00F7486B" w:rsidRPr="00D117D6" w14:paraId="199B2719" w14:textId="77777777" w:rsidTr="0030664C">
        <w:trPr>
          <w:tblHeader/>
        </w:trPr>
        <w:tc>
          <w:tcPr>
            <w:tcW w:w="1129" w:type="dxa"/>
          </w:tcPr>
          <w:p w14:paraId="52B9C4DB" w14:textId="345B7528" w:rsidR="00F7486B" w:rsidRPr="00D117D6" w:rsidRDefault="00F7486B" w:rsidP="00EB2548">
            <w:pPr>
              <w:rPr>
                <w:rFonts w:ascii="Arial" w:hAnsi="Arial" w:cs="Arial"/>
                <w:bCs/>
                <w:lang w:val="en-GB"/>
              </w:rPr>
            </w:pPr>
            <w:r w:rsidRPr="00D117D6">
              <w:rPr>
                <w:rFonts w:ascii="Arial" w:hAnsi="Arial" w:cs="Arial"/>
                <w:bCs/>
                <w:lang w:val="en-GB"/>
              </w:rPr>
              <w:t>2017</w:t>
            </w:r>
            <w:r w:rsidR="00722C15">
              <w:rPr>
                <w:rFonts w:ascii="Arial" w:hAnsi="Arial" w:cs="Arial"/>
                <w:bCs/>
                <w:lang w:val="en-GB"/>
              </w:rPr>
              <w:t>–</w:t>
            </w:r>
            <w:r w:rsidRPr="00D117D6">
              <w:rPr>
                <w:rFonts w:ascii="Arial" w:hAnsi="Arial" w:cs="Arial"/>
                <w:bCs/>
                <w:lang w:val="en-GB"/>
              </w:rPr>
              <w:t>18</w:t>
            </w:r>
          </w:p>
        </w:tc>
        <w:tc>
          <w:tcPr>
            <w:tcW w:w="1701" w:type="dxa"/>
          </w:tcPr>
          <w:p w14:paraId="3BC1EC83" w14:textId="77777777" w:rsidR="00F7486B" w:rsidRPr="00D117D6" w:rsidRDefault="00F7486B" w:rsidP="00EB2548">
            <w:pPr>
              <w:jc w:val="center"/>
              <w:rPr>
                <w:rFonts w:ascii="Arial" w:hAnsi="Arial" w:cs="Arial"/>
                <w:bCs/>
                <w:lang w:val="en-GB"/>
              </w:rPr>
            </w:pPr>
            <w:r w:rsidRPr="00D117D6">
              <w:rPr>
                <w:rFonts w:ascii="Arial" w:hAnsi="Arial" w:cs="Arial"/>
                <w:bCs/>
                <w:lang w:val="en-GB"/>
              </w:rPr>
              <w:t>239.4</w:t>
            </w:r>
          </w:p>
        </w:tc>
      </w:tr>
      <w:tr w:rsidR="00F7486B" w:rsidRPr="00D117D6" w14:paraId="2230F49F" w14:textId="77777777" w:rsidTr="0030664C">
        <w:trPr>
          <w:tblHeader/>
        </w:trPr>
        <w:tc>
          <w:tcPr>
            <w:tcW w:w="1129" w:type="dxa"/>
          </w:tcPr>
          <w:p w14:paraId="7037A4D3" w14:textId="33AA4B5C" w:rsidR="00F7486B" w:rsidRPr="00D117D6" w:rsidRDefault="00F7486B" w:rsidP="00EB2548">
            <w:pPr>
              <w:rPr>
                <w:rFonts w:ascii="Arial" w:hAnsi="Arial" w:cs="Arial"/>
                <w:bCs/>
                <w:lang w:val="en-GB"/>
              </w:rPr>
            </w:pPr>
            <w:r w:rsidRPr="00D117D6">
              <w:rPr>
                <w:rFonts w:ascii="Arial" w:hAnsi="Arial" w:cs="Arial"/>
                <w:bCs/>
                <w:lang w:val="en-GB"/>
              </w:rPr>
              <w:t>2018</w:t>
            </w:r>
            <w:r w:rsidR="00722C15">
              <w:rPr>
                <w:rFonts w:ascii="Arial" w:hAnsi="Arial" w:cs="Arial"/>
                <w:bCs/>
                <w:lang w:val="en-GB"/>
              </w:rPr>
              <w:t>–</w:t>
            </w:r>
            <w:r w:rsidRPr="00D117D6">
              <w:rPr>
                <w:rFonts w:ascii="Arial" w:hAnsi="Arial" w:cs="Arial"/>
                <w:bCs/>
                <w:lang w:val="en-GB"/>
              </w:rPr>
              <w:t>19</w:t>
            </w:r>
          </w:p>
        </w:tc>
        <w:tc>
          <w:tcPr>
            <w:tcW w:w="1701" w:type="dxa"/>
          </w:tcPr>
          <w:p w14:paraId="21BB1C14" w14:textId="77777777" w:rsidR="00F7486B" w:rsidRPr="00D117D6" w:rsidRDefault="00F7486B" w:rsidP="00EB2548">
            <w:pPr>
              <w:jc w:val="center"/>
              <w:rPr>
                <w:rFonts w:ascii="Arial" w:hAnsi="Arial" w:cs="Arial"/>
                <w:bCs/>
                <w:lang w:val="en-GB"/>
              </w:rPr>
            </w:pPr>
            <w:r w:rsidRPr="00D117D6">
              <w:rPr>
                <w:rFonts w:ascii="Arial" w:hAnsi="Arial" w:cs="Arial"/>
                <w:bCs/>
                <w:lang w:val="en-GB"/>
              </w:rPr>
              <w:t>257.0</w:t>
            </w:r>
          </w:p>
        </w:tc>
      </w:tr>
    </w:tbl>
    <w:p w14:paraId="4B254AEF" w14:textId="77777777" w:rsidR="00F7486B" w:rsidRPr="00D117D6" w:rsidRDefault="00F7486B" w:rsidP="00F7486B">
      <w:pPr>
        <w:jc w:val="center"/>
        <w:rPr>
          <w:rFonts w:ascii="Arial" w:hAnsi="Arial" w:cs="Arial"/>
          <w:b/>
          <w:bCs/>
          <w:lang w:val="en-GB"/>
        </w:rPr>
      </w:pPr>
    </w:p>
    <w:p w14:paraId="70B87E20" w14:textId="77777777" w:rsidR="00F7486B" w:rsidRPr="00D117D6" w:rsidRDefault="00F7486B" w:rsidP="00F7486B">
      <w:pPr>
        <w:jc w:val="center"/>
        <w:rPr>
          <w:rFonts w:ascii="Arial" w:hAnsi="Arial" w:cs="Arial"/>
          <w:b/>
          <w:bCs/>
          <w:lang w:val="en-GB"/>
        </w:rPr>
      </w:pPr>
    </w:p>
    <w:p w14:paraId="70CB8084" w14:textId="77777777" w:rsidR="00F7486B" w:rsidRPr="00D117D6" w:rsidRDefault="00F7486B" w:rsidP="00F7486B">
      <w:pPr>
        <w:jc w:val="center"/>
        <w:rPr>
          <w:rFonts w:ascii="Arial" w:hAnsi="Arial" w:cs="Arial"/>
          <w:b/>
          <w:bCs/>
          <w:lang w:val="en-GB"/>
        </w:rPr>
      </w:pPr>
    </w:p>
    <w:p w14:paraId="4A0E4190" w14:textId="77777777" w:rsidR="00F7486B" w:rsidRPr="00D117D6" w:rsidRDefault="00F7486B" w:rsidP="00F7486B">
      <w:pPr>
        <w:jc w:val="center"/>
        <w:rPr>
          <w:rFonts w:ascii="Arial" w:hAnsi="Arial" w:cs="Arial"/>
          <w:b/>
          <w:bCs/>
          <w:lang w:val="en-GB"/>
        </w:rPr>
      </w:pPr>
    </w:p>
    <w:p w14:paraId="1FF603A9" w14:textId="77777777" w:rsidR="00F7486B" w:rsidRPr="00D117D6" w:rsidRDefault="00F7486B" w:rsidP="00F7486B">
      <w:pPr>
        <w:jc w:val="center"/>
        <w:rPr>
          <w:rFonts w:ascii="Arial" w:hAnsi="Arial" w:cs="Arial"/>
          <w:b/>
          <w:bCs/>
          <w:lang w:val="en-GB"/>
        </w:rPr>
      </w:pPr>
    </w:p>
    <w:p w14:paraId="3BF735C6" w14:textId="77777777" w:rsidR="00F7486B" w:rsidRPr="00D117D6" w:rsidRDefault="00F7486B" w:rsidP="00F7486B">
      <w:pPr>
        <w:jc w:val="center"/>
        <w:rPr>
          <w:rFonts w:ascii="Arial" w:hAnsi="Arial" w:cs="Arial"/>
          <w:b/>
          <w:bCs/>
          <w:lang w:val="en-GB"/>
        </w:rPr>
      </w:pPr>
    </w:p>
    <w:p w14:paraId="15D6BC6E" w14:textId="77777777" w:rsidR="00F7486B" w:rsidRPr="00D117D6" w:rsidRDefault="00F7486B" w:rsidP="00F7486B">
      <w:pPr>
        <w:jc w:val="center"/>
        <w:rPr>
          <w:rFonts w:ascii="Arial" w:hAnsi="Arial" w:cs="Arial"/>
          <w:b/>
          <w:bCs/>
          <w:lang w:val="en-GB"/>
        </w:rPr>
      </w:pPr>
    </w:p>
    <w:p w14:paraId="6A079715" w14:textId="77777777" w:rsidR="00F7486B" w:rsidRPr="00D117D6" w:rsidRDefault="00F7486B" w:rsidP="00F7486B">
      <w:pPr>
        <w:jc w:val="center"/>
        <w:rPr>
          <w:rFonts w:ascii="Arial" w:hAnsi="Arial" w:cs="Arial"/>
          <w:b/>
          <w:bCs/>
          <w:lang w:val="en-GB"/>
        </w:rPr>
      </w:pPr>
    </w:p>
    <w:p w14:paraId="403BF9A3" w14:textId="77777777" w:rsidR="00F7486B" w:rsidRPr="00D117D6" w:rsidRDefault="00F7486B" w:rsidP="00F7486B">
      <w:pPr>
        <w:jc w:val="center"/>
        <w:rPr>
          <w:rFonts w:ascii="Arial" w:hAnsi="Arial" w:cs="Arial"/>
          <w:b/>
          <w:bCs/>
          <w:lang w:val="en-GB"/>
        </w:rPr>
      </w:pPr>
    </w:p>
    <w:p w14:paraId="7F11BF9B" w14:textId="2719DB5F" w:rsidR="00F7486B" w:rsidRPr="00EB2548" w:rsidRDefault="00F7486B" w:rsidP="00EB2548">
      <w:pPr>
        <w:rPr>
          <w:rFonts w:ascii="Arial" w:hAnsi="Arial" w:cs="Arial"/>
          <w:b/>
          <w:bCs/>
          <w:sz w:val="17"/>
          <w:szCs w:val="17"/>
          <w:lang w:val="en-GB"/>
        </w:rPr>
      </w:pPr>
    </w:p>
    <w:p w14:paraId="0716B8A9" w14:textId="4BA0C981" w:rsidR="00722C15" w:rsidRPr="008A41F3" w:rsidRDefault="00722C15" w:rsidP="00F7486B">
      <w:pPr>
        <w:rPr>
          <w:rFonts w:ascii="Arial" w:hAnsi="Arial" w:cs="Arial"/>
          <w:sz w:val="17"/>
          <w:szCs w:val="17"/>
          <w:lang w:val="en-GB"/>
        </w:rPr>
      </w:pPr>
      <w:r w:rsidRPr="008A41F3">
        <w:rPr>
          <w:rFonts w:ascii="Arial" w:hAnsi="Arial" w:cs="Arial"/>
          <w:sz w:val="17"/>
          <w:szCs w:val="17"/>
          <w:lang w:val="en-GB"/>
        </w:rPr>
        <w:t xml:space="preserve">Note: </w:t>
      </w:r>
      <w:r w:rsidR="00B35314" w:rsidRPr="00EB2548">
        <w:rPr>
          <w:rFonts w:ascii="Arial" w:hAnsi="Arial" w:cs="Arial"/>
          <w:sz w:val="17"/>
          <w:szCs w:val="17"/>
          <w:lang w:val="en-GB"/>
        </w:rPr>
        <w:t>SG$ = SGD = Singapore dollar; US$1 = SG$1.3819 on August 5, 2019.</w:t>
      </w:r>
    </w:p>
    <w:p w14:paraId="357D83D7" w14:textId="544CC6DF" w:rsidR="00722C15" w:rsidRPr="008E46A6" w:rsidRDefault="00F7486B" w:rsidP="008E46A6">
      <w:pPr>
        <w:jc w:val="both"/>
        <w:rPr>
          <w:rFonts w:ascii="Arial" w:hAnsi="Arial" w:cs="Arial"/>
          <w:spacing w:val="-4"/>
          <w:sz w:val="17"/>
          <w:szCs w:val="17"/>
          <w:lang w:val="en-GB"/>
        </w:rPr>
      </w:pPr>
      <w:r w:rsidRPr="008E46A6">
        <w:rPr>
          <w:rFonts w:ascii="Arial" w:hAnsi="Arial" w:cs="Arial"/>
          <w:spacing w:val="-4"/>
          <w:sz w:val="17"/>
          <w:szCs w:val="17"/>
          <w:lang w:val="en-GB"/>
        </w:rPr>
        <w:t xml:space="preserve">Source: Created by </w:t>
      </w:r>
      <w:r w:rsidR="00722C15" w:rsidRPr="008E46A6">
        <w:rPr>
          <w:rFonts w:ascii="Arial" w:hAnsi="Arial" w:cs="Arial"/>
          <w:spacing w:val="-4"/>
          <w:sz w:val="17"/>
          <w:szCs w:val="17"/>
          <w:lang w:val="en-GB"/>
        </w:rPr>
        <w:t xml:space="preserve">the </w:t>
      </w:r>
      <w:r w:rsidRPr="008E46A6">
        <w:rPr>
          <w:rFonts w:ascii="Arial" w:hAnsi="Arial" w:cs="Arial"/>
          <w:spacing w:val="-4"/>
          <w:sz w:val="17"/>
          <w:szCs w:val="17"/>
          <w:lang w:val="en-GB"/>
        </w:rPr>
        <w:t xml:space="preserve">authors based on data from </w:t>
      </w:r>
      <w:r w:rsidR="00586937" w:rsidRPr="008E46A6">
        <w:rPr>
          <w:rFonts w:ascii="Arial" w:hAnsi="Arial" w:cs="Arial"/>
          <w:spacing w:val="-4"/>
          <w:sz w:val="17"/>
          <w:szCs w:val="17"/>
          <w:lang w:val="en-GB"/>
        </w:rPr>
        <w:t xml:space="preserve">SATS Ltd., </w:t>
      </w:r>
      <w:r w:rsidR="00586937" w:rsidRPr="008E46A6">
        <w:rPr>
          <w:rFonts w:ascii="Arial" w:hAnsi="Arial" w:cs="Arial"/>
          <w:i/>
          <w:iCs/>
          <w:spacing w:val="-4"/>
          <w:sz w:val="17"/>
          <w:szCs w:val="17"/>
          <w:lang w:val="en-GB"/>
        </w:rPr>
        <w:t>Capital Markets Day</w:t>
      </w:r>
      <w:r w:rsidR="00586937" w:rsidRPr="008E46A6">
        <w:rPr>
          <w:rFonts w:ascii="Arial" w:hAnsi="Arial" w:cs="Arial"/>
          <w:spacing w:val="-4"/>
          <w:sz w:val="17"/>
          <w:szCs w:val="17"/>
          <w:lang w:val="en-GB"/>
        </w:rPr>
        <w:t>, May 30, 2019, accessed May 31, 2019, https://www.sats.com.sg/docs/default-source/financial-reports/road-shows/2019-2020/preso-cmd-30may19.pdf?sfvrsn=2cf1f37f_4.</w:t>
      </w:r>
    </w:p>
    <w:p w14:paraId="1B2CF2AE" w14:textId="22E19C8A" w:rsidR="00F7486B" w:rsidRPr="00D117D6" w:rsidRDefault="00F7486B" w:rsidP="00F7486B">
      <w:pPr>
        <w:rPr>
          <w:rFonts w:ascii="Arial" w:hAnsi="Arial" w:cs="Arial"/>
          <w:sz w:val="17"/>
          <w:szCs w:val="17"/>
          <w:lang w:val="en-GB"/>
        </w:rPr>
      </w:pPr>
    </w:p>
    <w:p w14:paraId="2666C72B" w14:textId="77777777" w:rsidR="00F7486B" w:rsidRPr="00D117D6" w:rsidRDefault="00F7486B" w:rsidP="00F7486B">
      <w:pPr>
        <w:rPr>
          <w:rFonts w:ascii="Arial" w:hAnsi="Arial" w:cs="Arial"/>
          <w:sz w:val="17"/>
          <w:szCs w:val="17"/>
          <w:lang w:val="en-GB"/>
        </w:rPr>
      </w:pPr>
    </w:p>
    <w:p w14:paraId="17E57583" w14:textId="77777777" w:rsidR="00F7486B" w:rsidRPr="00D117D6" w:rsidRDefault="00F7486B">
      <w:pPr>
        <w:spacing w:after="200" w:line="276" w:lineRule="auto"/>
        <w:rPr>
          <w:rFonts w:ascii="Arial" w:hAnsi="Arial" w:cs="Arial"/>
          <w:b/>
          <w:bCs/>
          <w:lang w:val="en-GB"/>
        </w:rPr>
      </w:pPr>
      <w:r w:rsidRPr="00D117D6">
        <w:rPr>
          <w:rFonts w:ascii="Arial" w:hAnsi="Arial" w:cs="Arial"/>
          <w:b/>
          <w:bCs/>
          <w:lang w:val="en-GB"/>
        </w:rPr>
        <w:br w:type="page"/>
      </w:r>
    </w:p>
    <w:p w14:paraId="4FF37AD0" w14:textId="5A4595A3" w:rsidR="00F7486B" w:rsidRPr="00D117D6" w:rsidRDefault="00F7486B" w:rsidP="00F7486B">
      <w:pPr>
        <w:jc w:val="center"/>
        <w:rPr>
          <w:rFonts w:ascii="Arial" w:hAnsi="Arial" w:cs="Arial"/>
          <w:b/>
          <w:bCs/>
          <w:lang w:val="en-GB"/>
        </w:rPr>
      </w:pPr>
      <w:r w:rsidRPr="00D117D6">
        <w:rPr>
          <w:rFonts w:ascii="Arial" w:hAnsi="Arial" w:cs="Arial"/>
          <w:b/>
          <w:bCs/>
          <w:lang w:val="en-GB"/>
        </w:rPr>
        <w:lastRenderedPageBreak/>
        <w:t xml:space="preserve">EXHIBIT 10: CARGO VOLUME GROWTH IN </w:t>
      </w:r>
      <w:r w:rsidR="00B03A71">
        <w:rPr>
          <w:rFonts w:ascii="Arial" w:hAnsi="Arial" w:cs="Arial"/>
          <w:b/>
          <w:bCs/>
          <w:lang w:val="en-GB"/>
        </w:rPr>
        <w:t>JAPAN,</w:t>
      </w:r>
      <w:r w:rsidR="00B03A71" w:rsidRPr="00D117D6">
        <w:rPr>
          <w:rFonts w:ascii="Arial" w:hAnsi="Arial" w:cs="Arial"/>
          <w:b/>
          <w:bCs/>
          <w:lang w:val="en-GB"/>
        </w:rPr>
        <w:t xml:space="preserve"> </w:t>
      </w:r>
      <w:r w:rsidRPr="00D117D6">
        <w:rPr>
          <w:rFonts w:ascii="Arial" w:hAnsi="Arial" w:cs="Arial"/>
          <w:b/>
          <w:bCs/>
          <w:lang w:val="en-GB"/>
        </w:rPr>
        <w:t>2011</w:t>
      </w:r>
      <w:r w:rsidR="00B03A71">
        <w:rPr>
          <w:rFonts w:ascii="Arial" w:hAnsi="Arial" w:cs="Arial"/>
          <w:b/>
          <w:bCs/>
          <w:lang w:val="en-GB"/>
        </w:rPr>
        <w:t>–</w:t>
      </w:r>
      <w:r w:rsidRPr="00D117D6">
        <w:rPr>
          <w:rFonts w:ascii="Arial" w:hAnsi="Arial" w:cs="Arial"/>
          <w:b/>
          <w:bCs/>
          <w:lang w:val="en-GB"/>
        </w:rPr>
        <w:t>2018</w:t>
      </w:r>
    </w:p>
    <w:p w14:paraId="3C572969" w14:textId="77777777" w:rsidR="00F7486B" w:rsidRPr="00D117D6" w:rsidRDefault="00F7486B" w:rsidP="00F7486B">
      <w:pPr>
        <w:jc w:val="center"/>
        <w:rPr>
          <w:rFonts w:ascii="Arial" w:hAnsi="Arial" w:cs="Arial"/>
          <w:b/>
          <w:bCs/>
          <w:lang w:val="en-GB"/>
        </w:rPr>
      </w:pPr>
    </w:p>
    <w:tbl>
      <w:tblPr>
        <w:tblStyle w:val="TableGrid"/>
        <w:tblW w:w="0" w:type="auto"/>
        <w:jc w:val="center"/>
        <w:tblLook w:val="04A0" w:firstRow="1" w:lastRow="0" w:firstColumn="1" w:lastColumn="0" w:noHBand="0" w:noVBand="1"/>
        <w:tblCaption w:val="EXHIBIT 10"/>
        <w:tblDescription w:val="CARGO VOLUME GROWTH IN JAPAN, 2011–2018"/>
      </w:tblPr>
      <w:tblGrid>
        <w:gridCol w:w="715"/>
        <w:gridCol w:w="3065"/>
        <w:gridCol w:w="2425"/>
      </w:tblGrid>
      <w:tr w:rsidR="00F7486B" w:rsidRPr="00D117D6" w14:paraId="232A77EC" w14:textId="77777777" w:rsidTr="001C4464">
        <w:trPr>
          <w:jc w:val="center"/>
        </w:trPr>
        <w:tc>
          <w:tcPr>
            <w:tcW w:w="715" w:type="dxa"/>
          </w:tcPr>
          <w:p w14:paraId="4ABB4E43" w14:textId="77777777" w:rsidR="00F7486B" w:rsidRPr="00D117D6" w:rsidRDefault="00F7486B" w:rsidP="00EB2548">
            <w:pPr>
              <w:rPr>
                <w:rFonts w:ascii="Arial" w:hAnsi="Arial" w:cs="Arial"/>
                <w:b/>
                <w:bCs/>
                <w:lang w:val="en-GB"/>
              </w:rPr>
            </w:pPr>
            <w:r w:rsidRPr="00D117D6">
              <w:rPr>
                <w:rFonts w:ascii="Arial" w:hAnsi="Arial" w:cs="Arial"/>
                <w:b/>
                <w:bCs/>
                <w:lang w:val="en-GB"/>
              </w:rPr>
              <w:t>Year</w:t>
            </w:r>
          </w:p>
        </w:tc>
        <w:tc>
          <w:tcPr>
            <w:tcW w:w="3065" w:type="dxa"/>
          </w:tcPr>
          <w:p w14:paraId="0EB62BDF" w14:textId="77777777" w:rsidR="00F7486B" w:rsidRPr="00D117D6" w:rsidRDefault="00F7486B">
            <w:pPr>
              <w:jc w:val="center"/>
              <w:rPr>
                <w:rFonts w:ascii="Arial" w:hAnsi="Arial" w:cs="Arial"/>
                <w:b/>
                <w:bCs/>
                <w:lang w:val="en-GB"/>
              </w:rPr>
            </w:pPr>
            <w:r w:rsidRPr="00D117D6">
              <w:rPr>
                <w:rFonts w:ascii="Arial" w:hAnsi="Arial" w:cs="Arial"/>
                <w:b/>
                <w:bCs/>
                <w:lang w:val="en-GB"/>
              </w:rPr>
              <w:t>Volume</w:t>
            </w:r>
          </w:p>
          <w:p w14:paraId="7DBDC115" w14:textId="3A8A8294" w:rsidR="00F7486B" w:rsidRPr="00D117D6" w:rsidRDefault="00F7486B">
            <w:pPr>
              <w:jc w:val="center"/>
              <w:rPr>
                <w:rFonts w:ascii="Arial" w:hAnsi="Arial" w:cs="Arial"/>
                <w:b/>
                <w:bCs/>
                <w:lang w:val="en-GB"/>
              </w:rPr>
            </w:pPr>
            <w:r w:rsidRPr="00D117D6">
              <w:rPr>
                <w:rFonts w:ascii="Arial" w:hAnsi="Arial" w:cs="Arial"/>
                <w:b/>
                <w:bCs/>
                <w:lang w:val="en-GB"/>
              </w:rPr>
              <w:t>(</w:t>
            </w:r>
            <w:r w:rsidR="00B03A71">
              <w:rPr>
                <w:rFonts w:ascii="Arial" w:hAnsi="Arial" w:cs="Arial"/>
                <w:b/>
                <w:bCs/>
                <w:lang w:val="en-GB"/>
              </w:rPr>
              <w:t>Millions of Metric Tons</w:t>
            </w:r>
            <w:r w:rsidRPr="00D117D6">
              <w:rPr>
                <w:rFonts w:ascii="Arial" w:hAnsi="Arial" w:cs="Arial"/>
                <w:b/>
                <w:bCs/>
                <w:lang w:val="en-GB"/>
              </w:rPr>
              <w:t>)</w:t>
            </w:r>
          </w:p>
        </w:tc>
        <w:tc>
          <w:tcPr>
            <w:tcW w:w="2425" w:type="dxa"/>
          </w:tcPr>
          <w:p w14:paraId="73A52FDF" w14:textId="61230329" w:rsidR="00F7486B" w:rsidRPr="00D117D6" w:rsidRDefault="00FD5D4D" w:rsidP="00FD5D4D">
            <w:pPr>
              <w:jc w:val="center"/>
              <w:rPr>
                <w:rFonts w:ascii="Arial" w:hAnsi="Arial" w:cs="Arial"/>
                <w:b/>
                <w:bCs/>
                <w:lang w:val="en-GB"/>
              </w:rPr>
            </w:pPr>
            <w:r w:rsidRPr="00FD5D4D">
              <w:rPr>
                <w:rFonts w:ascii="Arial" w:hAnsi="Arial" w:cs="Arial"/>
                <w:b/>
                <w:bCs/>
                <w:lang w:val="en-GB"/>
              </w:rPr>
              <w:t>Year-over-Year Growth</w:t>
            </w:r>
            <w:r w:rsidRPr="00FD5D4D" w:rsidDel="00FD5D4D">
              <w:rPr>
                <w:rFonts w:ascii="Arial" w:hAnsi="Arial" w:cs="Arial"/>
                <w:b/>
                <w:bCs/>
                <w:lang w:val="en-GB"/>
              </w:rPr>
              <w:t xml:space="preserve"> </w:t>
            </w:r>
            <w:r w:rsidR="00F7486B" w:rsidRPr="00D117D6">
              <w:rPr>
                <w:rFonts w:ascii="Arial" w:hAnsi="Arial" w:cs="Arial"/>
                <w:b/>
                <w:bCs/>
                <w:lang w:val="en-GB"/>
              </w:rPr>
              <w:t>(%)</w:t>
            </w:r>
          </w:p>
        </w:tc>
      </w:tr>
      <w:tr w:rsidR="00F7486B" w:rsidRPr="00D117D6" w14:paraId="4FB31FCF" w14:textId="77777777" w:rsidTr="001C4464">
        <w:trPr>
          <w:jc w:val="center"/>
        </w:trPr>
        <w:tc>
          <w:tcPr>
            <w:tcW w:w="715" w:type="dxa"/>
          </w:tcPr>
          <w:p w14:paraId="2F476098" w14:textId="77777777" w:rsidR="00F7486B" w:rsidRPr="00D117D6" w:rsidRDefault="00F7486B" w:rsidP="00EB2548">
            <w:pPr>
              <w:rPr>
                <w:rFonts w:ascii="Arial" w:hAnsi="Arial" w:cs="Arial"/>
                <w:lang w:val="en-GB"/>
              </w:rPr>
            </w:pPr>
            <w:r w:rsidRPr="00D117D6">
              <w:rPr>
                <w:rFonts w:ascii="Arial" w:hAnsi="Arial" w:cs="Arial"/>
                <w:lang w:val="en-GB"/>
              </w:rPr>
              <w:t>2011</w:t>
            </w:r>
          </w:p>
        </w:tc>
        <w:tc>
          <w:tcPr>
            <w:tcW w:w="3065" w:type="dxa"/>
          </w:tcPr>
          <w:p w14:paraId="6051621C" w14:textId="77777777" w:rsidR="00F7486B" w:rsidRPr="00D117D6" w:rsidRDefault="00F7486B" w:rsidP="00EB2548">
            <w:pPr>
              <w:jc w:val="right"/>
              <w:rPr>
                <w:rFonts w:ascii="Arial" w:hAnsi="Arial" w:cs="Arial"/>
                <w:lang w:val="en-GB"/>
              </w:rPr>
            </w:pPr>
            <w:r w:rsidRPr="00D117D6">
              <w:rPr>
                <w:rFonts w:ascii="Arial" w:hAnsi="Arial" w:cs="Arial"/>
                <w:lang w:val="en-GB"/>
              </w:rPr>
              <w:t>2.112</w:t>
            </w:r>
          </w:p>
        </w:tc>
        <w:tc>
          <w:tcPr>
            <w:tcW w:w="2425" w:type="dxa"/>
          </w:tcPr>
          <w:p w14:paraId="2D2DC389" w14:textId="77777777" w:rsidR="00F7486B" w:rsidRPr="00D117D6" w:rsidRDefault="00F7486B" w:rsidP="00EB2548">
            <w:pPr>
              <w:jc w:val="right"/>
              <w:rPr>
                <w:rFonts w:ascii="Arial" w:hAnsi="Arial" w:cs="Arial"/>
                <w:lang w:val="en-GB"/>
              </w:rPr>
            </w:pPr>
          </w:p>
        </w:tc>
      </w:tr>
      <w:tr w:rsidR="00F7486B" w:rsidRPr="00D117D6" w14:paraId="3CF5D2FF" w14:textId="77777777" w:rsidTr="001C4464">
        <w:trPr>
          <w:jc w:val="center"/>
        </w:trPr>
        <w:tc>
          <w:tcPr>
            <w:tcW w:w="715" w:type="dxa"/>
          </w:tcPr>
          <w:p w14:paraId="25D81527" w14:textId="77777777" w:rsidR="00F7486B" w:rsidRPr="00D117D6" w:rsidRDefault="00F7486B" w:rsidP="00EB2548">
            <w:pPr>
              <w:rPr>
                <w:rFonts w:ascii="Arial" w:hAnsi="Arial" w:cs="Arial"/>
                <w:lang w:val="en-GB"/>
              </w:rPr>
            </w:pPr>
            <w:r w:rsidRPr="00D117D6">
              <w:rPr>
                <w:rFonts w:ascii="Arial" w:hAnsi="Arial" w:cs="Arial"/>
                <w:lang w:val="en-GB"/>
              </w:rPr>
              <w:t>2012</w:t>
            </w:r>
          </w:p>
        </w:tc>
        <w:tc>
          <w:tcPr>
            <w:tcW w:w="3065" w:type="dxa"/>
          </w:tcPr>
          <w:p w14:paraId="6DB0418C" w14:textId="77777777" w:rsidR="00F7486B" w:rsidRPr="00D117D6" w:rsidRDefault="00F7486B" w:rsidP="00EB2548">
            <w:pPr>
              <w:jc w:val="right"/>
              <w:rPr>
                <w:rFonts w:ascii="Arial" w:hAnsi="Arial" w:cs="Arial"/>
                <w:lang w:val="en-GB"/>
              </w:rPr>
            </w:pPr>
            <w:r w:rsidRPr="00D117D6">
              <w:rPr>
                <w:rFonts w:ascii="Arial" w:hAnsi="Arial" w:cs="Arial"/>
                <w:lang w:val="en-GB"/>
              </w:rPr>
              <w:t>1.989</w:t>
            </w:r>
          </w:p>
        </w:tc>
        <w:tc>
          <w:tcPr>
            <w:tcW w:w="2425" w:type="dxa"/>
          </w:tcPr>
          <w:p w14:paraId="1DCF8389" w14:textId="173D1BBB" w:rsidR="00F7486B" w:rsidRPr="00D117D6" w:rsidRDefault="00517690" w:rsidP="00EB2548">
            <w:pPr>
              <w:jc w:val="right"/>
              <w:rPr>
                <w:rFonts w:ascii="Arial" w:hAnsi="Arial" w:cs="Arial"/>
                <w:lang w:val="en-GB"/>
              </w:rPr>
            </w:pPr>
            <w:r>
              <w:rPr>
                <w:rFonts w:ascii="Arial" w:hAnsi="Arial" w:cs="Arial"/>
                <w:lang w:val="en-GB"/>
              </w:rPr>
              <w:t>−</w:t>
            </w:r>
            <w:r w:rsidR="00F7486B" w:rsidRPr="00D117D6">
              <w:rPr>
                <w:rFonts w:ascii="Arial" w:hAnsi="Arial" w:cs="Arial"/>
                <w:lang w:val="en-GB"/>
              </w:rPr>
              <w:t>5.82</w:t>
            </w:r>
          </w:p>
        </w:tc>
      </w:tr>
      <w:tr w:rsidR="00F7486B" w:rsidRPr="00D117D6" w14:paraId="5E44B6D2" w14:textId="77777777" w:rsidTr="001C4464">
        <w:trPr>
          <w:jc w:val="center"/>
        </w:trPr>
        <w:tc>
          <w:tcPr>
            <w:tcW w:w="715" w:type="dxa"/>
          </w:tcPr>
          <w:p w14:paraId="3DAC4B44" w14:textId="77777777" w:rsidR="00F7486B" w:rsidRPr="00D117D6" w:rsidRDefault="00F7486B" w:rsidP="00EB2548">
            <w:pPr>
              <w:rPr>
                <w:rFonts w:ascii="Arial" w:hAnsi="Arial" w:cs="Arial"/>
                <w:lang w:val="en-GB"/>
              </w:rPr>
            </w:pPr>
            <w:r w:rsidRPr="00D117D6">
              <w:rPr>
                <w:rFonts w:ascii="Arial" w:hAnsi="Arial" w:cs="Arial"/>
                <w:lang w:val="en-GB"/>
              </w:rPr>
              <w:t>2013</w:t>
            </w:r>
          </w:p>
        </w:tc>
        <w:tc>
          <w:tcPr>
            <w:tcW w:w="3065" w:type="dxa"/>
          </w:tcPr>
          <w:p w14:paraId="15D04640" w14:textId="77777777" w:rsidR="00F7486B" w:rsidRPr="00D117D6" w:rsidRDefault="00F7486B" w:rsidP="00EB2548">
            <w:pPr>
              <w:jc w:val="right"/>
              <w:rPr>
                <w:rFonts w:ascii="Arial" w:hAnsi="Arial" w:cs="Arial"/>
                <w:lang w:val="en-GB"/>
              </w:rPr>
            </w:pPr>
            <w:r w:rsidRPr="00D117D6">
              <w:rPr>
                <w:rFonts w:ascii="Arial" w:hAnsi="Arial" w:cs="Arial"/>
                <w:lang w:val="en-GB"/>
              </w:rPr>
              <w:t>1.8646</w:t>
            </w:r>
          </w:p>
        </w:tc>
        <w:tc>
          <w:tcPr>
            <w:tcW w:w="2425" w:type="dxa"/>
          </w:tcPr>
          <w:p w14:paraId="7223B0DB" w14:textId="1E5D94A0" w:rsidR="00F7486B" w:rsidRPr="00D117D6" w:rsidRDefault="00517690" w:rsidP="00EB2548">
            <w:pPr>
              <w:jc w:val="right"/>
              <w:rPr>
                <w:rFonts w:ascii="Arial" w:hAnsi="Arial" w:cs="Arial"/>
                <w:lang w:val="en-GB"/>
              </w:rPr>
            </w:pPr>
            <w:r>
              <w:rPr>
                <w:rFonts w:ascii="Arial" w:hAnsi="Arial" w:cs="Arial"/>
                <w:lang w:val="en-GB"/>
              </w:rPr>
              <w:t>−</w:t>
            </w:r>
            <w:r w:rsidR="00F7486B" w:rsidRPr="00D117D6">
              <w:rPr>
                <w:rFonts w:ascii="Arial" w:hAnsi="Arial" w:cs="Arial"/>
                <w:lang w:val="en-GB"/>
              </w:rPr>
              <w:t>6.25</w:t>
            </w:r>
          </w:p>
        </w:tc>
      </w:tr>
      <w:tr w:rsidR="00F7486B" w:rsidRPr="00D117D6" w14:paraId="5DDD703A" w14:textId="77777777" w:rsidTr="001C4464">
        <w:trPr>
          <w:jc w:val="center"/>
        </w:trPr>
        <w:tc>
          <w:tcPr>
            <w:tcW w:w="715" w:type="dxa"/>
          </w:tcPr>
          <w:p w14:paraId="0D267A79" w14:textId="77777777" w:rsidR="00F7486B" w:rsidRPr="00D117D6" w:rsidRDefault="00F7486B" w:rsidP="00EB2548">
            <w:pPr>
              <w:rPr>
                <w:rFonts w:ascii="Arial" w:hAnsi="Arial" w:cs="Arial"/>
                <w:lang w:val="en-GB"/>
              </w:rPr>
            </w:pPr>
            <w:r w:rsidRPr="00D117D6">
              <w:rPr>
                <w:rFonts w:ascii="Arial" w:hAnsi="Arial" w:cs="Arial"/>
                <w:lang w:val="en-GB"/>
              </w:rPr>
              <w:t>2014</w:t>
            </w:r>
          </w:p>
        </w:tc>
        <w:tc>
          <w:tcPr>
            <w:tcW w:w="3065" w:type="dxa"/>
          </w:tcPr>
          <w:p w14:paraId="183521D1" w14:textId="77777777" w:rsidR="00F7486B" w:rsidRPr="00D117D6" w:rsidRDefault="00F7486B" w:rsidP="00EB2548">
            <w:pPr>
              <w:jc w:val="right"/>
              <w:rPr>
                <w:rFonts w:ascii="Arial" w:hAnsi="Arial" w:cs="Arial"/>
                <w:lang w:val="en-GB"/>
              </w:rPr>
            </w:pPr>
            <w:r w:rsidRPr="00D117D6">
              <w:rPr>
                <w:rFonts w:ascii="Arial" w:hAnsi="Arial" w:cs="Arial"/>
                <w:lang w:val="en-GB"/>
              </w:rPr>
              <w:t>1.971</w:t>
            </w:r>
          </w:p>
        </w:tc>
        <w:tc>
          <w:tcPr>
            <w:tcW w:w="2425" w:type="dxa"/>
          </w:tcPr>
          <w:p w14:paraId="495F08B2" w14:textId="77777777" w:rsidR="00F7486B" w:rsidRPr="00D117D6" w:rsidRDefault="00F7486B" w:rsidP="00EB2548">
            <w:pPr>
              <w:jc w:val="right"/>
              <w:rPr>
                <w:rFonts w:ascii="Arial" w:hAnsi="Arial" w:cs="Arial"/>
                <w:lang w:val="en-GB"/>
              </w:rPr>
            </w:pPr>
            <w:r w:rsidRPr="00D117D6">
              <w:rPr>
                <w:rFonts w:ascii="Arial" w:hAnsi="Arial" w:cs="Arial"/>
                <w:lang w:val="en-GB"/>
              </w:rPr>
              <w:t>5.706</w:t>
            </w:r>
          </w:p>
        </w:tc>
      </w:tr>
      <w:tr w:rsidR="00F7486B" w:rsidRPr="00D117D6" w14:paraId="1AA4C681" w14:textId="77777777" w:rsidTr="001C4464">
        <w:trPr>
          <w:jc w:val="center"/>
        </w:trPr>
        <w:tc>
          <w:tcPr>
            <w:tcW w:w="715" w:type="dxa"/>
          </w:tcPr>
          <w:p w14:paraId="13273990" w14:textId="77777777" w:rsidR="00F7486B" w:rsidRPr="00D117D6" w:rsidRDefault="00F7486B" w:rsidP="00EB2548">
            <w:pPr>
              <w:rPr>
                <w:rFonts w:ascii="Arial" w:hAnsi="Arial" w:cs="Arial"/>
                <w:lang w:val="en-GB"/>
              </w:rPr>
            </w:pPr>
            <w:r w:rsidRPr="00D117D6">
              <w:rPr>
                <w:rFonts w:ascii="Arial" w:hAnsi="Arial" w:cs="Arial"/>
                <w:lang w:val="en-GB"/>
              </w:rPr>
              <w:t>2015</w:t>
            </w:r>
          </w:p>
        </w:tc>
        <w:tc>
          <w:tcPr>
            <w:tcW w:w="3065" w:type="dxa"/>
          </w:tcPr>
          <w:p w14:paraId="62D810A4" w14:textId="77777777" w:rsidR="00F7486B" w:rsidRPr="00D117D6" w:rsidRDefault="00F7486B" w:rsidP="00EB2548">
            <w:pPr>
              <w:jc w:val="right"/>
              <w:rPr>
                <w:rFonts w:ascii="Arial" w:hAnsi="Arial" w:cs="Arial"/>
                <w:lang w:val="en-GB"/>
              </w:rPr>
            </w:pPr>
            <w:r w:rsidRPr="00D117D6">
              <w:rPr>
                <w:rFonts w:ascii="Arial" w:hAnsi="Arial" w:cs="Arial"/>
                <w:lang w:val="en-GB"/>
              </w:rPr>
              <w:t>1.977</w:t>
            </w:r>
          </w:p>
        </w:tc>
        <w:tc>
          <w:tcPr>
            <w:tcW w:w="2425" w:type="dxa"/>
          </w:tcPr>
          <w:p w14:paraId="160360C9" w14:textId="77777777" w:rsidR="00F7486B" w:rsidRPr="00D117D6" w:rsidRDefault="00F7486B" w:rsidP="00EB2548">
            <w:pPr>
              <w:jc w:val="right"/>
              <w:rPr>
                <w:rFonts w:ascii="Arial" w:hAnsi="Arial" w:cs="Arial"/>
                <w:lang w:val="en-GB"/>
              </w:rPr>
            </w:pPr>
            <w:r w:rsidRPr="00D117D6">
              <w:rPr>
                <w:rFonts w:ascii="Arial" w:hAnsi="Arial" w:cs="Arial"/>
                <w:lang w:val="en-GB"/>
              </w:rPr>
              <w:t>0.304</w:t>
            </w:r>
          </w:p>
        </w:tc>
      </w:tr>
      <w:tr w:rsidR="00F7486B" w:rsidRPr="00D117D6" w14:paraId="05BBC0E8" w14:textId="77777777" w:rsidTr="001C4464">
        <w:trPr>
          <w:jc w:val="center"/>
        </w:trPr>
        <w:tc>
          <w:tcPr>
            <w:tcW w:w="715" w:type="dxa"/>
          </w:tcPr>
          <w:p w14:paraId="3E600147" w14:textId="77777777" w:rsidR="00F7486B" w:rsidRPr="00D117D6" w:rsidRDefault="00F7486B" w:rsidP="00EB2548">
            <w:pPr>
              <w:rPr>
                <w:rFonts w:ascii="Arial" w:hAnsi="Arial" w:cs="Arial"/>
                <w:lang w:val="en-GB"/>
              </w:rPr>
            </w:pPr>
            <w:r w:rsidRPr="00D117D6">
              <w:rPr>
                <w:rFonts w:ascii="Arial" w:hAnsi="Arial" w:cs="Arial"/>
                <w:lang w:val="en-GB"/>
              </w:rPr>
              <w:t>2016</w:t>
            </w:r>
          </w:p>
        </w:tc>
        <w:tc>
          <w:tcPr>
            <w:tcW w:w="3065" w:type="dxa"/>
          </w:tcPr>
          <w:p w14:paraId="041DE666" w14:textId="77777777" w:rsidR="00F7486B" w:rsidRPr="00D117D6" w:rsidRDefault="00F7486B" w:rsidP="00EB2548">
            <w:pPr>
              <w:jc w:val="right"/>
              <w:rPr>
                <w:rFonts w:ascii="Arial" w:hAnsi="Arial" w:cs="Arial"/>
                <w:lang w:val="en-GB"/>
              </w:rPr>
            </w:pPr>
            <w:r w:rsidRPr="00D117D6">
              <w:rPr>
                <w:rFonts w:ascii="Arial" w:hAnsi="Arial" w:cs="Arial"/>
                <w:lang w:val="en-GB"/>
              </w:rPr>
              <w:t>1.951</w:t>
            </w:r>
          </w:p>
        </w:tc>
        <w:tc>
          <w:tcPr>
            <w:tcW w:w="2425" w:type="dxa"/>
          </w:tcPr>
          <w:p w14:paraId="0A1C9639" w14:textId="071B80BD" w:rsidR="00F7486B" w:rsidRPr="00D117D6" w:rsidRDefault="00517690" w:rsidP="00EB2548">
            <w:pPr>
              <w:jc w:val="right"/>
              <w:rPr>
                <w:rFonts w:ascii="Arial" w:hAnsi="Arial" w:cs="Arial"/>
                <w:lang w:val="en-GB"/>
              </w:rPr>
            </w:pPr>
            <w:r>
              <w:rPr>
                <w:rFonts w:ascii="Arial" w:hAnsi="Arial" w:cs="Arial"/>
                <w:lang w:val="en-GB"/>
              </w:rPr>
              <w:t>−</w:t>
            </w:r>
            <w:r w:rsidR="00F7486B" w:rsidRPr="00D117D6">
              <w:rPr>
                <w:rFonts w:ascii="Arial" w:hAnsi="Arial" w:cs="Arial"/>
                <w:lang w:val="en-GB"/>
              </w:rPr>
              <w:t>1.315</w:t>
            </w:r>
          </w:p>
        </w:tc>
      </w:tr>
      <w:tr w:rsidR="00F7486B" w:rsidRPr="00D117D6" w14:paraId="7E44DA50" w14:textId="77777777" w:rsidTr="001C4464">
        <w:trPr>
          <w:jc w:val="center"/>
        </w:trPr>
        <w:tc>
          <w:tcPr>
            <w:tcW w:w="715" w:type="dxa"/>
          </w:tcPr>
          <w:p w14:paraId="0EE4409A" w14:textId="77777777" w:rsidR="00F7486B" w:rsidRPr="00D117D6" w:rsidRDefault="00F7486B" w:rsidP="00EB2548">
            <w:pPr>
              <w:rPr>
                <w:rFonts w:ascii="Arial" w:hAnsi="Arial" w:cs="Arial"/>
                <w:lang w:val="en-GB"/>
              </w:rPr>
            </w:pPr>
            <w:r w:rsidRPr="00D117D6">
              <w:rPr>
                <w:rFonts w:ascii="Arial" w:hAnsi="Arial" w:cs="Arial"/>
                <w:lang w:val="en-GB"/>
              </w:rPr>
              <w:t>2017</w:t>
            </w:r>
          </w:p>
        </w:tc>
        <w:tc>
          <w:tcPr>
            <w:tcW w:w="3065" w:type="dxa"/>
          </w:tcPr>
          <w:p w14:paraId="658F0FE3" w14:textId="77777777" w:rsidR="00F7486B" w:rsidRPr="00D117D6" w:rsidRDefault="00F7486B" w:rsidP="00EB2548">
            <w:pPr>
              <w:jc w:val="right"/>
              <w:rPr>
                <w:rFonts w:ascii="Arial" w:hAnsi="Arial" w:cs="Arial"/>
                <w:lang w:val="en-GB"/>
              </w:rPr>
            </w:pPr>
            <w:r w:rsidRPr="00D117D6">
              <w:rPr>
                <w:rFonts w:ascii="Arial" w:hAnsi="Arial" w:cs="Arial"/>
                <w:lang w:val="en-GB"/>
              </w:rPr>
              <w:t>2.25</w:t>
            </w:r>
          </w:p>
        </w:tc>
        <w:tc>
          <w:tcPr>
            <w:tcW w:w="2425" w:type="dxa"/>
          </w:tcPr>
          <w:p w14:paraId="3C615D4B" w14:textId="77777777" w:rsidR="00F7486B" w:rsidRPr="00D117D6" w:rsidRDefault="00F7486B" w:rsidP="00EB2548">
            <w:pPr>
              <w:jc w:val="right"/>
              <w:rPr>
                <w:rFonts w:ascii="Arial" w:hAnsi="Arial" w:cs="Arial"/>
                <w:lang w:val="en-GB"/>
              </w:rPr>
            </w:pPr>
            <w:r w:rsidRPr="00D117D6">
              <w:rPr>
                <w:rFonts w:ascii="Arial" w:hAnsi="Arial" w:cs="Arial"/>
                <w:lang w:val="en-GB"/>
              </w:rPr>
              <w:t>15.32</w:t>
            </w:r>
          </w:p>
        </w:tc>
      </w:tr>
      <w:tr w:rsidR="00F7486B" w:rsidRPr="00D117D6" w14:paraId="7A5DBD22" w14:textId="77777777" w:rsidTr="001C4464">
        <w:trPr>
          <w:jc w:val="center"/>
        </w:trPr>
        <w:tc>
          <w:tcPr>
            <w:tcW w:w="715" w:type="dxa"/>
          </w:tcPr>
          <w:p w14:paraId="327827A0" w14:textId="77777777" w:rsidR="00F7486B" w:rsidRPr="00D117D6" w:rsidRDefault="00F7486B" w:rsidP="00EB2548">
            <w:pPr>
              <w:rPr>
                <w:rFonts w:ascii="Arial" w:hAnsi="Arial" w:cs="Arial"/>
                <w:lang w:val="en-GB"/>
              </w:rPr>
            </w:pPr>
            <w:r w:rsidRPr="00D117D6">
              <w:rPr>
                <w:rFonts w:ascii="Arial" w:hAnsi="Arial" w:cs="Arial"/>
                <w:lang w:val="en-GB"/>
              </w:rPr>
              <w:t>2018</w:t>
            </w:r>
          </w:p>
        </w:tc>
        <w:tc>
          <w:tcPr>
            <w:tcW w:w="3065" w:type="dxa"/>
          </w:tcPr>
          <w:p w14:paraId="4694E2A4" w14:textId="77777777" w:rsidR="00F7486B" w:rsidRPr="00D117D6" w:rsidRDefault="00F7486B" w:rsidP="00EB2548">
            <w:pPr>
              <w:jc w:val="right"/>
              <w:rPr>
                <w:rFonts w:ascii="Arial" w:hAnsi="Arial" w:cs="Arial"/>
                <w:lang w:val="en-GB"/>
              </w:rPr>
            </w:pPr>
            <w:r w:rsidRPr="00D117D6">
              <w:rPr>
                <w:rFonts w:ascii="Arial" w:hAnsi="Arial" w:cs="Arial"/>
                <w:lang w:val="en-GB"/>
              </w:rPr>
              <w:t>2.45</w:t>
            </w:r>
          </w:p>
        </w:tc>
        <w:tc>
          <w:tcPr>
            <w:tcW w:w="2425" w:type="dxa"/>
          </w:tcPr>
          <w:p w14:paraId="58C78C49" w14:textId="77777777" w:rsidR="00F7486B" w:rsidRPr="00D117D6" w:rsidRDefault="00F7486B" w:rsidP="00EB2548">
            <w:pPr>
              <w:jc w:val="right"/>
              <w:rPr>
                <w:rFonts w:ascii="Arial" w:hAnsi="Arial" w:cs="Arial"/>
                <w:lang w:val="en-GB"/>
              </w:rPr>
            </w:pPr>
            <w:r w:rsidRPr="00D117D6">
              <w:rPr>
                <w:rFonts w:ascii="Arial" w:hAnsi="Arial" w:cs="Arial"/>
                <w:lang w:val="en-GB"/>
              </w:rPr>
              <w:t>8.88</w:t>
            </w:r>
          </w:p>
        </w:tc>
      </w:tr>
    </w:tbl>
    <w:p w14:paraId="6B6FD604" w14:textId="4526987E" w:rsidR="00F7486B" w:rsidRPr="00D117D6" w:rsidRDefault="00F7486B" w:rsidP="00F7486B">
      <w:pPr>
        <w:rPr>
          <w:lang w:val="en-GB"/>
        </w:rPr>
      </w:pPr>
    </w:p>
    <w:p w14:paraId="2E59C338" w14:textId="6533FE97" w:rsidR="00F7486B" w:rsidRDefault="00F7486B" w:rsidP="00D31A9B">
      <w:pPr>
        <w:rPr>
          <w:rFonts w:ascii="Arial" w:hAnsi="Arial" w:cs="Arial"/>
          <w:sz w:val="17"/>
          <w:szCs w:val="17"/>
          <w:lang w:val="en-GB"/>
        </w:rPr>
      </w:pPr>
      <w:r w:rsidRPr="00E2598A">
        <w:rPr>
          <w:rFonts w:ascii="Arial" w:hAnsi="Arial" w:cs="Arial"/>
          <w:sz w:val="17"/>
          <w:szCs w:val="17"/>
          <w:lang w:val="en-GB"/>
        </w:rPr>
        <w:t xml:space="preserve">Source: Created by </w:t>
      </w:r>
      <w:r w:rsidR="00E2598A" w:rsidRPr="00E2598A">
        <w:rPr>
          <w:rFonts w:ascii="Arial" w:hAnsi="Arial" w:cs="Arial"/>
          <w:sz w:val="17"/>
          <w:szCs w:val="17"/>
          <w:lang w:val="en-GB"/>
        </w:rPr>
        <w:t xml:space="preserve">the </w:t>
      </w:r>
      <w:r w:rsidRPr="00E2598A">
        <w:rPr>
          <w:rFonts w:ascii="Arial" w:hAnsi="Arial" w:cs="Arial"/>
          <w:sz w:val="17"/>
          <w:szCs w:val="17"/>
          <w:lang w:val="en-GB"/>
        </w:rPr>
        <w:t>authors based on data from “Air Cargo Handling Yearly Results</w:t>
      </w:r>
      <w:r w:rsidR="00185521">
        <w:rPr>
          <w:rFonts w:ascii="Arial" w:hAnsi="Arial" w:cs="Arial"/>
          <w:sz w:val="17"/>
          <w:szCs w:val="17"/>
          <w:lang w:val="en-GB"/>
        </w:rPr>
        <w:t>,</w:t>
      </w:r>
      <w:r w:rsidRPr="00E2598A">
        <w:rPr>
          <w:rFonts w:ascii="Arial" w:hAnsi="Arial" w:cs="Arial"/>
          <w:sz w:val="17"/>
          <w:szCs w:val="17"/>
          <w:lang w:val="en-GB"/>
        </w:rPr>
        <w:t>” Japan Air Freight Forwarding Association, accessed May 15</w:t>
      </w:r>
      <w:r w:rsidR="00185521">
        <w:rPr>
          <w:rFonts w:ascii="Arial" w:hAnsi="Arial" w:cs="Arial"/>
          <w:sz w:val="17"/>
          <w:szCs w:val="17"/>
          <w:lang w:val="en-GB"/>
        </w:rPr>
        <w:t>,</w:t>
      </w:r>
      <w:r w:rsidRPr="00E2598A">
        <w:rPr>
          <w:rFonts w:ascii="Arial" w:hAnsi="Arial" w:cs="Arial"/>
          <w:sz w:val="17"/>
          <w:szCs w:val="17"/>
          <w:lang w:val="en-GB"/>
        </w:rPr>
        <w:t xml:space="preserve"> 2019, </w:t>
      </w:r>
      <w:r w:rsidR="00D31A9B" w:rsidRPr="00D31A9B">
        <w:rPr>
          <w:rFonts w:ascii="Arial" w:hAnsi="Arial" w:cs="Arial"/>
          <w:sz w:val="17"/>
          <w:szCs w:val="17"/>
          <w:lang w:val="en-GB"/>
        </w:rPr>
        <w:t>www.jafa.or.jp/result/007_result.html</w:t>
      </w:r>
      <w:r w:rsidR="00BA6AB4">
        <w:rPr>
          <w:rFonts w:ascii="Arial" w:hAnsi="Arial" w:cs="Arial"/>
          <w:sz w:val="17"/>
          <w:szCs w:val="17"/>
          <w:lang w:val="en-GB"/>
        </w:rPr>
        <w:t>.</w:t>
      </w:r>
    </w:p>
    <w:p w14:paraId="29D0492F" w14:textId="5A2F32E0" w:rsidR="00D31A9B" w:rsidRDefault="00D31A9B" w:rsidP="00D31A9B">
      <w:pPr>
        <w:rPr>
          <w:lang w:val="en-GB"/>
        </w:rPr>
      </w:pPr>
    </w:p>
    <w:p w14:paraId="5FBF98F5" w14:textId="77777777" w:rsidR="00D31A9B" w:rsidRPr="00D117D6" w:rsidRDefault="00D31A9B" w:rsidP="00D31A9B">
      <w:pPr>
        <w:rPr>
          <w:lang w:val="en-GB"/>
        </w:rPr>
      </w:pPr>
    </w:p>
    <w:p w14:paraId="1C5C1E43" w14:textId="736615A8" w:rsidR="00F7486B" w:rsidRPr="00D117D6" w:rsidRDefault="00F7486B">
      <w:pPr>
        <w:spacing w:after="200" w:line="276" w:lineRule="auto"/>
        <w:rPr>
          <w:rFonts w:ascii="Arial" w:hAnsi="Arial" w:cs="Arial"/>
          <w:b/>
          <w:caps/>
          <w:lang w:val="en-GB"/>
        </w:rPr>
      </w:pPr>
      <w:r w:rsidRPr="00D117D6">
        <w:rPr>
          <w:lang w:val="en-GB"/>
        </w:rPr>
        <w:br w:type="page"/>
      </w:r>
    </w:p>
    <w:p w14:paraId="6115A8E4" w14:textId="53526E3E" w:rsidR="00F7486B" w:rsidRPr="00D117D6" w:rsidRDefault="00F7486B" w:rsidP="002B40FF">
      <w:pPr>
        <w:pStyle w:val="Casehead1"/>
        <w:rPr>
          <w:lang w:val="en-GB"/>
        </w:rPr>
      </w:pPr>
      <w:r w:rsidRPr="00D117D6">
        <w:rPr>
          <w:lang w:val="en-GB"/>
        </w:rPr>
        <w:lastRenderedPageBreak/>
        <w:t>endnotes</w:t>
      </w:r>
    </w:p>
    <w:sectPr w:rsidR="00F7486B" w:rsidRPr="00D117D6" w:rsidSect="00751E0B">
      <w:headerReference w:type="default" r:id="rId18"/>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67F0A" w16cex:dateUtc="2021-04-30T17:05:00Z"/>
  <w16cex:commentExtensible w16cex:durableId="243681FD" w16cex:dateUtc="2021-04-30T17: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14DC1" w14:textId="77777777" w:rsidR="00DD2726" w:rsidRDefault="00DD2726" w:rsidP="00D75295">
      <w:r>
        <w:separator/>
      </w:r>
    </w:p>
  </w:endnote>
  <w:endnote w:type="continuationSeparator" w:id="0">
    <w:p w14:paraId="058D1CAD" w14:textId="77777777" w:rsidR="00DD2726" w:rsidRDefault="00DD2726" w:rsidP="00D75295">
      <w:r>
        <w:continuationSeparator/>
      </w:r>
    </w:p>
  </w:endnote>
  <w:endnote w:id="1">
    <w:p w14:paraId="42C15233" w14:textId="01832E8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7008E3">
        <w:rPr>
          <w:lang w:val="en-GB"/>
        </w:rPr>
        <w:t>“Forecasting Air-Freight Demand 2019</w:t>
      </w:r>
      <w:r>
        <w:rPr>
          <w:lang w:val="en-GB"/>
        </w:rPr>
        <w:t>,</w:t>
      </w:r>
      <w:r w:rsidRPr="007008E3">
        <w:rPr>
          <w:lang w:val="en-GB"/>
        </w:rPr>
        <w:t xml:space="preserve">” </w:t>
      </w:r>
      <w:r w:rsidRPr="00D117D6">
        <w:rPr>
          <w:lang w:val="en-GB"/>
        </w:rPr>
        <w:t>International Air Transport Association</w:t>
      </w:r>
      <w:r>
        <w:rPr>
          <w:lang w:val="en-GB"/>
        </w:rPr>
        <w:t xml:space="preserve">, </w:t>
      </w:r>
      <w:r w:rsidRPr="007008E3">
        <w:rPr>
          <w:lang w:val="en-GB"/>
        </w:rPr>
        <w:t>March 2019, accessed April 2</w:t>
      </w:r>
      <w:r>
        <w:rPr>
          <w:lang w:val="en-GB"/>
        </w:rPr>
        <w:t>,</w:t>
      </w:r>
      <w:r w:rsidRPr="007008E3">
        <w:rPr>
          <w:lang w:val="en-GB"/>
        </w:rPr>
        <w:t xml:space="preserve"> 2019, </w:t>
      </w:r>
      <w:r w:rsidRPr="008F3EC9">
        <w:rPr>
          <w:lang w:val="en-GB"/>
        </w:rPr>
        <w:t>https://www.iata.org/publications/economics/Reports/freigh-forecast/Forecasting-air-freight-demand-2019.pdf</w:t>
      </w:r>
      <w:r>
        <w:rPr>
          <w:rStyle w:val="Hyperlink"/>
          <w:color w:val="auto"/>
          <w:u w:val="none"/>
          <w:lang w:val="en-GB"/>
        </w:rPr>
        <w:t>.</w:t>
      </w:r>
    </w:p>
  </w:endnote>
  <w:endnote w:id="2">
    <w:p w14:paraId="0D7B42AD" w14:textId="209D4E89"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BD4E5D">
        <w:rPr>
          <w:lang w:val="en-GB"/>
        </w:rPr>
        <w:t>Asia’s Newest Perishable Handling Centre Opens</w:t>
      </w:r>
      <w:r>
        <w:rPr>
          <w:lang w:val="en-GB"/>
        </w:rPr>
        <w:t xml:space="preserve">,” </w:t>
      </w:r>
      <w:r w:rsidRPr="00D117D6">
        <w:rPr>
          <w:lang w:val="en-GB"/>
        </w:rPr>
        <w:t xml:space="preserve">SATS Ltd., </w:t>
      </w:r>
      <w:r>
        <w:rPr>
          <w:lang w:val="en-GB"/>
        </w:rPr>
        <w:t>press release,</w:t>
      </w:r>
      <w:r w:rsidRPr="00BD4E5D" w:rsidDel="00BD4E5D">
        <w:rPr>
          <w:lang w:val="en-GB"/>
        </w:rPr>
        <w:t xml:space="preserve"> </w:t>
      </w:r>
      <w:r w:rsidRPr="00D117D6">
        <w:rPr>
          <w:lang w:val="en-GB"/>
        </w:rPr>
        <w:t>November 26</w:t>
      </w:r>
      <w:r>
        <w:rPr>
          <w:lang w:val="en-GB"/>
        </w:rPr>
        <w:t>,</w:t>
      </w:r>
      <w:r w:rsidRPr="00D117D6">
        <w:rPr>
          <w:lang w:val="en-GB"/>
        </w:rPr>
        <w:t xml:space="preserve"> 2010, accessed April 2</w:t>
      </w:r>
      <w:r>
        <w:rPr>
          <w:lang w:val="en-GB"/>
        </w:rPr>
        <w:t>,</w:t>
      </w:r>
      <w:r w:rsidRPr="00D117D6">
        <w:rPr>
          <w:lang w:val="en-GB"/>
        </w:rPr>
        <w:t xml:space="preserve"> 2019, </w:t>
      </w:r>
      <w:r w:rsidRPr="008F3EC9">
        <w:rPr>
          <w:lang w:val="en-GB"/>
        </w:rPr>
        <w:t>https://www.sats.com.sg/Media/NewsContent/Coolport-Opening-MediaRelease-Final.pdf</w:t>
      </w:r>
      <w:r>
        <w:rPr>
          <w:lang w:val="en-GB"/>
        </w:rPr>
        <w:t>.</w:t>
      </w:r>
    </w:p>
  </w:endnote>
  <w:endnote w:id="3">
    <w:p w14:paraId="4CB999A6" w14:textId="4DDA8E8C"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SATS</w:t>
      </w:r>
      <w:r w:rsidRPr="00BD4E5D">
        <w:rPr>
          <w:lang w:val="en-GB"/>
        </w:rPr>
        <w:t xml:space="preserve"> Coolport Is the World’s First Centre of Excellence in Pharmaceutical Handling</w:t>
      </w:r>
      <w:r>
        <w:rPr>
          <w:lang w:val="en-GB"/>
        </w:rPr>
        <w:t>,</w:t>
      </w:r>
      <w:r w:rsidRPr="00D117D6">
        <w:rPr>
          <w:lang w:val="en-GB"/>
        </w:rPr>
        <w:t>”</w:t>
      </w:r>
      <w:r>
        <w:rPr>
          <w:lang w:val="en-GB"/>
        </w:rPr>
        <w:t xml:space="preserve"> </w:t>
      </w:r>
      <w:r w:rsidRPr="00D117D6">
        <w:rPr>
          <w:lang w:val="en-GB"/>
        </w:rPr>
        <w:t xml:space="preserve">SATS Ltd., </w:t>
      </w:r>
      <w:r>
        <w:rPr>
          <w:lang w:val="en-GB"/>
        </w:rPr>
        <w:t>press release,</w:t>
      </w:r>
      <w:r w:rsidRPr="00D117D6">
        <w:rPr>
          <w:lang w:val="en-GB"/>
        </w:rPr>
        <w:t xml:space="preserve"> November 21</w:t>
      </w:r>
      <w:r>
        <w:rPr>
          <w:lang w:val="en-GB"/>
        </w:rPr>
        <w:t>,</w:t>
      </w:r>
      <w:r w:rsidRPr="00D117D6">
        <w:rPr>
          <w:lang w:val="en-GB"/>
        </w:rPr>
        <w:t xml:space="preserve"> 2014, accessed April 2</w:t>
      </w:r>
      <w:r>
        <w:rPr>
          <w:lang w:val="en-GB"/>
        </w:rPr>
        <w:t>,</w:t>
      </w:r>
      <w:r w:rsidRPr="00D117D6">
        <w:rPr>
          <w:lang w:val="en-GB"/>
        </w:rPr>
        <w:t xml:space="preserve"> 2019, </w:t>
      </w:r>
      <w:r w:rsidRPr="008F3EC9">
        <w:rPr>
          <w:lang w:val="en-GB"/>
        </w:rPr>
        <w:t>https://www.sats.com.sg/Media/NewsContent/SATS%20Coolport.pdf</w:t>
      </w:r>
      <w:r>
        <w:rPr>
          <w:lang w:val="en-GB"/>
        </w:rPr>
        <w:t>.</w:t>
      </w:r>
    </w:p>
  </w:endnote>
  <w:endnote w:id="4">
    <w:p w14:paraId="074854FE" w14:textId="549B7FB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3" w:name="_Hlk62472496"/>
      <w:r w:rsidRPr="007008E3">
        <w:rPr>
          <w:lang w:val="en-GB"/>
        </w:rPr>
        <w:t>“</w:t>
      </w:r>
      <w:r w:rsidRPr="00A24C75">
        <w:rPr>
          <w:lang w:val="en-GB"/>
        </w:rPr>
        <w:t>S</w:t>
      </w:r>
      <w:r>
        <w:rPr>
          <w:lang w:val="en-GB"/>
        </w:rPr>
        <w:t>ATS</w:t>
      </w:r>
      <w:r w:rsidRPr="00A24C75">
        <w:rPr>
          <w:lang w:val="en-GB"/>
        </w:rPr>
        <w:t xml:space="preserve"> Unveils $21 Million eC</w:t>
      </w:r>
      <w:r>
        <w:rPr>
          <w:lang w:val="en-GB"/>
        </w:rPr>
        <w:t>ommerce</w:t>
      </w:r>
      <w:r w:rsidRPr="00A24C75">
        <w:rPr>
          <w:lang w:val="en-GB"/>
        </w:rPr>
        <w:t xml:space="preserve"> Airhub</w:t>
      </w:r>
      <w:r>
        <w:rPr>
          <w:lang w:val="en-GB"/>
        </w:rPr>
        <w:t>,”</w:t>
      </w:r>
      <w:r w:rsidRPr="007008E3">
        <w:rPr>
          <w:lang w:val="en-GB"/>
        </w:rPr>
        <w:t xml:space="preserve"> </w:t>
      </w:r>
      <w:r w:rsidRPr="00D117D6">
        <w:rPr>
          <w:lang w:val="en-GB"/>
        </w:rPr>
        <w:t xml:space="preserve">SATS Ltd., </w:t>
      </w:r>
      <w:r>
        <w:rPr>
          <w:lang w:val="en-GB"/>
        </w:rPr>
        <w:t>press release</w:t>
      </w:r>
      <w:r w:rsidRPr="007008E3">
        <w:rPr>
          <w:lang w:val="en-GB"/>
        </w:rPr>
        <w:t xml:space="preserve">, </w:t>
      </w:r>
      <w:r>
        <w:rPr>
          <w:lang w:val="en-GB"/>
        </w:rPr>
        <w:t>April 13,</w:t>
      </w:r>
      <w:r w:rsidRPr="007008E3">
        <w:rPr>
          <w:lang w:val="en-GB"/>
        </w:rPr>
        <w:t xml:space="preserve"> 2017, accessed May 10</w:t>
      </w:r>
      <w:r>
        <w:rPr>
          <w:lang w:val="en-GB"/>
        </w:rPr>
        <w:t>,</w:t>
      </w:r>
      <w:r w:rsidRPr="007008E3">
        <w:rPr>
          <w:lang w:val="en-GB"/>
        </w:rPr>
        <w:t xml:space="preserve"> 2019, </w:t>
      </w:r>
      <w:r w:rsidRPr="00A24C75">
        <w:rPr>
          <w:lang w:val="en-GB"/>
        </w:rPr>
        <w:t>https://links.sgx.com/FileOpen/SATS%20unveils%20$21%20million%20eCommerce%20AirHub.ashx?App=Announcement&amp;FileID=448278</w:t>
      </w:r>
      <w:bookmarkEnd w:id="3"/>
      <w:r>
        <w:rPr>
          <w:lang w:val="en-GB"/>
        </w:rPr>
        <w:t>.</w:t>
      </w:r>
      <w:r w:rsidRPr="00D117D6">
        <w:rPr>
          <w:lang w:val="en-GB"/>
        </w:rPr>
        <w:t xml:space="preserve"> </w:t>
      </w:r>
    </w:p>
  </w:endnote>
  <w:endnote w:id="5">
    <w:p w14:paraId="7CF14606" w14:textId="280F7CA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Ken</w:t>
      </w:r>
      <w:r w:rsidRPr="00D117D6">
        <w:rPr>
          <w:lang w:val="en-GB"/>
        </w:rPr>
        <w:t xml:space="preserve"> Research, “</w:t>
      </w:r>
      <w:r w:rsidRPr="00C65B7C">
        <w:rPr>
          <w:lang w:val="en-GB"/>
        </w:rPr>
        <w:t xml:space="preserve">China Cold Chain Market Is Expected to Grow at a </w:t>
      </w:r>
      <w:r>
        <w:rPr>
          <w:lang w:val="en-GB"/>
        </w:rPr>
        <w:t>CAGR</w:t>
      </w:r>
      <w:r w:rsidRPr="00C65B7C">
        <w:rPr>
          <w:lang w:val="en-GB"/>
        </w:rPr>
        <w:t xml:space="preserve"> of 15.6% in the Next 5 Years till 2022</w:t>
      </w:r>
      <w:r>
        <w:rPr>
          <w:lang w:val="en-GB"/>
        </w:rPr>
        <w:t>,</w:t>
      </w:r>
      <w:r w:rsidRPr="00D117D6">
        <w:rPr>
          <w:lang w:val="en-GB"/>
        </w:rPr>
        <w:t xml:space="preserve">” </w:t>
      </w:r>
      <w:r>
        <w:rPr>
          <w:lang w:val="en-GB"/>
        </w:rPr>
        <w:t xml:space="preserve">PR Newswire, </w:t>
      </w:r>
      <w:r w:rsidRPr="00D117D6">
        <w:rPr>
          <w:lang w:val="en-GB"/>
        </w:rPr>
        <w:t xml:space="preserve">May 14, 2018, accessed April 2, 2019, </w:t>
      </w:r>
      <w:r w:rsidRPr="008F3EC9">
        <w:rPr>
          <w:lang w:val="en-GB"/>
        </w:rPr>
        <w:t>https://www.prnewswire.com/news-releases/china-cold-chain-market-is-expected-to-grow-at-a-cagr-of-156-in-the-next-5-years-till-2022-ken-research-682544161.html</w:t>
      </w:r>
      <w:r>
        <w:rPr>
          <w:rStyle w:val="Hyperlink"/>
          <w:color w:val="auto"/>
          <w:u w:val="none"/>
          <w:lang w:val="en-GB"/>
        </w:rPr>
        <w:t>.</w:t>
      </w:r>
      <w:r w:rsidRPr="00D117D6">
        <w:rPr>
          <w:lang w:val="en-GB"/>
        </w:rPr>
        <w:t xml:space="preserve"> </w:t>
      </w:r>
    </w:p>
  </w:endnote>
  <w:endnote w:id="6">
    <w:p w14:paraId="5D187660" w14:textId="6F2E6062" w:rsidR="00DD2726" w:rsidRPr="00EB2548" w:rsidRDefault="00DD2726">
      <w:pPr>
        <w:pStyle w:val="EndnoteText"/>
        <w:rPr>
          <w:rFonts w:ascii="Arial" w:hAnsi="Arial" w:cs="Arial"/>
          <w:sz w:val="17"/>
          <w:szCs w:val="17"/>
          <w:lang w:val="en-CA"/>
        </w:rPr>
      </w:pPr>
      <w:r w:rsidRPr="00EB2548">
        <w:rPr>
          <w:rStyle w:val="EndnoteReference"/>
          <w:rFonts w:ascii="Arial" w:hAnsi="Arial" w:cs="Arial"/>
          <w:sz w:val="17"/>
          <w:szCs w:val="17"/>
        </w:rPr>
        <w:endnoteRef/>
      </w:r>
      <w:r w:rsidRPr="00EB2548">
        <w:rPr>
          <w:rFonts w:ascii="Arial" w:hAnsi="Arial" w:cs="Arial"/>
          <w:sz w:val="17"/>
          <w:szCs w:val="17"/>
        </w:rPr>
        <w:t xml:space="preserve"> </w:t>
      </w:r>
      <w:r w:rsidRPr="00EB2548">
        <w:rPr>
          <w:rFonts w:ascii="Arial" w:hAnsi="Arial" w:cs="Arial"/>
          <w:sz w:val="17"/>
          <w:szCs w:val="17"/>
          <w:lang w:val="en-CA"/>
        </w:rPr>
        <w:t>All dollar amounts are in US dollars</w:t>
      </w:r>
      <w:r>
        <w:rPr>
          <w:rFonts w:ascii="Arial" w:hAnsi="Arial" w:cs="Arial"/>
          <w:sz w:val="17"/>
          <w:szCs w:val="17"/>
          <w:lang w:val="en-CA"/>
        </w:rPr>
        <w:t xml:space="preserve"> unless otherwise specified</w:t>
      </w:r>
      <w:r w:rsidRPr="00EB2548">
        <w:rPr>
          <w:rFonts w:ascii="Arial" w:hAnsi="Arial" w:cs="Arial"/>
          <w:sz w:val="17"/>
          <w:szCs w:val="17"/>
          <w:lang w:val="en-CA"/>
        </w:rPr>
        <w:t xml:space="preserve">. </w:t>
      </w:r>
    </w:p>
  </w:endnote>
  <w:endnote w:id="7">
    <w:p w14:paraId="4F184565" w14:textId="669478CE"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6"/>
          <w:lang w:val="en-GB"/>
        </w:rPr>
        <w:t>“Singapore Exports to Japan,” Trading Economics, accessed May 15, 2019, https://tradingeconomics.com/singapore/exports/japan</w:t>
      </w:r>
      <w:r w:rsidRPr="008157B2">
        <w:rPr>
          <w:rStyle w:val="Hyperlink"/>
          <w:color w:val="auto"/>
          <w:spacing w:val="-6"/>
          <w:u w:val="none"/>
          <w:lang w:val="en-GB"/>
        </w:rPr>
        <w:t>.</w:t>
      </w:r>
      <w:r w:rsidRPr="00D117D6">
        <w:rPr>
          <w:lang w:val="en-GB"/>
        </w:rPr>
        <w:t xml:space="preserve"> </w:t>
      </w:r>
    </w:p>
  </w:endnote>
  <w:endnote w:id="8">
    <w:p w14:paraId="712B1F36" w14:textId="3A52D3D1"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F26BA8">
        <w:rPr>
          <w:lang w:val="en-GB"/>
        </w:rPr>
        <w:t>Distribution of Pharmaceutical Drug Imports to Japan in 2018, by Major Country</w:t>
      </w:r>
      <w:r>
        <w:rPr>
          <w:lang w:val="en-GB"/>
        </w:rPr>
        <w:t>,” Statista,</w:t>
      </w:r>
      <w:r w:rsidRPr="00F26BA8" w:rsidDel="00F26BA8">
        <w:rPr>
          <w:lang w:val="en-GB"/>
        </w:rPr>
        <w:t xml:space="preserve"> </w:t>
      </w:r>
      <w:r>
        <w:rPr>
          <w:lang w:val="en-GB"/>
        </w:rPr>
        <w:t xml:space="preserve">2019, </w:t>
      </w:r>
      <w:r w:rsidRPr="00D117D6">
        <w:rPr>
          <w:lang w:val="en-GB"/>
        </w:rPr>
        <w:t xml:space="preserve">accessed April 2, 2019, </w:t>
      </w:r>
      <w:r w:rsidRPr="008F3EC9">
        <w:rPr>
          <w:lang w:val="en-GB"/>
        </w:rPr>
        <w:t>https://www.statista.com/statistics/743670/japan-breakdown-pharmaceutical-drug-imports-by-major-country/</w:t>
      </w:r>
      <w:r>
        <w:rPr>
          <w:rStyle w:val="Hyperlink"/>
          <w:color w:val="auto"/>
          <w:u w:val="none"/>
          <w:lang w:val="en-GB"/>
        </w:rPr>
        <w:t>.</w:t>
      </w:r>
      <w:r w:rsidRPr="00D117D6">
        <w:rPr>
          <w:lang w:val="en-GB"/>
        </w:rPr>
        <w:t xml:space="preserve"> </w:t>
      </w:r>
    </w:p>
  </w:endnote>
  <w:endnote w:id="9">
    <w:p w14:paraId="1E594D8F" w14:textId="0E4816F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4" w:name="_Hlk65772253"/>
      <w:r>
        <w:rPr>
          <w:lang w:val="en-GB"/>
        </w:rPr>
        <w:t>“</w:t>
      </w:r>
      <w:r w:rsidRPr="007008E3">
        <w:rPr>
          <w:lang w:val="en-GB"/>
        </w:rPr>
        <w:t>Shipping Air or Ocean Freight</w:t>
      </w:r>
      <w:r>
        <w:rPr>
          <w:lang w:val="en-GB"/>
        </w:rPr>
        <w:t xml:space="preserve">,” Freightos, </w:t>
      </w:r>
      <w:r w:rsidRPr="007008E3">
        <w:rPr>
          <w:lang w:val="en-GB"/>
        </w:rPr>
        <w:t xml:space="preserve">accessed April 2, 2019, </w:t>
      </w:r>
      <w:r w:rsidRPr="008F3EC9">
        <w:rPr>
          <w:lang w:val="en-GB"/>
        </w:rPr>
        <w:t>https://www.freightos.com/freight-resources/air-freight-vs-ocean-freight-making-the-decision/</w:t>
      </w:r>
      <w:r>
        <w:rPr>
          <w:rStyle w:val="Hyperlink"/>
          <w:color w:val="auto"/>
          <w:u w:val="none"/>
          <w:lang w:val="en-GB"/>
        </w:rPr>
        <w:t>.</w:t>
      </w:r>
      <w:bookmarkEnd w:id="4"/>
      <w:r w:rsidRPr="00D117D6">
        <w:rPr>
          <w:lang w:val="en-GB"/>
        </w:rPr>
        <w:t xml:space="preserve"> </w:t>
      </w:r>
    </w:p>
  </w:endnote>
  <w:endnote w:id="10">
    <w:p w14:paraId="63013300" w14:textId="564DA7E0"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271798">
        <w:rPr>
          <w:lang w:val="en-GB"/>
        </w:rPr>
        <w:t>Top 10 Challenges of Doing Business in Japan</w:t>
      </w:r>
      <w:r>
        <w:rPr>
          <w:lang w:val="en-GB"/>
        </w:rPr>
        <w:t>,” TMF Group,</w:t>
      </w:r>
      <w:r w:rsidRPr="00D117D6">
        <w:rPr>
          <w:lang w:val="en-GB"/>
        </w:rPr>
        <w:t xml:space="preserve"> accessed May 15, 2019, </w:t>
      </w:r>
      <w:r w:rsidRPr="008F3EC9">
        <w:rPr>
          <w:lang w:val="en-GB"/>
        </w:rPr>
        <w:t>https://www.tmf-group.com/en/news-insights/business-culture/top-challenges-japan/</w:t>
      </w:r>
      <w:r>
        <w:rPr>
          <w:rStyle w:val="Hyperlink"/>
          <w:color w:val="auto"/>
          <w:u w:val="none"/>
          <w:lang w:val="en-GB"/>
        </w:rPr>
        <w:t>.</w:t>
      </w:r>
    </w:p>
  </w:endnote>
  <w:endnote w:id="11">
    <w:p w14:paraId="400E6EDA" w14:textId="0468A056"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702F46">
        <w:rPr>
          <w:lang w:val="en-GB"/>
        </w:rPr>
        <w:t>Worldwide Revenue of Cargo Airlines from 2004 to 2019</w:t>
      </w:r>
      <w:r>
        <w:rPr>
          <w:lang w:val="en-GB"/>
        </w:rPr>
        <w:t xml:space="preserve">,” Statista, </w:t>
      </w:r>
      <w:r w:rsidRPr="00D117D6">
        <w:rPr>
          <w:lang w:val="en-GB"/>
        </w:rPr>
        <w:t xml:space="preserve">accessed April 2, 2019, </w:t>
      </w:r>
      <w:r w:rsidRPr="008F3EC9">
        <w:rPr>
          <w:lang w:val="en-GB"/>
        </w:rPr>
        <w:t>https://www.statista.com/statistics/564658/worldwide-revenue-of-air-cargo-traffic/</w:t>
      </w:r>
      <w:r>
        <w:rPr>
          <w:rStyle w:val="Hyperlink"/>
          <w:color w:val="auto"/>
          <w:u w:val="none"/>
          <w:lang w:val="en-GB"/>
        </w:rPr>
        <w:t>.</w:t>
      </w:r>
      <w:r w:rsidRPr="00D117D6">
        <w:rPr>
          <w:lang w:val="en-GB"/>
        </w:rPr>
        <w:t xml:space="preserve"> </w:t>
      </w:r>
    </w:p>
  </w:endnote>
  <w:endnote w:id="12">
    <w:p w14:paraId="04BF7199" w14:textId="6C7F726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6"/>
          <w:lang w:val="en-GB"/>
        </w:rPr>
        <w:t>“IATA Cargo Strategy,” International Air Transport Association, February 2018, accessed April 2, 2019, https://www.iata.org/cargo</w:t>
      </w:r>
      <w:r w:rsidRPr="008157B2">
        <w:rPr>
          <w:rStyle w:val="Hyperlink"/>
          <w:color w:val="auto"/>
          <w:spacing w:val="-6"/>
          <w:u w:val="none"/>
          <w:lang w:val="en-GB"/>
        </w:rPr>
        <w:t>.</w:t>
      </w:r>
      <w:r>
        <w:rPr>
          <w:lang w:val="en-GB"/>
        </w:rPr>
        <w:t xml:space="preserve"> </w:t>
      </w:r>
    </w:p>
  </w:endnote>
  <w:endnote w:id="13">
    <w:p w14:paraId="3F75AA3D" w14:textId="5562333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A </w:t>
      </w:r>
      <w:r w:rsidRPr="00007247">
        <w:rPr>
          <w:lang w:val="en-GB"/>
        </w:rPr>
        <w:t>revenue ton-kilometre</w:t>
      </w:r>
      <w:r>
        <w:rPr>
          <w:lang w:val="en-GB"/>
        </w:rPr>
        <w:t xml:space="preserve"> was</w:t>
      </w:r>
      <w:r w:rsidRPr="00D117D6">
        <w:rPr>
          <w:lang w:val="en-GB"/>
        </w:rPr>
        <w:t xml:space="preserve"> a common measurement in the air cargo industry</w:t>
      </w:r>
      <w:r>
        <w:rPr>
          <w:lang w:val="en-GB"/>
        </w:rPr>
        <w:t xml:space="preserve"> and was</w:t>
      </w:r>
      <w:r w:rsidRPr="00D117D6">
        <w:rPr>
          <w:lang w:val="en-GB"/>
        </w:rPr>
        <w:t xml:space="preserve"> defined by the revenue generated when a metric ton of cargo </w:t>
      </w:r>
      <w:r>
        <w:rPr>
          <w:lang w:val="en-GB"/>
        </w:rPr>
        <w:t>was</w:t>
      </w:r>
      <w:r w:rsidRPr="00D117D6">
        <w:rPr>
          <w:lang w:val="en-GB"/>
        </w:rPr>
        <w:t xml:space="preserve"> carried </w:t>
      </w:r>
      <w:r>
        <w:rPr>
          <w:lang w:val="en-GB"/>
        </w:rPr>
        <w:t>1</w:t>
      </w:r>
      <w:r w:rsidRPr="00D117D6">
        <w:rPr>
          <w:lang w:val="en-GB"/>
        </w:rPr>
        <w:t xml:space="preserve"> </w:t>
      </w:r>
      <w:r>
        <w:rPr>
          <w:lang w:val="en-GB"/>
        </w:rPr>
        <w:t>kilometre</w:t>
      </w:r>
      <w:r w:rsidRPr="00D117D6">
        <w:rPr>
          <w:lang w:val="en-GB"/>
        </w:rPr>
        <w:t>.</w:t>
      </w:r>
    </w:p>
  </w:endnote>
  <w:endnote w:id="14">
    <w:p w14:paraId="2010ADB8" w14:textId="705410CF" w:rsidR="00DD2726" w:rsidRPr="00D117D6" w:rsidRDefault="00DD2726" w:rsidP="00F7486B">
      <w:pPr>
        <w:pStyle w:val="Footnote"/>
        <w:rPr>
          <w:lang w:val="en-GB"/>
        </w:rPr>
      </w:pPr>
      <w:r w:rsidRPr="00D117D6">
        <w:rPr>
          <w:rStyle w:val="EndnoteReference"/>
          <w:lang w:val="en-GB"/>
        </w:rPr>
        <w:endnoteRef/>
      </w:r>
      <w:r>
        <w:rPr>
          <w:lang w:val="en-GB"/>
        </w:rPr>
        <w:t xml:space="preserve"> Boeing, </w:t>
      </w:r>
      <w:r w:rsidRPr="00EB2548">
        <w:rPr>
          <w:i/>
          <w:iCs/>
          <w:lang w:val="en-GB"/>
        </w:rPr>
        <w:t>World Air Cargo Forecast 2016–2017</w:t>
      </w:r>
      <w:r>
        <w:rPr>
          <w:lang w:val="en-GB"/>
        </w:rPr>
        <w:t xml:space="preserve"> (Seattle, WA: Boeing Commercial Airplanes,</w:t>
      </w:r>
      <w:r w:rsidRPr="00D117D6">
        <w:rPr>
          <w:lang w:val="en-GB"/>
        </w:rPr>
        <w:t xml:space="preserve"> </w:t>
      </w:r>
      <w:r>
        <w:rPr>
          <w:lang w:val="en-GB"/>
        </w:rPr>
        <w:t xml:space="preserve">2016), </w:t>
      </w:r>
      <w:r w:rsidRPr="00D117D6">
        <w:rPr>
          <w:lang w:val="en-GB"/>
        </w:rPr>
        <w:t xml:space="preserve">accessed April 2, 2019, </w:t>
      </w:r>
      <w:r w:rsidRPr="008F3EC9">
        <w:rPr>
          <w:lang w:val="en-GB"/>
        </w:rPr>
        <w:t>https://www.utikad.org.tr/images/BilgiBankasi/worldaircargoforecast20162017-7924.pdf</w:t>
      </w:r>
      <w:r>
        <w:rPr>
          <w:rStyle w:val="Hyperlink"/>
          <w:color w:val="auto"/>
          <w:u w:val="none"/>
          <w:lang w:val="en-GB"/>
        </w:rPr>
        <w:t>.</w:t>
      </w:r>
      <w:r w:rsidRPr="00D117D6">
        <w:rPr>
          <w:lang w:val="en-GB"/>
        </w:rPr>
        <w:t xml:space="preserve"> </w:t>
      </w:r>
    </w:p>
  </w:endnote>
  <w:endnote w:id="15">
    <w:p w14:paraId="3AE5313A" w14:textId="53BB18B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Mark Lipowicz, “Biopharma Cold-Chain Market Forecast,” Pharmaceutical Commerce,</w:t>
      </w:r>
      <w:r w:rsidRPr="00D117D6">
        <w:rPr>
          <w:lang w:val="en-GB"/>
        </w:rPr>
        <w:t xml:space="preserve"> September 3</w:t>
      </w:r>
      <w:r>
        <w:rPr>
          <w:lang w:val="en-GB"/>
        </w:rPr>
        <w:t>,</w:t>
      </w:r>
      <w:r w:rsidRPr="00D117D6">
        <w:rPr>
          <w:lang w:val="en-GB"/>
        </w:rPr>
        <w:t xml:space="preserve"> 2018, accessed May 31</w:t>
      </w:r>
      <w:r>
        <w:rPr>
          <w:lang w:val="en-GB"/>
        </w:rPr>
        <w:t>,</w:t>
      </w:r>
      <w:r w:rsidRPr="00D117D6">
        <w:rPr>
          <w:lang w:val="en-GB"/>
        </w:rPr>
        <w:t xml:space="preserve"> 2019</w:t>
      </w:r>
      <w:r>
        <w:rPr>
          <w:lang w:val="en-GB"/>
        </w:rPr>
        <w:t>,</w:t>
      </w:r>
      <w:r w:rsidRPr="00D117D6">
        <w:rPr>
          <w:lang w:val="en-GB"/>
        </w:rPr>
        <w:t xml:space="preserve"> </w:t>
      </w:r>
      <w:r w:rsidRPr="00084771">
        <w:rPr>
          <w:lang w:val="en-GB"/>
        </w:rPr>
        <w:t>https://www.pharmaceuticalcommerce.com/view/biopharma-cold-chain-market-forecast</w:t>
      </w:r>
      <w:r>
        <w:rPr>
          <w:lang w:val="en-GB"/>
        </w:rPr>
        <w:t>.</w:t>
      </w:r>
      <w:r w:rsidRPr="00D117D6">
        <w:rPr>
          <w:lang w:val="en-GB"/>
        </w:rPr>
        <w:t xml:space="preserve"> </w:t>
      </w:r>
    </w:p>
  </w:endnote>
  <w:endnote w:id="16">
    <w:p w14:paraId="059E5F8E" w14:textId="04BA0DFC" w:rsidR="00DD2726" w:rsidRPr="00D117D6" w:rsidRDefault="00DD2726" w:rsidP="00F7486B">
      <w:pPr>
        <w:pStyle w:val="Footnote"/>
        <w:rPr>
          <w:lang w:val="en-GB"/>
        </w:rPr>
      </w:pPr>
      <w:r w:rsidRPr="00D117D6">
        <w:rPr>
          <w:rStyle w:val="EndnoteReference"/>
          <w:lang w:val="en-GB"/>
        </w:rPr>
        <w:endnoteRef/>
      </w:r>
      <w:r>
        <w:rPr>
          <w:lang w:val="en-GB"/>
        </w:rPr>
        <w:t xml:space="preserve"> “</w:t>
      </w:r>
      <w:r w:rsidRPr="001C4464">
        <w:rPr>
          <w:lang w:val="en-GB"/>
        </w:rPr>
        <w:t>Air Freight Industry</w:t>
      </w:r>
      <w:r>
        <w:rPr>
          <w:lang w:val="en-GB"/>
        </w:rPr>
        <w:t xml:space="preserve">,” </w:t>
      </w:r>
      <w:r w:rsidRPr="00D117D6">
        <w:rPr>
          <w:lang w:val="en-GB"/>
        </w:rPr>
        <w:t>Mordor Intelligence,</w:t>
      </w:r>
      <w:r>
        <w:rPr>
          <w:lang w:val="en-GB"/>
        </w:rPr>
        <w:t xml:space="preserve"> </w:t>
      </w:r>
      <w:r w:rsidRPr="00D117D6">
        <w:rPr>
          <w:lang w:val="en-GB"/>
        </w:rPr>
        <w:t xml:space="preserve">September 2018, accessed April 2, 2019, </w:t>
      </w:r>
      <w:r w:rsidRPr="008F3EC9">
        <w:rPr>
          <w:lang w:val="en-GB"/>
        </w:rPr>
        <w:t>https://www.mordorintelligence.com/industry-reports/global-airfreight-market-industry</w:t>
      </w:r>
      <w:r>
        <w:rPr>
          <w:rStyle w:val="Hyperlink"/>
          <w:color w:val="auto"/>
          <w:u w:val="none"/>
          <w:lang w:val="en-GB"/>
        </w:rPr>
        <w:t>.</w:t>
      </w:r>
      <w:r w:rsidRPr="00D117D6">
        <w:rPr>
          <w:lang w:val="en-GB"/>
        </w:rPr>
        <w:t xml:space="preserve"> </w:t>
      </w:r>
    </w:p>
  </w:endnote>
  <w:endnote w:id="17">
    <w:p w14:paraId="39F3C8AA" w14:textId="0B485E0E"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Boeing, </w:t>
      </w:r>
      <w:r w:rsidRPr="001C4464">
        <w:rPr>
          <w:i/>
          <w:iCs/>
          <w:lang w:val="en-GB"/>
        </w:rPr>
        <w:t>World Air Cargo Forecast 2020–2039</w:t>
      </w:r>
      <w:r>
        <w:rPr>
          <w:lang w:val="en-GB"/>
        </w:rPr>
        <w:t>,</w:t>
      </w:r>
      <w:r w:rsidRPr="00D117D6">
        <w:rPr>
          <w:lang w:val="en-GB"/>
        </w:rPr>
        <w:t xml:space="preserve"> accessed April 2, 2019, </w:t>
      </w:r>
      <w:r w:rsidRPr="008F3EC9">
        <w:rPr>
          <w:lang w:val="en-GB"/>
        </w:rPr>
        <w:t>https://www.boeing.com/commercial/market/cargo-forecast/</w:t>
      </w:r>
      <w:r>
        <w:rPr>
          <w:rStyle w:val="Hyperlink"/>
          <w:color w:val="auto"/>
          <w:u w:val="none"/>
          <w:lang w:val="en-GB"/>
        </w:rPr>
        <w:t xml:space="preserve">; </w:t>
      </w:r>
      <w:r w:rsidRPr="00D117D6">
        <w:rPr>
          <w:lang w:val="en-GB"/>
        </w:rPr>
        <w:t xml:space="preserve">VISA, </w:t>
      </w:r>
      <w:r w:rsidRPr="00EB2548">
        <w:rPr>
          <w:i/>
          <w:iCs/>
          <w:lang w:val="en-GB"/>
        </w:rPr>
        <w:t>The Geography of the Global Middle Class: Where They Live, How They Spend</w:t>
      </w:r>
      <w:r>
        <w:rPr>
          <w:lang w:val="en-GB"/>
        </w:rPr>
        <w:t>,</w:t>
      </w:r>
      <w:r w:rsidRPr="003D698D" w:rsidDel="003D698D">
        <w:rPr>
          <w:lang w:val="en-GB"/>
        </w:rPr>
        <w:t xml:space="preserve"> </w:t>
      </w:r>
      <w:r w:rsidRPr="00D117D6">
        <w:rPr>
          <w:lang w:val="en-GB"/>
        </w:rPr>
        <w:t xml:space="preserve">accessed April 2, 2019, </w:t>
      </w:r>
      <w:r w:rsidRPr="008F3EC9">
        <w:rPr>
          <w:lang w:val="en-GB"/>
        </w:rPr>
        <w:t>https://usa.visa.com/dam/VCOM/global/partner-with-us/documents/middle-class-spending-whitepaper.pdf</w:t>
      </w:r>
      <w:r>
        <w:rPr>
          <w:rStyle w:val="Hyperlink"/>
          <w:color w:val="auto"/>
          <w:u w:val="none"/>
          <w:lang w:val="en-GB"/>
        </w:rPr>
        <w:t>.</w:t>
      </w:r>
      <w:r w:rsidRPr="00D117D6">
        <w:rPr>
          <w:lang w:val="en-GB"/>
        </w:rPr>
        <w:t xml:space="preserve"> </w:t>
      </w:r>
    </w:p>
  </w:endnote>
  <w:endnote w:id="18">
    <w:p w14:paraId="5865EFD5" w14:textId="2653F51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6"/>
          <w:lang w:val="en-GB"/>
        </w:rPr>
        <w:t xml:space="preserve">Boeing, </w:t>
      </w:r>
      <w:r w:rsidRPr="008157B2">
        <w:rPr>
          <w:i/>
          <w:iCs/>
          <w:spacing w:val="-6"/>
          <w:lang w:val="en-GB"/>
        </w:rPr>
        <w:t>World Air Cargo Forecast 2020–2039</w:t>
      </w:r>
      <w:r w:rsidRPr="008157B2">
        <w:rPr>
          <w:spacing w:val="-6"/>
          <w:lang w:val="en-GB"/>
        </w:rPr>
        <w:t>, accessed April 2, 2019, https://www.boeing.com/commercial/market/cargo-forecast.</w:t>
      </w:r>
    </w:p>
  </w:endnote>
  <w:endnote w:id="19">
    <w:p w14:paraId="59AEA28F" w14:textId="638B5C80"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Rachel Carollo, “</w:t>
      </w:r>
      <w:r w:rsidRPr="00B3654B">
        <w:rPr>
          <w:lang w:val="en-GB"/>
        </w:rPr>
        <w:t>Consumers Want Faster Delivery and They’re Willing to Pay for It</w:t>
      </w:r>
      <w:r>
        <w:rPr>
          <w:lang w:val="en-GB"/>
        </w:rPr>
        <w:t xml:space="preserve">,” Dropoff, </w:t>
      </w:r>
      <w:r w:rsidRPr="00D117D6">
        <w:rPr>
          <w:lang w:val="en-GB"/>
        </w:rPr>
        <w:t xml:space="preserve">March 20, 2018, accessed April 2, 2019, </w:t>
      </w:r>
      <w:r w:rsidRPr="008F3EC9">
        <w:rPr>
          <w:lang w:val="en-GB"/>
        </w:rPr>
        <w:t>https://www.dropoff.com/blog/retail-delivery-consumer-survey-shoptalk-2018</w:t>
      </w:r>
      <w:r>
        <w:rPr>
          <w:rStyle w:val="Hyperlink"/>
          <w:color w:val="auto"/>
          <w:u w:val="none"/>
          <w:lang w:val="en-GB"/>
        </w:rPr>
        <w:t>.</w:t>
      </w:r>
      <w:r w:rsidRPr="00D117D6">
        <w:rPr>
          <w:lang w:val="en-GB"/>
        </w:rPr>
        <w:t xml:space="preserve"> </w:t>
      </w:r>
    </w:p>
  </w:endnote>
  <w:endnote w:id="20">
    <w:p w14:paraId="1B9F1C2C" w14:textId="7DEED19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1E0775">
        <w:rPr>
          <w:lang w:val="en-GB"/>
        </w:rPr>
        <w:t>Amazon Now Lets Prime Customers Schedule Orders for the Delivery Day of Their Choice</w:t>
      </w:r>
      <w:r>
        <w:rPr>
          <w:lang w:val="en-GB"/>
        </w:rPr>
        <w:t>—</w:t>
      </w:r>
      <w:r w:rsidRPr="001E0775">
        <w:rPr>
          <w:lang w:val="en-GB"/>
        </w:rPr>
        <w:t>and It’s a Total Game Changer</w:t>
      </w:r>
      <w:r>
        <w:rPr>
          <w:lang w:val="en-GB"/>
        </w:rPr>
        <w:t xml:space="preserve">,” Business Insider, </w:t>
      </w:r>
      <w:r w:rsidRPr="00D117D6">
        <w:rPr>
          <w:lang w:val="en-GB"/>
        </w:rPr>
        <w:t xml:space="preserve">April 17, 2019, accessed May 10, 2019, </w:t>
      </w:r>
      <w:r w:rsidRPr="008F3EC9">
        <w:rPr>
          <w:lang w:val="en-GB"/>
        </w:rPr>
        <w:t>https://www.businessinsider.in/slideshows/miscellaneous/amazon-now-lets-prime-customers-schedule-orders-for-the-delivery-day-of-their-choice-and-its-a-total-game-changer/slidelist/68923953.cms</w:t>
      </w:r>
      <w:r>
        <w:rPr>
          <w:rStyle w:val="Hyperlink"/>
          <w:color w:val="auto"/>
          <w:u w:val="none"/>
          <w:lang w:val="en-GB"/>
        </w:rPr>
        <w:t>.</w:t>
      </w:r>
      <w:r w:rsidRPr="00D117D6">
        <w:rPr>
          <w:lang w:val="en-GB"/>
        </w:rPr>
        <w:t xml:space="preserve"> </w:t>
      </w:r>
    </w:p>
  </w:endnote>
  <w:endnote w:id="21">
    <w:p w14:paraId="42087DC1" w14:textId="2DB09E3E"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“The Cargo Facility of the Future</w:t>
      </w:r>
      <w:r>
        <w:rPr>
          <w:lang w:val="en-GB"/>
        </w:rPr>
        <w:t>,</w:t>
      </w:r>
      <w:r w:rsidRPr="00D117D6">
        <w:rPr>
          <w:lang w:val="en-GB"/>
        </w:rPr>
        <w:t>”</w:t>
      </w:r>
      <w:r>
        <w:rPr>
          <w:lang w:val="en-GB"/>
        </w:rPr>
        <w:t xml:space="preserve"> Airlines IATA,</w:t>
      </w:r>
      <w:r w:rsidRPr="00D117D6">
        <w:rPr>
          <w:lang w:val="en-GB"/>
        </w:rPr>
        <w:t xml:space="preserve"> April 13, 2018, accessed April 2, 2019, </w:t>
      </w:r>
      <w:r w:rsidRPr="008F3EC9">
        <w:rPr>
          <w:lang w:val="en-GB"/>
        </w:rPr>
        <w:t>https://airlines.iata.org/analysis/the-cargo-facility-of-the-future</w:t>
      </w:r>
      <w:r>
        <w:rPr>
          <w:rStyle w:val="Hyperlink"/>
          <w:color w:val="auto"/>
          <w:u w:val="none"/>
          <w:lang w:val="en-GB"/>
        </w:rPr>
        <w:t>.</w:t>
      </w:r>
      <w:r w:rsidRPr="00D117D6">
        <w:rPr>
          <w:lang w:val="en-GB"/>
        </w:rPr>
        <w:t xml:space="preserve"> </w:t>
      </w:r>
    </w:p>
  </w:endnote>
  <w:endnote w:id="22">
    <w:p w14:paraId="5ACD30AD" w14:textId="0341B08C" w:rsidR="00DD2726" w:rsidRPr="008157B2" w:rsidRDefault="00DD2726" w:rsidP="00F7486B">
      <w:pPr>
        <w:pStyle w:val="Footnote"/>
        <w:rPr>
          <w:spacing w:val="-4"/>
          <w:lang w:val="en-GB"/>
        </w:rPr>
      </w:pPr>
      <w:r w:rsidRPr="00D117D6">
        <w:rPr>
          <w:rStyle w:val="EndnoteReference"/>
          <w:lang w:val="en-GB"/>
        </w:rPr>
        <w:endnoteRef/>
      </w:r>
      <w:r w:rsidRPr="00D117D6">
        <w:rPr>
          <w:lang w:val="en-GB"/>
        </w:rPr>
        <w:t xml:space="preserve"> </w:t>
      </w:r>
      <w:r w:rsidRPr="008157B2">
        <w:rPr>
          <w:spacing w:val="-4"/>
          <w:lang w:val="en-GB"/>
        </w:rPr>
        <w:t>David H. Deans, “How IoT and Blockchain Is Set to Transform the Global Cargo Industry,” Telecoms, May 29, 2018, accessed April 2, 2019, https://www.telecomstechnews.com/news/2018/may/29/iot-and-blockchain-will-transform-global-cargo-industry/</w:t>
      </w:r>
      <w:r w:rsidRPr="008157B2">
        <w:rPr>
          <w:rStyle w:val="Hyperlink"/>
          <w:color w:val="auto"/>
          <w:spacing w:val="-4"/>
          <w:u w:val="none"/>
          <w:lang w:val="en-GB"/>
        </w:rPr>
        <w:t>.</w:t>
      </w:r>
    </w:p>
  </w:endnote>
  <w:endnote w:id="23">
    <w:p w14:paraId="0CD13557" w14:textId="7216279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2"/>
          <w:lang w:val="en-GB"/>
        </w:rPr>
        <w:t>Vivian Zhang, “How Data Science and IoT Are Changing Air Transportation,” IoT Agenda, July 5, 2018, accessed April 2, 2019, https://internetofthingsagenda.techtarget.com/blog/IoT-Agenda/How-data-science-and-IoT-are-changing-air-transportation</w:t>
      </w:r>
      <w:r w:rsidRPr="008157B2">
        <w:rPr>
          <w:rStyle w:val="Hyperlink"/>
          <w:color w:val="auto"/>
          <w:spacing w:val="-2"/>
          <w:u w:val="none"/>
          <w:lang w:val="en-GB"/>
        </w:rPr>
        <w:t>.</w:t>
      </w:r>
    </w:p>
  </w:endnote>
  <w:endnote w:id="24">
    <w:p w14:paraId="50F811F0" w14:textId="341A43B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B803EF">
        <w:rPr>
          <w:lang w:val="en-GB"/>
        </w:rPr>
        <w:t>Carbon Offsetting and Reduction Scheme for International Aviation (CORSIA)</w:t>
      </w:r>
      <w:r>
        <w:rPr>
          <w:lang w:val="en-GB"/>
        </w:rPr>
        <w:t>,”</w:t>
      </w:r>
      <w:r w:rsidRPr="00B803EF" w:rsidDel="00B803EF">
        <w:rPr>
          <w:lang w:val="en-GB"/>
        </w:rPr>
        <w:t xml:space="preserve"> </w:t>
      </w:r>
      <w:r>
        <w:rPr>
          <w:lang w:val="en-GB"/>
        </w:rPr>
        <w:t>I</w:t>
      </w:r>
      <w:r w:rsidRPr="008F3EC9">
        <w:rPr>
          <w:lang w:val="en-GB"/>
        </w:rPr>
        <w:t>nternational Civil Aviation Organization</w:t>
      </w:r>
      <w:r>
        <w:rPr>
          <w:lang w:val="en-GB"/>
        </w:rPr>
        <w:t xml:space="preserve">, </w:t>
      </w:r>
      <w:r w:rsidRPr="00D117D6">
        <w:rPr>
          <w:lang w:val="en-GB"/>
        </w:rPr>
        <w:t xml:space="preserve">accessed April 2, 2019, </w:t>
      </w:r>
      <w:r w:rsidRPr="00B803EF">
        <w:rPr>
          <w:lang w:val="en-GB"/>
        </w:rPr>
        <w:t>https://www.icao.int/environmental-protection/CORSIA/Pages/default.aspx</w:t>
      </w:r>
      <w:r>
        <w:rPr>
          <w:lang w:val="en-GB"/>
        </w:rPr>
        <w:t>.</w:t>
      </w:r>
    </w:p>
  </w:endnote>
  <w:endnote w:id="25">
    <w:p w14:paraId="57D4FB07" w14:textId="5ACA442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“CORSIA Takes Center Stage,”</w:t>
      </w:r>
      <w:r w:rsidRPr="00D117D6">
        <w:rPr>
          <w:lang w:val="en-GB"/>
        </w:rPr>
        <w:t xml:space="preserve"> </w:t>
      </w:r>
      <w:r>
        <w:rPr>
          <w:lang w:val="en-GB"/>
        </w:rPr>
        <w:t>Airlines, I</w:t>
      </w:r>
      <w:r w:rsidRPr="00D117D6">
        <w:rPr>
          <w:lang w:val="en-GB"/>
        </w:rPr>
        <w:t>nternational Air Transport Association</w:t>
      </w:r>
      <w:r>
        <w:rPr>
          <w:lang w:val="en-GB"/>
        </w:rPr>
        <w:t xml:space="preserve">, </w:t>
      </w:r>
      <w:r w:rsidRPr="00D117D6">
        <w:rPr>
          <w:lang w:val="en-GB"/>
        </w:rPr>
        <w:t xml:space="preserve">March 6, 2019, accessed April 2, 2019, </w:t>
      </w:r>
      <w:r w:rsidRPr="008F3EC9">
        <w:rPr>
          <w:lang w:val="en-GB"/>
        </w:rPr>
        <w:t>https://www.airlines.iata.org/analysis/corsia-takes-center-stage</w:t>
      </w:r>
      <w:r>
        <w:rPr>
          <w:rStyle w:val="Hyperlink"/>
          <w:color w:val="auto"/>
          <w:u w:val="none"/>
          <w:lang w:val="en-GB"/>
        </w:rPr>
        <w:t>.</w:t>
      </w:r>
    </w:p>
  </w:endnote>
  <w:endnote w:id="26">
    <w:p w14:paraId="20AF2964" w14:textId="3E9E9BD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I</w:t>
      </w:r>
      <w:r w:rsidRPr="008F3EC9">
        <w:rPr>
          <w:lang w:val="en-GB"/>
        </w:rPr>
        <w:t>nternational Civil Aviation Organization</w:t>
      </w:r>
      <w:r>
        <w:rPr>
          <w:lang w:val="en-GB"/>
        </w:rPr>
        <w:t xml:space="preserve">, </w:t>
      </w:r>
      <w:r w:rsidRPr="00EB2548">
        <w:rPr>
          <w:i/>
          <w:iCs/>
          <w:lang w:val="en-GB"/>
        </w:rPr>
        <w:t>Aviation Benefits 2017</w:t>
      </w:r>
      <w:r>
        <w:rPr>
          <w:lang w:val="en-GB"/>
        </w:rPr>
        <w:t>,</w:t>
      </w:r>
      <w:r w:rsidRPr="00D117D6">
        <w:rPr>
          <w:lang w:val="en-GB"/>
        </w:rPr>
        <w:t xml:space="preserve"> accessed April 2, 2019, </w:t>
      </w:r>
      <w:r w:rsidRPr="008F3EC9">
        <w:rPr>
          <w:lang w:val="en-GB"/>
        </w:rPr>
        <w:t>https://www.icao.int/sustainability/Documents/AVIATION-BENEFITS-2017-web.pdf</w:t>
      </w:r>
      <w:r>
        <w:rPr>
          <w:rStyle w:val="Hyperlink"/>
          <w:color w:val="auto"/>
          <w:u w:val="none"/>
          <w:lang w:val="en-GB"/>
        </w:rPr>
        <w:t>.</w:t>
      </w:r>
      <w:r w:rsidRPr="00D117D6">
        <w:rPr>
          <w:lang w:val="en-GB"/>
        </w:rPr>
        <w:t xml:space="preserve"> </w:t>
      </w:r>
    </w:p>
  </w:endnote>
  <w:endnote w:id="27">
    <w:p w14:paraId="7AD39FBD" w14:textId="5576265A"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“Civil Air Transport Agreements</w:t>
      </w:r>
      <w:r>
        <w:rPr>
          <w:lang w:val="en-GB"/>
        </w:rPr>
        <w:t>,</w:t>
      </w:r>
      <w:r w:rsidRPr="00D117D6">
        <w:rPr>
          <w:lang w:val="en-GB"/>
        </w:rPr>
        <w:t>”</w:t>
      </w:r>
      <w:r>
        <w:rPr>
          <w:lang w:val="en-GB"/>
        </w:rPr>
        <w:t xml:space="preserve"> United States Department of State,</w:t>
      </w:r>
      <w:r w:rsidRPr="00D117D6">
        <w:rPr>
          <w:lang w:val="en-GB"/>
        </w:rPr>
        <w:t xml:space="preserve"> </w:t>
      </w:r>
      <w:r>
        <w:rPr>
          <w:lang w:val="en-GB"/>
        </w:rPr>
        <w:t>accessed</w:t>
      </w:r>
      <w:r w:rsidRPr="00D117D6">
        <w:rPr>
          <w:lang w:val="en-GB"/>
        </w:rPr>
        <w:t xml:space="preserve"> April 2, 2019, </w:t>
      </w:r>
      <w:r w:rsidRPr="00A62FBC">
        <w:rPr>
          <w:lang w:val="en-GB"/>
        </w:rPr>
        <w:t>https://www.state.gov/civil-air-transport-agreements</w:t>
      </w:r>
      <w:r>
        <w:rPr>
          <w:lang w:val="en-GB"/>
        </w:rPr>
        <w:t>.</w:t>
      </w:r>
    </w:p>
  </w:endnote>
  <w:endnote w:id="28">
    <w:p w14:paraId="6AAADCA7" w14:textId="24E7D4B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SG$ = SGD = Singapore dollar; </w:t>
      </w:r>
      <w:r>
        <w:rPr>
          <w:lang w:val="en-GB"/>
        </w:rPr>
        <w:t>US$1 = SG$</w:t>
      </w:r>
      <w:r w:rsidRPr="00AE1B02">
        <w:rPr>
          <w:lang w:val="en-GB"/>
        </w:rPr>
        <w:t>1.3819</w:t>
      </w:r>
      <w:r>
        <w:rPr>
          <w:lang w:val="en-GB"/>
        </w:rPr>
        <w:t xml:space="preserve"> on August 5, 2019</w:t>
      </w:r>
      <w:r w:rsidRPr="00D117D6">
        <w:rPr>
          <w:lang w:val="en-GB"/>
        </w:rPr>
        <w:t>.</w:t>
      </w:r>
    </w:p>
  </w:endnote>
  <w:endnote w:id="29">
    <w:p w14:paraId="78855B30" w14:textId="54F4BD65" w:rsidR="00DD2726" w:rsidRPr="00D117D6" w:rsidRDefault="00DD2726" w:rsidP="00EB3228">
      <w:pPr>
        <w:pStyle w:val="Footnote"/>
        <w:rPr>
          <w:lang w:val="en-GB"/>
        </w:rPr>
      </w:pPr>
      <w:r w:rsidRPr="00D117D6">
        <w:rPr>
          <w:rStyle w:val="EndnoteReference"/>
          <w:lang w:val="en-GB"/>
        </w:rPr>
        <w:endnoteRef/>
      </w:r>
      <w:r w:rsidRPr="00D117D6">
        <w:rPr>
          <w:lang w:val="en-GB"/>
        </w:rPr>
        <w:t xml:space="preserve"> </w:t>
      </w:r>
      <w:r w:rsidRPr="00E6704C">
        <w:rPr>
          <w:lang w:val="en-GB"/>
        </w:rPr>
        <w:t>InterVISTAS-EU Consulting Inc.</w:t>
      </w:r>
      <w:r w:rsidRPr="00D117D6">
        <w:rPr>
          <w:lang w:val="en-GB"/>
        </w:rPr>
        <w:t xml:space="preserve">, </w:t>
      </w:r>
      <w:r w:rsidRPr="00EB2548">
        <w:rPr>
          <w:i/>
          <w:iCs/>
          <w:lang w:val="en-GB"/>
        </w:rPr>
        <w:t>The Impact of International Air Service Liberalisation on Singapore</w:t>
      </w:r>
      <w:r>
        <w:rPr>
          <w:lang w:val="en-GB"/>
        </w:rPr>
        <w:t>,</w:t>
      </w:r>
      <w:r w:rsidRPr="00D117D6">
        <w:rPr>
          <w:lang w:val="en-GB"/>
        </w:rPr>
        <w:t xml:space="preserve"> July 2009, </w:t>
      </w:r>
      <w:r>
        <w:rPr>
          <w:lang w:val="en-GB"/>
        </w:rPr>
        <w:t>accessed</w:t>
      </w:r>
      <w:r w:rsidRPr="00D117D6">
        <w:rPr>
          <w:lang w:val="en-GB"/>
        </w:rPr>
        <w:t xml:space="preserve"> April 2, 2019, </w:t>
      </w:r>
      <w:r w:rsidRPr="008F3EC9">
        <w:rPr>
          <w:lang w:val="en-GB"/>
        </w:rPr>
        <w:t>https://www.iata.org/publications/economics/Reports/singapore-report.pdf</w:t>
      </w:r>
      <w:r>
        <w:rPr>
          <w:rStyle w:val="Hyperlink"/>
          <w:color w:val="auto"/>
          <w:u w:val="none"/>
          <w:lang w:val="en-GB"/>
        </w:rPr>
        <w:t>.</w:t>
      </w:r>
      <w:r w:rsidRPr="00D117D6">
        <w:rPr>
          <w:lang w:val="en-GB"/>
        </w:rPr>
        <w:t xml:space="preserve"> </w:t>
      </w:r>
    </w:p>
  </w:endnote>
  <w:endnote w:id="30">
    <w:p w14:paraId="37DFD13A" w14:textId="7E23DF71"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6"/>
          <w:lang w:val="en-GB"/>
        </w:rPr>
        <w:t>Yolande Chee, “Airline Industry Group Slashes Its Profit Forecast as Trade War Hurts the Cargo Business,” CNBC, June 1, 2019, accessed June 5, 2019, https://www.cnbc.com/2019/06/02/airline-industry-cuts-profit-outlook-cargo-business-hurt-by-trade-war.html</w:t>
      </w:r>
      <w:r w:rsidRPr="008157B2">
        <w:rPr>
          <w:rStyle w:val="Hyperlink"/>
          <w:color w:val="auto"/>
          <w:spacing w:val="-6"/>
          <w:u w:val="none"/>
          <w:lang w:val="en-GB"/>
        </w:rPr>
        <w:t>.</w:t>
      </w:r>
    </w:p>
  </w:endnote>
  <w:endnote w:id="31">
    <w:p w14:paraId="206A80C1" w14:textId="47BF310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D92782">
        <w:rPr>
          <w:lang w:val="en-GB"/>
        </w:rPr>
        <w:t>IATA Warns over Protectionism as Cargo Traffic Continues to Grow</w:t>
      </w:r>
      <w:r>
        <w:rPr>
          <w:lang w:val="en-GB"/>
        </w:rPr>
        <w:t xml:space="preserve">,” Aircargo News, </w:t>
      </w:r>
      <w:r w:rsidRPr="00D117D6">
        <w:rPr>
          <w:lang w:val="en-GB"/>
        </w:rPr>
        <w:t xml:space="preserve">April 4, 2018, accessed April 2, 2019, </w:t>
      </w:r>
      <w:r w:rsidRPr="008F3EC9">
        <w:rPr>
          <w:lang w:val="en-GB"/>
        </w:rPr>
        <w:t>https://www.aircargonews.net/airlines/iata-warns-over-protectionism-as-cargo-traffic-continues-to-grow/</w:t>
      </w:r>
      <w:r>
        <w:rPr>
          <w:rStyle w:val="Hyperlink"/>
          <w:color w:val="auto"/>
          <w:u w:val="none"/>
          <w:lang w:val="en-GB"/>
        </w:rPr>
        <w:t>.</w:t>
      </w:r>
      <w:r w:rsidRPr="00D117D6">
        <w:rPr>
          <w:lang w:val="en-GB"/>
        </w:rPr>
        <w:t xml:space="preserve"> </w:t>
      </w:r>
    </w:p>
  </w:endnote>
  <w:endnote w:id="32">
    <w:p w14:paraId="30DA280F" w14:textId="34ED864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“Baggage Tracking</w:t>
      </w:r>
      <w:r>
        <w:rPr>
          <w:lang w:val="en-GB"/>
        </w:rPr>
        <w:t>,</w:t>
      </w:r>
      <w:r w:rsidRPr="00D117D6">
        <w:rPr>
          <w:lang w:val="en-GB"/>
        </w:rPr>
        <w:t>”</w:t>
      </w:r>
      <w:r>
        <w:rPr>
          <w:lang w:val="en-GB"/>
        </w:rPr>
        <w:t xml:space="preserve"> International Air Transport Association,</w:t>
      </w:r>
      <w:r w:rsidRPr="00D117D6">
        <w:rPr>
          <w:lang w:val="en-GB"/>
        </w:rPr>
        <w:t xml:space="preserve"> accessed April 2, 2019, </w:t>
      </w:r>
      <w:r w:rsidRPr="008F3EC9">
        <w:rPr>
          <w:lang w:val="en-GB"/>
        </w:rPr>
        <w:t>https://www.iata.org/whatwedo/ops-infra/baggage/Pages/baggage-tracking.aspx</w:t>
      </w:r>
      <w:r>
        <w:rPr>
          <w:rStyle w:val="Hyperlink"/>
          <w:color w:val="auto"/>
          <w:u w:val="none"/>
          <w:lang w:val="en-GB"/>
        </w:rPr>
        <w:t>.</w:t>
      </w:r>
      <w:r w:rsidRPr="00D117D6">
        <w:rPr>
          <w:lang w:val="en-GB"/>
        </w:rPr>
        <w:t xml:space="preserve"> </w:t>
      </w:r>
    </w:p>
  </w:endnote>
  <w:endnote w:id="33">
    <w:p w14:paraId="3C3F86EA" w14:textId="17453992" w:rsidR="00DD2726" w:rsidRPr="00D117D6" w:rsidRDefault="00DD2726" w:rsidP="00F7486B">
      <w:pPr>
        <w:pStyle w:val="Footnote"/>
        <w:rPr>
          <w:lang w:val="en-GB"/>
        </w:rPr>
      </w:pPr>
      <w:r w:rsidRPr="00D117D6">
        <w:rPr>
          <w:rStyle w:val="EndnoteReference"/>
          <w:lang w:val="en-GB"/>
        </w:rPr>
        <w:endnoteRef/>
      </w:r>
      <w:r>
        <w:rPr>
          <w:lang w:val="en-GB"/>
        </w:rPr>
        <w:t xml:space="preserve"> </w:t>
      </w:r>
      <w:r w:rsidRPr="008157B2">
        <w:rPr>
          <w:lang w:val="en-GB"/>
        </w:rPr>
        <w:t>“Annex 18,” International Civil Aviation Organization, accessed April 2, 2019, https://www.icao.int/safety/DangerousGoods/Pages/annex-18.aspx</w:t>
      </w:r>
      <w:r w:rsidRPr="008157B2">
        <w:rPr>
          <w:rStyle w:val="Hyperlink"/>
          <w:color w:val="auto"/>
          <w:u w:val="none"/>
          <w:lang w:val="en-GB"/>
        </w:rPr>
        <w:t>.</w:t>
      </w:r>
      <w:r w:rsidRPr="00D117D6">
        <w:rPr>
          <w:lang w:val="en-GB"/>
        </w:rPr>
        <w:t xml:space="preserve"> </w:t>
      </w:r>
    </w:p>
  </w:endnote>
  <w:endnote w:id="34">
    <w:p w14:paraId="6C279313" w14:textId="144FC1B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Bart Jan Haasbeek, “The Future of Air Freight Shipping</w:t>
      </w:r>
      <w:r>
        <w:rPr>
          <w:lang w:val="en-GB"/>
        </w:rPr>
        <w:t>,</w:t>
      </w:r>
      <w:r w:rsidRPr="00D117D6">
        <w:rPr>
          <w:lang w:val="en-GB"/>
        </w:rPr>
        <w:t xml:space="preserve">” The Network Effect, February 1, 2019, accessed June 5, 2019, </w:t>
      </w:r>
      <w:r w:rsidRPr="008F3EC9">
        <w:rPr>
          <w:lang w:val="en-GB"/>
        </w:rPr>
        <w:t>https://supplychainbeyond.com/the-future-of-air-freight-shipping/</w:t>
      </w:r>
      <w:r>
        <w:rPr>
          <w:rStyle w:val="Hyperlink"/>
          <w:color w:val="auto"/>
          <w:u w:val="none"/>
          <w:lang w:val="en-GB"/>
        </w:rPr>
        <w:t>.</w:t>
      </w:r>
      <w:r w:rsidRPr="00D117D6">
        <w:rPr>
          <w:lang w:val="en-GB"/>
        </w:rPr>
        <w:t xml:space="preserve"> </w:t>
      </w:r>
    </w:p>
  </w:endnote>
  <w:endnote w:id="35">
    <w:p w14:paraId="45423876" w14:textId="3F2A2FD0"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586937">
        <w:rPr>
          <w:lang w:val="en-GB"/>
        </w:rPr>
        <w:t xml:space="preserve">SATS Ltd., </w:t>
      </w:r>
      <w:r w:rsidRPr="00EB2548">
        <w:rPr>
          <w:i/>
          <w:iCs/>
          <w:lang w:val="en-GB"/>
        </w:rPr>
        <w:t>Capital Markets Day</w:t>
      </w:r>
      <w:r w:rsidRPr="00586937">
        <w:rPr>
          <w:lang w:val="en-GB"/>
        </w:rPr>
        <w:t>, May 30, 2019, accessed May 31, 2019, https://www.sats.com.sg/docs/default-source/financial-reports/road-shows/2019-2020/preso-cmd-30may19.pdf?sfvrsn=2cf1f37f_4.</w:t>
      </w:r>
    </w:p>
  </w:endnote>
  <w:endnote w:id="36">
    <w:p w14:paraId="187CEAC0" w14:textId="05B915F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2"/>
          <w:lang w:val="en-GB"/>
        </w:rPr>
        <w:t>Research and Markets, “Global Ground and Cargo Handling Services Market Outlook 2018–2023 with Swissport International, Dnata, Menzies Aviation &amp; Worldwide Flight Services (WFS) Dominating,” PR Newswire, October 11, 2018, accessed April 2, 2019, https://www.prnewswire.com/news-releases/global-ground-and-cargo-handling-services-market-outlook-2018-2023-with-swissport-international-dnata-menzies-aviation--worldwide-flight-services-wfs-dominating-300729560.html</w:t>
      </w:r>
      <w:r w:rsidRPr="008157B2">
        <w:rPr>
          <w:rStyle w:val="Hyperlink"/>
          <w:color w:val="auto"/>
          <w:spacing w:val="-2"/>
          <w:u w:val="none"/>
          <w:lang w:val="en-GB"/>
        </w:rPr>
        <w:t>.</w:t>
      </w:r>
      <w:r w:rsidRPr="00D117D6">
        <w:rPr>
          <w:lang w:val="en-GB"/>
        </w:rPr>
        <w:t xml:space="preserve"> </w:t>
      </w:r>
    </w:p>
  </w:endnote>
  <w:endnote w:id="37">
    <w:p w14:paraId="111193BC" w14:textId="12FA7003" w:rsidR="00DD2726" w:rsidRPr="00D117D6" w:rsidRDefault="00DD2726" w:rsidP="00335786">
      <w:pPr>
        <w:pStyle w:val="Footnote"/>
        <w:rPr>
          <w:lang w:val="en-GB"/>
        </w:rPr>
      </w:pPr>
      <w:r w:rsidRPr="00D117D6">
        <w:rPr>
          <w:rStyle w:val="EndnoteReference"/>
          <w:lang w:val="en-GB"/>
        </w:rPr>
        <w:endnoteRef/>
      </w:r>
      <w:r w:rsidRPr="00D117D6">
        <w:rPr>
          <w:lang w:val="en-GB"/>
        </w:rPr>
        <w:t xml:space="preserve"> SATS</w:t>
      </w:r>
      <w:r>
        <w:rPr>
          <w:lang w:val="en-GB"/>
        </w:rPr>
        <w:t xml:space="preserve"> Ltd.,</w:t>
      </w:r>
      <w:r w:rsidRPr="00D117D6">
        <w:rPr>
          <w:lang w:val="en-GB"/>
        </w:rPr>
        <w:t xml:space="preserve"> </w:t>
      </w:r>
      <w:r w:rsidRPr="00FB1574">
        <w:rPr>
          <w:i/>
          <w:iCs/>
          <w:lang w:val="en-GB"/>
        </w:rPr>
        <w:t>Enabling Growth:</w:t>
      </w:r>
      <w:r>
        <w:rPr>
          <w:i/>
          <w:iCs/>
          <w:lang w:val="en-GB"/>
        </w:rPr>
        <w:t xml:space="preserve"> </w:t>
      </w:r>
      <w:r w:rsidRPr="00EB2548">
        <w:rPr>
          <w:i/>
          <w:iCs/>
          <w:lang w:val="en-GB"/>
        </w:rPr>
        <w:t>Annual Report 2017–18</w:t>
      </w:r>
      <w:r>
        <w:rPr>
          <w:lang w:val="en-GB"/>
        </w:rPr>
        <w:t xml:space="preserve">, </w:t>
      </w:r>
      <w:r w:rsidRPr="00D117D6">
        <w:rPr>
          <w:lang w:val="en-GB"/>
        </w:rPr>
        <w:t xml:space="preserve">accessed April 2, 2019, </w:t>
      </w:r>
      <w:r w:rsidRPr="00CB6647">
        <w:rPr>
          <w:lang w:val="en-GB"/>
        </w:rPr>
        <w:t>https://www.sats.com.sg/docs/default-source/financial-reports/annual-report/2017-2018/sats_fy1718_annual_report.pdf</w:t>
      </w:r>
      <w:r>
        <w:rPr>
          <w:rStyle w:val="Hyperlink"/>
          <w:color w:val="auto"/>
          <w:u w:val="none"/>
          <w:lang w:val="en-GB"/>
        </w:rPr>
        <w:t>.</w:t>
      </w:r>
    </w:p>
  </w:endnote>
  <w:endnote w:id="38">
    <w:p w14:paraId="4B4C024E" w14:textId="4895EB7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“SATS</w:t>
      </w:r>
      <w:r w:rsidRPr="00631A82">
        <w:rPr>
          <w:lang w:val="en-GB"/>
        </w:rPr>
        <w:t xml:space="preserve"> Is Named </w:t>
      </w:r>
      <w:r>
        <w:rPr>
          <w:lang w:val="en-GB"/>
        </w:rPr>
        <w:t>‘</w:t>
      </w:r>
      <w:r w:rsidRPr="00631A82">
        <w:rPr>
          <w:lang w:val="en-GB"/>
        </w:rPr>
        <w:t>Best Air Cargo Terminal – Asia</w:t>
      </w:r>
      <w:r>
        <w:rPr>
          <w:lang w:val="en-GB"/>
        </w:rPr>
        <w:t>’</w:t>
      </w:r>
      <w:r w:rsidRPr="00631A82">
        <w:rPr>
          <w:lang w:val="en-GB"/>
        </w:rPr>
        <w:t xml:space="preserve"> for the 16th Time</w:t>
      </w:r>
      <w:r>
        <w:rPr>
          <w:lang w:val="en-GB"/>
        </w:rPr>
        <w:t xml:space="preserve">,” SATS Ltd., press release, June 17, 2014, accessed March 4, 2021, </w:t>
      </w:r>
      <w:r w:rsidRPr="005C1965">
        <w:rPr>
          <w:lang w:val="en-GB"/>
        </w:rPr>
        <w:t>https://www.sats.com.sg/docs/default-source/media-releases/2014/sats-is-named-best-air-cargo-terminal-asia-for-the-16th-time.pdf?sfvrsn=cb093e0c_2</w:t>
      </w:r>
      <w:r>
        <w:rPr>
          <w:lang w:val="en-GB"/>
        </w:rPr>
        <w:t>.</w:t>
      </w:r>
    </w:p>
  </w:endnote>
  <w:endnote w:id="39">
    <w:p w14:paraId="3E0150EA" w14:textId="00AD3940" w:rsidR="00DD2726" w:rsidRPr="00D117D6" w:rsidRDefault="00DD2726" w:rsidP="00F7486B">
      <w:pPr>
        <w:pStyle w:val="Footnote"/>
        <w:rPr>
          <w:lang w:val="en-GB"/>
        </w:rPr>
      </w:pPr>
      <w:r w:rsidRPr="00D117D6">
        <w:rPr>
          <w:rStyle w:val="EndnoteReference"/>
          <w:lang w:val="en-GB"/>
        </w:rPr>
        <w:endnoteRef/>
      </w:r>
      <w:r>
        <w:rPr>
          <w:lang w:val="en-GB"/>
        </w:rPr>
        <w:t xml:space="preserve"> </w:t>
      </w:r>
      <w:r w:rsidRPr="006D3E86">
        <w:rPr>
          <w:lang w:val="en-GB"/>
        </w:rPr>
        <w:t xml:space="preserve">SATS Ltd., </w:t>
      </w:r>
      <w:r w:rsidRPr="00EB2548">
        <w:rPr>
          <w:i/>
          <w:iCs/>
          <w:lang w:val="en-GB"/>
        </w:rPr>
        <w:t>Capital Markets Day</w:t>
      </w:r>
      <w:r w:rsidRPr="006D3E86">
        <w:rPr>
          <w:lang w:val="en-GB"/>
        </w:rPr>
        <w:t xml:space="preserve">, </w:t>
      </w:r>
      <w:r>
        <w:rPr>
          <w:lang w:val="en-GB"/>
        </w:rPr>
        <w:t xml:space="preserve">op. cit. </w:t>
      </w:r>
    </w:p>
  </w:endnote>
  <w:endnote w:id="40">
    <w:p w14:paraId="0B31BEC2" w14:textId="31DA8E76" w:rsidR="00DD2726" w:rsidRPr="00D117D6" w:rsidRDefault="00DD2726" w:rsidP="007F28E5">
      <w:pPr>
        <w:pStyle w:val="Footnote"/>
        <w:rPr>
          <w:lang w:val="en-GB"/>
        </w:rPr>
      </w:pPr>
      <w:r w:rsidRPr="00D117D6">
        <w:rPr>
          <w:rStyle w:val="EndnoteReference"/>
          <w:lang w:val="en-GB"/>
        </w:rPr>
        <w:endnoteRef/>
      </w:r>
      <w:r w:rsidRPr="00D117D6">
        <w:rPr>
          <w:lang w:val="en-GB"/>
        </w:rPr>
        <w:t xml:space="preserve"> </w:t>
      </w:r>
      <w:r w:rsidRPr="007008E3">
        <w:rPr>
          <w:lang w:val="en-GB"/>
        </w:rPr>
        <w:t>Khoo</w:t>
      </w:r>
      <w:r>
        <w:rPr>
          <w:lang w:val="en-GB"/>
        </w:rPr>
        <w:t xml:space="preserve"> Seng Thiam</w:t>
      </w:r>
      <w:r w:rsidRPr="007008E3">
        <w:rPr>
          <w:lang w:val="en-GB"/>
        </w:rPr>
        <w:t>, interview with authors</w:t>
      </w:r>
      <w:r>
        <w:rPr>
          <w:lang w:val="en-GB"/>
        </w:rPr>
        <w:t>,</w:t>
      </w:r>
      <w:r w:rsidRPr="00D117D6">
        <w:rPr>
          <w:lang w:val="en-GB"/>
        </w:rPr>
        <w:t xml:space="preserve"> April 1, 2019.</w:t>
      </w:r>
    </w:p>
  </w:endnote>
  <w:endnote w:id="41">
    <w:p w14:paraId="6D7D9E9E" w14:textId="1079FEE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F852C8">
        <w:rPr>
          <w:lang w:val="en-GB"/>
        </w:rPr>
        <w:t>Hank Lim and Lim Tai Wei</w:t>
      </w:r>
      <w:r>
        <w:rPr>
          <w:lang w:val="en-GB"/>
        </w:rPr>
        <w:t xml:space="preserve">, </w:t>
      </w:r>
      <w:r w:rsidRPr="00EB2548">
        <w:rPr>
          <w:i/>
          <w:iCs/>
          <w:lang w:val="en-GB"/>
        </w:rPr>
        <w:t>Sustainable Development Impacts of Investment Incentives: A Case Study of the Pharmaceutical Industry in Singapore</w:t>
      </w:r>
      <w:r>
        <w:rPr>
          <w:lang w:val="en-GB"/>
        </w:rPr>
        <w:t xml:space="preserve"> (Winnipeg, MB: </w:t>
      </w:r>
      <w:r w:rsidRPr="00F852C8">
        <w:rPr>
          <w:lang w:val="en-GB"/>
        </w:rPr>
        <w:t>International Institute for Sustainable Development</w:t>
      </w:r>
      <w:r>
        <w:rPr>
          <w:lang w:val="en-GB"/>
        </w:rPr>
        <w:t xml:space="preserve">, </w:t>
      </w:r>
      <w:r w:rsidRPr="00D117D6">
        <w:rPr>
          <w:lang w:val="en-GB"/>
        </w:rPr>
        <w:t>2010</w:t>
      </w:r>
      <w:r>
        <w:rPr>
          <w:lang w:val="en-GB"/>
        </w:rPr>
        <w:t>)</w:t>
      </w:r>
      <w:r w:rsidRPr="00D117D6">
        <w:rPr>
          <w:lang w:val="en-GB"/>
        </w:rPr>
        <w:t>, accessed May 31</w:t>
      </w:r>
      <w:r>
        <w:rPr>
          <w:lang w:val="en-GB"/>
        </w:rPr>
        <w:t>,</w:t>
      </w:r>
      <w:r w:rsidRPr="00D117D6">
        <w:rPr>
          <w:lang w:val="en-GB"/>
        </w:rPr>
        <w:t xml:space="preserve"> 2019, </w:t>
      </w:r>
      <w:r w:rsidRPr="008F3EC9">
        <w:rPr>
          <w:lang w:val="en-GB"/>
        </w:rPr>
        <w:t>https://www.iisd.org/system/files/publications/sd_impacts_singapore.pdf</w:t>
      </w:r>
      <w:r>
        <w:rPr>
          <w:rStyle w:val="Hyperlink"/>
          <w:color w:val="auto"/>
          <w:u w:val="none"/>
          <w:lang w:val="en-GB"/>
        </w:rPr>
        <w:t>.</w:t>
      </w:r>
      <w:r w:rsidRPr="00D117D6">
        <w:rPr>
          <w:lang w:val="en-GB"/>
        </w:rPr>
        <w:t xml:space="preserve"> </w:t>
      </w:r>
    </w:p>
  </w:endnote>
  <w:endnote w:id="42">
    <w:p w14:paraId="073AFAF4" w14:textId="413FDFD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6"/>
          <w:lang w:val="en-GB"/>
        </w:rPr>
        <w:t>Keat Chuan Yeoh, “A Look at Singapore’s Growing Medical Technology Industry,” Medical Product Outsourcing, April 4, 2018, accessed April 2, 2019, https://www.mpo-mag.com/contents/view_features/2008-04-04/a-look-at-singapores-growing-medical-technolo</w:t>
      </w:r>
      <w:r w:rsidRPr="008157B2">
        <w:rPr>
          <w:rStyle w:val="Hyperlink"/>
          <w:color w:val="auto"/>
          <w:spacing w:val="-6"/>
          <w:u w:val="none"/>
          <w:lang w:val="en-GB"/>
        </w:rPr>
        <w:t>.</w:t>
      </w:r>
    </w:p>
  </w:endnote>
  <w:endnote w:id="43">
    <w:p w14:paraId="7CBA1750" w14:textId="105F259A" w:rsidR="00DD2726" w:rsidRPr="00D117D6" w:rsidRDefault="00DD2726" w:rsidP="00F7486B">
      <w:pPr>
        <w:pStyle w:val="Footnote"/>
        <w:rPr>
          <w:lang w:val="en-GB"/>
        </w:rPr>
      </w:pPr>
      <w:r w:rsidRPr="00D117D6">
        <w:rPr>
          <w:rStyle w:val="EndnoteReference"/>
          <w:lang w:val="en-GB"/>
        </w:rPr>
        <w:endnoteRef/>
      </w:r>
      <w:r>
        <w:rPr>
          <w:lang w:val="en-GB"/>
        </w:rPr>
        <w:t xml:space="preserve"> “</w:t>
      </w:r>
      <w:r w:rsidRPr="00FF48B3">
        <w:rPr>
          <w:lang w:val="en-GB"/>
        </w:rPr>
        <w:t>Singapore | Imports and Exports | World | ALL COMMODITIES | Netweight (Kg); Quantity and Value (US$) | 2018</w:t>
      </w:r>
      <w:r>
        <w:rPr>
          <w:lang w:val="en-GB"/>
        </w:rPr>
        <w:t xml:space="preserve">,” Trend Economy, </w:t>
      </w:r>
      <w:r w:rsidRPr="00D117D6">
        <w:rPr>
          <w:lang w:val="en-GB"/>
        </w:rPr>
        <w:t>accessed April 2,</w:t>
      </w:r>
      <w:r>
        <w:rPr>
          <w:lang w:val="en-GB"/>
        </w:rPr>
        <w:t xml:space="preserve"> </w:t>
      </w:r>
      <w:r w:rsidRPr="00D117D6">
        <w:rPr>
          <w:lang w:val="en-GB"/>
        </w:rPr>
        <w:t xml:space="preserve">2019, </w:t>
      </w:r>
      <w:r w:rsidRPr="008F3EC9">
        <w:rPr>
          <w:lang w:val="en-GB"/>
        </w:rPr>
        <w:t>https://trendeconomy.com/data/h2?commodity=TOTAL&amp;reporter=Singapore&amp;trade_flow=</w:t>
      </w:r>
      <w:r>
        <w:rPr>
          <w:lang w:val="en-GB"/>
        </w:rPr>
        <w:t xml:space="preserve"> </w:t>
      </w:r>
      <w:r w:rsidRPr="008F3EC9">
        <w:rPr>
          <w:lang w:val="en-GB"/>
        </w:rPr>
        <w:t>Export,Import&amp;partner=World&amp;indicator=NW,TQ,TV&amp;time_period=2018</w:t>
      </w:r>
      <w:r>
        <w:rPr>
          <w:rStyle w:val="Hyperlink"/>
          <w:color w:val="auto"/>
          <w:u w:val="none"/>
          <w:lang w:val="en-GB"/>
        </w:rPr>
        <w:t>.</w:t>
      </w:r>
      <w:r w:rsidRPr="00D117D6">
        <w:rPr>
          <w:lang w:val="en-GB"/>
        </w:rPr>
        <w:t xml:space="preserve"> </w:t>
      </w:r>
    </w:p>
  </w:endnote>
  <w:endnote w:id="44">
    <w:p w14:paraId="0A1D4C81" w14:textId="44FD5CC0"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“SATS Coolport,” </w:t>
      </w:r>
      <w:r w:rsidRPr="00D117D6">
        <w:rPr>
          <w:lang w:val="en-GB"/>
        </w:rPr>
        <w:t>SATS</w:t>
      </w:r>
      <w:r>
        <w:rPr>
          <w:lang w:val="en-GB"/>
        </w:rPr>
        <w:t xml:space="preserve"> Ltd.</w:t>
      </w:r>
      <w:r w:rsidRPr="00D117D6">
        <w:rPr>
          <w:lang w:val="en-GB"/>
        </w:rPr>
        <w:t>, accessed April 2, 2019, https://www.sats.com.sg/sites/coolport/Pages/Coolport.aspx</w:t>
      </w:r>
      <w:r>
        <w:rPr>
          <w:lang w:val="en-GB"/>
        </w:rPr>
        <w:t>.</w:t>
      </w:r>
    </w:p>
  </w:endnote>
  <w:endnote w:id="45">
    <w:p w14:paraId="210CAED5" w14:textId="63E2D05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FE46EE">
        <w:rPr>
          <w:lang w:val="en-GB"/>
        </w:rPr>
        <w:t>SATS Coolport Certified as the World’s First Centre of Excellence in Pharmaceutical Handling,</w:t>
      </w:r>
      <w:r>
        <w:rPr>
          <w:lang w:val="en-GB"/>
        </w:rPr>
        <w:t xml:space="preserve">” </w:t>
      </w:r>
      <w:r w:rsidRPr="00EB2548">
        <w:rPr>
          <w:i/>
          <w:iCs/>
          <w:lang w:val="en-GB"/>
        </w:rPr>
        <w:t>Bridging Skies</w:t>
      </w:r>
      <w:r>
        <w:rPr>
          <w:lang w:val="en-GB"/>
        </w:rPr>
        <w:t xml:space="preserve">, no. 24, </w:t>
      </w:r>
      <w:r w:rsidRPr="00D117D6">
        <w:rPr>
          <w:lang w:val="en-GB"/>
        </w:rPr>
        <w:t xml:space="preserve">accessed April 2, 2019, </w:t>
      </w:r>
      <w:r w:rsidRPr="008F3EC9">
        <w:rPr>
          <w:lang w:val="en-GB"/>
        </w:rPr>
        <w:t>https://www.caas.gov.sg/docs/default-source/publication/222s-first-centre-of-excellence-in-pharmaceutical-handling-_-bridging-skies).pdf</w:t>
      </w:r>
      <w:r>
        <w:rPr>
          <w:rStyle w:val="Hyperlink"/>
          <w:color w:val="auto"/>
          <w:u w:val="none"/>
          <w:lang w:val="en-GB"/>
        </w:rPr>
        <w:t>.</w:t>
      </w:r>
      <w:r w:rsidRPr="00D117D6">
        <w:rPr>
          <w:lang w:val="en-GB"/>
        </w:rPr>
        <w:t xml:space="preserve"> </w:t>
      </w:r>
    </w:p>
  </w:endnote>
  <w:endnote w:id="46">
    <w:p w14:paraId="7E9BDD2B" w14:textId="32CC9050"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SATS</w:t>
      </w:r>
      <w:r>
        <w:rPr>
          <w:lang w:val="en-GB"/>
        </w:rPr>
        <w:t xml:space="preserve"> Ltd.,</w:t>
      </w:r>
      <w:r w:rsidRPr="00D117D6">
        <w:rPr>
          <w:lang w:val="en-GB"/>
        </w:rPr>
        <w:t xml:space="preserve"> </w:t>
      </w:r>
      <w:r w:rsidRPr="00FB1574">
        <w:rPr>
          <w:i/>
          <w:iCs/>
          <w:lang w:val="en-GB"/>
        </w:rPr>
        <w:t>Enabling Growth:</w:t>
      </w:r>
      <w:r>
        <w:rPr>
          <w:i/>
          <w:iCs/>
          <w:lang w:val="en-GB"/>
        </w:rPr>
        <w:t xml:space="preserve"> </w:t>
      </w:r>
      <w:r w:rsidRPr="00802750">
        <w:rPr>
          <w:i/>
          <w:iCs/>
          <w:lang w:val="en-GB"/>
        </w:rPr>
        <w:t>Annual Report 2017–18</w:t>
      </w:r>
      <w:r>
        <w:rPr>
          <w:lang w:val="en-GB"/>
        </w:rPr>
        <w:t>, op. cit.</w:t>
      </w:r>
    </w:p>
  </w:endnote>
  <w:endnote w:id="47">
    <w:p w14:paraId="3C80B8E0" w14:textId="41A0F7B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SATS</w:t>
      </w:r>
      <w:r w:rsidRPr="00B41BC1">
        <w:rPr>
          <w:lang w:val="en-GB"/>
        </w:rPr>
        <w:t xml:space="preserve"> Expands Footprint in India with First Integrated On-Airport Perishable Cargo Handling Centre</w:t>
      </w:r>
      <w:r>
        <w:rPr>
          <w:lang w:val="en-GB"/>
        </w:rPr>
        <w:t>,”</w:t>
      </w:r>
      <w:r w:rsidRPr="00B41BC1" w:rsidDel="00B41BC1">
        <w:rPr>
          <w:lang w:val="en-GB"/>
        </w:rPr>
        <w:t xml:space="preserve"> </w:t>
      </w:r>
      <w:r w:rsidRPr="00D117D6">
        <w:rPr>
          <w:lang w:val="en-GB"/>
        </w:rPr>
        <w:t xml:space="preserve">SATS Ltd., </w:t>
      </w:r>
      <w:r>
        <w:rPr>
          <w:lang w:val="en-GB"/>
        </w:rPr>
        <w:t xml:space="preserve">press release, </w:t>
      </w:r>
      <w:r w:rsidRPr="00D117D6">
        <w:rPr>
          <w:lang w:val="en-GB"/>
        </w:rPr>
        <w:t>October 6</w:t>
      </w:r>
      <w:r>
        <w:rPr>
          <w:lang w:val="en-GB"/>
        </w:rPr>
        <w:t>,</w:t>
      </w:r>
      <w:r w:rsidRPr="00D117D6">
        <w:rPr>
          <w:lang w:val="en-GB"/>
        </w:rPr>
        <w:t xml:space="preserve"> 2016, accessed April 2</w:t>
      </w:r>
      <w:r>
        <w:rPr>
          <w:lang w:val="en-GB"/>
        </w:rPr>
        <w:t>,</w:t>
      </w:r>
      <w:r w:rsidRPr="00D117D6">
        <w:rPr>
          <w:lang w:val="en-GB"/>
        </w:rPr>
        <w:t xml:space="preserve"> 2019, </w:t>
      </w:r>
      <w:r w:rsidRPr="00B41BC1">
        <w:rPr>
          <w:lang w:val="en-GB"/>
        </w:rPr>
        <w:t>https://www.sats.com.sg/docs/default-source/media-releases/2016/6oct16-sats-expands-footprint-in-india-with-first-integrated-on-airport-perishable-cargo-handling-centre.pdf?sfvrsn=3f43b0c2_2</w:t>
      </w:r>
      <w:r>
        <w:rPr>
          <w:lang w:val="en-GB"/>
        </w:rPr>
        <w:t>.</w:t>
      </w:r>
    </w:p>
  </w:endnote>
  <w:endnote w:id="48">
    <w:p w14:paraId="301E2242" w14:textId="1B1BE01C" w:rsidR="00DD2726" w:rsidRPr="00D117D6" w:rsidRDefault="00DD2726" w:rsidP="006D3E86">
      <w:pPr>
        <w:pStyle w:val="Footnote"/>
        <w:rPr>
          <w:lang w:val="en-GB"/>
        </w:rPr>
      </w:pPr>
      <w:r w:rsidRPr="00D117D6">
        <w:rPr>
          <w:rStyle w:val="EndnoteReference"/>
          <w:lang w:val="en-GB"/>
        </w:rPr>
        <w:endnoteRef/>
      </w:r>
      <w:r w:rsidRPr="00D117D6">
        <w:rPr>
          <w:lang w:val="en-GB"/>
        </w:rPr>
        <w:t xml:space="preserve"> </w:t>
      </w:r>
      <w:r w:rsidRPr="006D3E86">
        <w:rPr>
          <w:lang w:val="en-GB"/>
        </w:rPr>
        <w:t xml:space="preserve">SATS Ltd., </w:t>
      </w:r>
      <w:r w:rsidRPr="00802750">
        <w:rPr>
          <w:i/>
          <w:iCs/>
          <w:lang w:val="en-GB"/>
        </w:rPr>
        <w:t>Capital Markets Day</w:t>
      </w:r>
      <w:r w:rsidRPr="006D3E86">
        <w:rPr>
          <w:lang w:val="en-GB"/>
        </w:rPr>
        <w:t xml:space="preserve">, </w:t>
      </w:r>
      <w:r>
        <w:rPr>
          <w:lang w:val="en-GB"/>
        </w:rPr>
        <w:t>op. cit.</w:t>
      </w:r>
      <w:r w:rsidRPr="00D117D6">
        <w:rPr>
          <w:lang w:val="en-GB"/>
        </w:rPr>
        <w:t xml:space="preserve"> </w:t>
      </w:r>
    </w:p>
  </w:endnote>
  <w:endnote w:id="49">
    <w:p w14:paraId="0F14FE58" w14:textId="0FBBD48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SATS</w:t>
      </w:r>
      <w:r>
        <w:rPr>
          <w:lang w:val="en-GB"/>
        </w:rPr>
        <w:t xml:space="preserve"> Ltd.,</w:t>
      </w:r>
      <w:r w:rsidRPr="00D117D6">
        <w:rPr>
          <w:lang w:val="en-GB"/>
        </w:rPr>
        <w:t xml:space="preserve"> </w:t>
      </w:r>
      <w:r w:rsidRPr="00FB1574">
        <w:rPr>
          <w:i/>
          <w:iCs/>
          <w:lang w:val="en-GB"/>
        </w:rPr>
        <w:t>Enabling Growth:</w:t>
      </w:r>
      <w:r>
        <w:rPr>
          <w:i/>
          <w:iCs/>
          <w:lang w:val="en-GB"/>
        </w:rPr>
        <w:t xml:space="preserve"> </w:t>
      </w:r>
      <w:r w:rsidRPr="00802750">
        <w:rPr>
          <w:i/>
          <w:iCs/>
          <w:lang w:val="en-GB"/>
        </w:rPr>
        <w:t>Annual Report 2017–18</w:t>
      </w:r>
      <w:r>
        <w:rPr>
          <w:lang w:val="en-GB"/>
        </w:rPr>
        <w:t>, op. cit.</w:t>
      </w:r>
    </w:p>
  </w:endnote>
  <w:endnote w:id="50">
    <w:p w14:paraId="336E2A92" w14:textId="100217A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6D3E86">
        <w:rPr>
          <w:lang w:val="en-GB"/>
        </w:rPr>
        <w:t xml:space="preserve">SATS Ltd., </w:t>
      </w:r>
      <w:r w:rsidRPr="00802750">
        <w:rPr>
          <w:i/>
          <w:iCs/>
          <w:lang w:val="en-GB"/>
        </w:rPr>
        <w:t>Capital Markets Day</w:t>
      </w:r>
      <w:r w:rsidRPr="006D3E86">
        <w:rPr>
          <w:lang w:val="en-GB"/>
        </w:rPr>
        <w:t xml:space="preserve">, </w:t>
      </w:r>
      <w:r>
        <w:rPr>
          <w:lang w:val="en-GB"/>
        </w:rPr>
        <w:t>op. cit.</w:t>
      </w:r>
      <w:r w:rsidRPr="00D117D6">
        <w:rPr>
          <w:lang w:val="en-GB"/>
        </w:rPr>
        <w:t xml:space="preserve"> </w:t>
      </w:r>
    </w:p>
  </w:endnote>
  <w:endnote w:id="51">
    <w:p w14:paraId="6421E621" w14:textId="05133F42" w:rsidR="00DD2726" w:rsidRPr="00EB2548" w:rsidRDefault="00DD2726">
      <w:pPr>
        <w:pStyle w:val="EndnoteText"/>
        <w:rPr>
          <w:lang w:val="en-CA"/>
        </w:rPr>
      </w:pPr>
      <w:r w:rsidRPr="00EB2548">
        <w:rPr>
          <w:rStyle w:val="EndnoteReference"/>
          <w:rFonts w:ascii="Arial" w:hAnsi="Arial" w:cs="Arial"/>
          <w:sz w:val="17"/>
          <w:szCs w:val="17"/>
        </w:rPr>
        <w:endnoteRef/>
      </w:r>
      <w:r w:rsidRPr="00EB2548">
        <w:rPr>
          <w:rFonts w:ascii="Arial" w:hAnsi="Arial" w:cs="Arial"/>
          <w:sz w:val="17"/>
          <w:szCs w:val="17"/>
        </w:rPr>
        <w:t xml:space="preserve"> </w:t>
      </w:r>
      <w:r w:rsidRPr="00EB2548">
        <w:rPr>
          <w:rFonts w:ascii="Arial" w:hAnsi="Arial" w:cs="Arial"/>
          <w:sz w:val="17"/>
          <w:szCs w:val="17"/>
          <w:lang w:val="en-CA"/>
        </w:rPr>
        <w:t>¥ = CNY = Chinese yuan renminbi; US$1 = ¥</w:t>
      </w:r>
      <w:r w:rsidRPr="00EB2548">
        <w:rPr>
          <w:rFonts w:ascii="Arial" w:hAnsi="Arial" w:cs="Arial"/>
          <w:sz w:val="17"/>
          <w:szCs w:val="17"/>
        </w:rPr>
        <w:t xml:space="preserve"> </w:t>
      </w:r>
      <w:r w:rsidRPr="00EB2548">
        <w:rPr>
          <w:rFonts w:ascii="Arial" w:hAnsi="Arial" w:cs="Arial"/>
          <w:sz w:val="17"/>
          <w:szCs w:val="17"/>
          <w:lang w:val="en-CA"/>
        </w:rPr>
        <w:t>7.0515 on August 5, 2019.</w:t>
      </w:r>
    </w:p>
  </w:endnote>
  <w:endnote w:id="52">
    <w:p w14:paraId="281A75BE" w14:textId="6017B171"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Jamie Lee, “</w:t>
      </w:r>
      <w:r w:rsidRPr="00B50F98">
        <w:rPr>
          <w:lang w:val="en-GB"/>
        </w:rPr>
        <w:t>SATS Invests 136m Yuan in Two China JVs</w:t>
      </w:r>
      <w:r>
        <w:rPr>
          <w:lang w:val="en-GB"/>
        </w:rPr>
        <w:t>,</w:t>
      </w:r>
      <w:r w:rsidRPr="00D117D6">
        <w:rPr>
          <w:lang w:val="en-GB"/>
        </w:rPr>
        <w:t xml:space="preserve">” </w:t>
      </w:r>
      <w:r w:rsidRPr="00D117D6">
        <w:rPr>
          <w:i/>
          <w:lang w:val="en-GB"/>
        </w:rPr>
        <w:t>Business Times</w:t>
      </w:r>
      <w:r w:rsidRPr="00D117D6">
        <w:rPr>
          <w:lang w:val="en-GB"/>
        </w:rPr>
        <w:t xml:space="preserve">, January 24, 2019, accessed July 31, 2019, </w:t>
      </w:r>
      <w:r w:rsidRPr="008F3EC9">
        <w:rPr>
          <w:lang w:val="en-GB"/>
        </w:rPr>
        <w:t>https://www.businesstimes.com.sg/companies-markets/sats-invests-136m-yuan-in-two-china-jvs</w:t>
      </w:r>
      <w:r>
        <w:rPr>
          <w:rStyle w:val="Hyperlink"/>
          <w:color w:val="auto"/>
          <w:u w:val="none"/>
          <w:lang w:val="en-GB"/>
        </w:rPr>
        <w:t>.</w:t>
      </w:r>
      <w:r w:rsidRPr="00D117D6">
        <w:rPr>
          <w:lang w:val="en-GB"/>
        </w:rPr>
        <w:t xml:space="preserve"> </w:t>
      </w:r>
    </w:p>
  </w:endnote>
  <w:endnote w:id="53">
    <w:p w14:paraId="1A23CDDF" w14:textId="51B5C214" w:rsidR="00DD2726" w:rsidRPr="00D117D6" w:rsidRDefault="00DD2726" w:rsidP="00B50F98">
      <w:pPr>
        <w:pStyle w:val="Footnote"/>
        <w:rPr>
          <w:lang w:val="en-GB"/>
        </w:rPr>
      </w:pPr>
      <w:r w:rsidRPr="00D117D6">
        <w:rPr>
          <w:rStyle w:val="EndnoteReference"/>
          <w:lang w:val="en-GB"/>
        </w:rPr>
        <w:endnoteRef/>
      </w:r>
      <w:r w:rsidRPr="00D117D6">
        <w:rPr>
          <w:lang w:val="en-GB"/>
        </w:rPr>
        <w:t xml:space="preserve"> </w:t>
      </w:r>
      <w:r w:rsidRPr="00B50F98">
        <w:rPr>
          <w:lang w:val="en-GB"/>
        </w:rPr>
        <w:t>Dominic Barton, Yougang Chen, and Amy Jin</w:t>
      </w:r>
      <w:r>
        <w:rPr>
          <w:lang w:val="en-GB"/>
        </w:rPr>
        <w:t>,</w:t>
      </w:r>
      <w:r w:rsidRPr="00D117D6">
        <w:rPr>
          <w:lang w:val="en-GB"/>
        </w:rPr>
        <w:t xml:space="preserve"> “Mapping China’s Middle Class</w:t>
      </w:r>
      <w:r>
        <w:rPr>
          <w:lang w:val="en-GB"/>
        </w:rPr>
        <w:t>,</w:t>
      </w:r>
      <w:r w:rsidRPr="00D117D6">
        <w:rPr>
          <w:lang w:val="en-GB"/>
        </w:rPr>
        <w:t>”</w:t>
      </w:r>
      <w:r>
        <w:rPr>
          <w:lang w:val="en-GB"/>
        </w:rPr>
        <w:t xml:space="preserve"> </w:t>
      </w:r>
      <w:r w:rsidRPr="00EB2548">
        <w:rPr>
          <w:i/>
          <w:iCs/>
          <w:lang w:val="en-GB"/>
        </w:rPr>
        <w:t>McKinsey Quarterly</w:t>
      </w:r>
      <w:r>
        <w:rPr>
          <w:lang w:val="en-GB"/>
        </w:rPr>
        <w:t>,</w:t>
      </w:r>
      <w:r w:rsidRPr="00D117D6">
        <w:rPr>
          <w:lang w:val="en-GB"/>
        </w:rPr>
        <w:t xml:space="preserve"> June </w:t>
      </w:r>
      <w:r>
        <w:rPr>
          <w:lang w:val="en-GB"/>
        </w:rPr>
        <w:t xml:space="preserve">1, </w:t>
      </w:r>
      <w:r w:rsidRPr="00D117D6">
        <w:rPr>
          <w:lang w:val="en-GB"/>
        </w:rPr>
        <w:t>2013, accessed April 2</w:t>
      </w:r>
      <w:r>
        <w:rPr>
          <w:lang w:val="en-GB"/>
        </w:rPr>
        <w:t>,</w:t>
      </w:r>
      <w:r w:rsidRPr="00D117D6">
        <w:rPr>
          <w:lang w:val="en-GB"/>
        </w:rPr>
        <w:t xml:space="preserve"> 2019, </w:t>
      </w:r>
      <w:r w:rsidRPr="008F3EC9">
        <w:rPr>
          <w:lang w:val="en-GB"/>
        </w:rPr>
        <w:t>https://www.mckinsey.com/industries/retail/our-insights/mapping-chinas-middle-class</w:t>
      </w:r>
      <w:r>
        <w:rPr>
          <w:rStyle w:val="Hyperlink"/>
          <w:color w:val="auto"/>
          <w:u w:val="none"/>
          <w:lang w:val="en-GB"/>
        </w:rPr>
        <w:t>.</w:t>
      </w:r>
      <w:r w:rsidRPr="00D117D6">
        <w:rPr>
          <w:lang w:val="en-GB"/>
        </w:rPr>
        <w:t xml:space="preserve"> </w:t>
      </w:r>
    </w:p>
  </w:endnote>
  <w:endnote w:id="54">
    <w:p w14:paraId="6A9DA14D" w14:textId="4E53D03F"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B50F98">
        <w:rPr>
          <w:lang w:val="en-GB"/>
        </w:rPr>
        <w:t>How Is China Feeding Its Population of 1.4 Billion?</w:t>
      </w:r>
      <w:r>
        <w:rPr>
          <w:lang w:val="en-GB"/>
        </w:rPr>
        <w:t>,” ChinaPower Project,</w:t>
      </w:r>
      <w:r w:rsidRPr="00B50F98" w:rsidDel="00B50F98">
        <w:rPr>
          <w:lang w:val="en-GB"/>
        </w:rPr>
        <w:t xml:space="preserve"> </w:t>
      </w:r>
      <w:r w:rsidRPr="00D117D6">
        <w:rPr>
          <w:lang w:val="en-GB"/>
        </w:rPr>
        <w:t>January 25</w:t>
      </w:r>
      <w:r>
        <w:rPr>
          <w:lang w:val="en-GB"/>
        </w:rPr>
        <w:t>,</w:t>
      </w:r>
      <w:r w:rsidRPr="00D117D6">
        <w:rPr>
          <w:lang w:val="en-GB"/>
        </w:rPr>
        <w:t xml:space="preserve"> 2017, accessed April 2</w:t>
      </w:r>
      <w:r>
        <w:rPr>
          <w:lang w:val="en-GB"/>
        </w:rPr>
        <w:t>,</w:t>
      </w:r>
      <w:r w:rsidRPr="00D117D6">
        <w:rPr>
          <w:lang w:val="en-GB"/>
        </w:rPr>
        <w:t xml:space="preserve"> 2019, </w:t>
      </w:r>
      <w:r w:rsidRPr="008F3EC9">
        <w:rPr>
          <w:lang w:val="en-GB"/>
        </w:rPr>
        <w:t>https://chinapower.csis.org/china-food-security/</w:t>
      </w:r>
      <w:r>
        <w:rPr>
          <w:rStyle w:val="Hyperlink"/>
          <w:color w:val="auto"/>
          <w:u w:val="none"/>
          <w:lang w:val="en-GB"/>
        </w:rPr>
        <w:t>.</w:t>
      </w:r>
      <w:r w:rsidRPr="00D117D6">
        <w:rPr>
          <w:lang w:val="en-GB"/>
        </w:rPr>
        <w:t xml:space="preserve"> </w:t>
      </w:r>
    </w:p>
  </w:endnote>
  <w:endnote w:id="55">
    <w:p w14:paraId="3C41F724" w14:textId="0ECE7AC5"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Michael Finn, </w:t>
      </w:r>
      <w:r w:rsidRPr="00EB2548">
        <w:rPr>
          <w:i/>
          <w:iCs/>
          <w:lang w:val="en-GB"/>
        </w:rPr>
        <w:t>2016 Top Markets Report: Pharmaceuticals</w:t>
      </w:r>
      <w:r w:rsidRPr="000F5B0F" w:rsidDel="000F5B0F">
        <w:rPr>
          <w:lang w:val="en-GB"/>
        </w:rPr>
        <w:t xml:space="preserve"> </w:t>
      </w:r>
      <w:r>
        <w:rPr>
          <w:lang w:val="en-GB"/>
        </w:rPr>
        <w:t xml:space="preserve">(International Trade Association, </w:t>
      </w:r>
      <w:r w:rsidRPr="00D117D6">
        <w:rPr>
          <w:lang w:val="en-GB"/>
        </w:rPr>
        <w:t>May 2016</w:t>
      </w:r>
      <w:r>
        <w:rPr>
          <w:lang w:val="en-GB"/>
        </w:rPr>
        <w:t>)</w:t>
      </w:r>
      <w:r w:rsidRPr="00D117D6">
        <w:rPr>
          <w:lang w:val="en-GB"/>
        </w:rPr>
        <w:t>, accessed April 2</w:t>
      </w:r>
      <w:r>
        <w:rPr>
          <w:lang w:val="en-GB"/>
        </w:rPr>
        <w:t>,</w:t>
      </w:r>
      <w:r w:rsidRPr="00D117D6">
        <w:rPr>
          <w:lang w:val="en-GB"/>
        </w:rPr>
        <w:t xml:space="preserve"> 2019, </w:t>
      </w:r>
      <w:r w:rsidRPr="000F5B0F">
        <w:rPr>
          <w:lang w:val="en-GB"/>
        </w:rPr>
        <w:t>https://legacy.trade.gov/topmarkets/pdf/Pharmaceuticals_Top_Markets_Reports.pdf</w:t>
      </w:r>
      <w:r>
        <w:rPr>
          <w:lang w:val="en-GB"/>
        </w:rPr>
        <w:t>.</w:t>
      </w:r>
      <w:r w:rsidRPr="000F5B0F" w:rsidDel="000F5B0F">
        <w:rPr>
          <w:lang w:val="en-GB"/>
        </w:rPr>
        <w:t xml:space="preserve"> </w:t>
      </w:r>
    </w:p>
  </w:endnote>
  <w:endnote w:id="56">
    <w:p w14:paraId="49B2F6B2" w14:textId="0C3D58A5"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Ken</w:t>
      </w:r>
      <w:r w:rsidRPr="00D117D6">
        <w:rPr>
          <w:lang w:val="en-GB"/>
        </w:rPr>
        <w:t xml:space="preserve"> Research, </w:t>
      </w:r>
      <w:r>
        <w:rPr>
          <w:lang w:val="en-GB"/>
        </w:rPr>
        <w:t>op. cit.</w:t>
      </w:r>
      <w:r w:rsidRPr="00D117D6">
        <w:rPr>
          <w:lang w:val="en-GB"/>
        </w:rPr>
        <w:t xml:space="preserve"> </w:t>
      </w:r>
    </w:p>
  </w:endnote>
  <w:endnote w:id="57">
    <w:p w14:paraId="71AEE39A" w14:textId="6FEB598F"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Fan Feifei, “</w:t>
      </w:r>
      <w:r w:rsidRPr="00B35A10">
        <w:rPr>
          <w:lang w:val="en-GB"/>
        </w:rPr>
        <w:t>Consumption Upgrading Heats Up Cold Chain Logistics</w:t>
      </w:r>
      <w:r>
        <w:rPr>
          <w:lang w:val="en-GB"/>
        </w:rPr>
        <w:t>,</w:t>
      </w:r>
      <w:r w:rsidRPr="00D117D6">
        <w:rPr>
          <w:lang w:val="en-GB"/>
        </w:rPr>
        <w:t xml:space="preserve">” </w:t>
      </w:r>
      <w:r w:rsidRPr="00D117D6">
        <w:rPr>
          <w:i/>
          <w:lang w:val="en-GB"/>
        </w:rPr>
        <w:t>China Daily</w:t>
      </w:r>
      <w:r w:rsidRPr="00D117D6">
        <w:rPr>
          <w:lang w:val="en-GB"/>
        </w:rPr>
        <w:t xml:space="preserve">, July 11, 2019, accessed July 20, 2010, </w:t>
      </w:r>
      <w:r w:rsidRPr="008F3EC9">
        <w:rPr>
          <w:lang w:val="en-GB"/>
        </w:rPr>
        <w:t>www.chinadaily.com.cn/a/201907/11/WS5d267629a3105895c2e7cd2a.html</w:t>
      </w:r>
      <w:r>
        <w:rPr>
          <w:rStyle w:val="Hyperlink"/>
          <w:color w:val="auto"/>
          <w:u w:val="none"/>
          <w:lang w:val="en-GB"/>
        </w:rPr>
        <w:t>.</w:t>
      </w:r>
      <w:r w:rsidRPr="00D117D6">
        <w:rPr>
          <w:lang w:val="en-GB"/>
        </w:rPr>
        <w:t xml:space="preserve"> </w:t>
      </w:r>
    </w:p>
  </w:endnote>
  <w:endnote w:id="58">
    <w:p w14:paraId="5D5E7C16" w14:textId="2EE7BDE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2D58D9">
        <w:rPr>
          <w:lang w:val="en-GB"/>
        </w:rPr>
        <w:t>China Cold Chain Market including Cold Storage and Transportation Industry to Register High Growth on Account of High Demand from Express Logistics Sector</w:t>
      </w:r>
      <w:r>
        <w:rPr>
          <w:lang w:val="en-GB"/>
        </w:rPr>
        <w:t xml:space="preserve">,” Ken Research, </w:t>
      </w:r>
      <w:r w:rsidRPr="00D117D6">
        <w:rPr>
          <w:lang w:val="en-GB"/>
        </w:rPr>
        <w:t>May 16 2018, accessed May 15</w:t>
      </w:r>
      <w:r>
        <w:rPr>
          <w:lang w:val="en-GB"/>
        </w:rPr>
        <w:t>,</w:t>
      </w:r>
      <w:r w:rsidRPr="00D117D6">
        <w:rPr>
          <w:lang w:val="en-GB"/>
        </w:rPr>
        <w:t xml:space="preserve"> 2019, </w:t>
      </w:r>
      <w:r w:rsidRPr="008F3EC9">
        <w:rPr>
          <w:lang w:val="en-GB"/>
        </w:rPr>
        <w:t>https://www.kenresearch.com/blog/2018/05/china-cold-chain-market-including-cold-storage-and-transportation-industry-to-register-high-growth-on-account-of-high-demand-from-express-logistics-sector-ken-research/</w:t>
      </w:r>
      <w:r>
        <w:rPr>
          <w:rStyle w:val="Hyperlink"/>
          <w:color w:val="auto"/>
          <w:u w:val="none"/>
          <w:lang w:val="en-GB"/>
        </w:rPr>
        <w:t>.</w:t>
      </w:r>
      <w:r w:rsidRPr="00D117D6">
        <w:rPr>
          <w:lang w:val="en-GB"/>
        </w:rPr>
        <w:t xml:space="preserve"> </w:t>
      </w:r>
    </w:p>
  </w:endnote>
  <w:endnote w:id="59">
    <w:p w14:paraId="0CCB3CA0" w14:textId="7F7C1E36"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4A6365">
        <w:rPr>
          <w:lang w:val="en-GB"/>
        </w:rPr>
        <w:t>HNA Group Units to Boost Yangtze River Express’ Shareholding</w:t>
      </w:r>
      <w:r>
        <w:rPr>
          <w:lang w:val="en-GB"/>
        </w:rPr>
        <w:t xml:space="preserve">,” Ch-aviation, </w:t>
      </w:r>
      <w:r w:rsidRPr="00D117D6">
        <w:rPr>
          <w:lang w:val="en-GB"/>
        </w:rPr>
        <w:t>July 20, 2013, accessed May 10, 2019,</w:t>
      </w:r>
      <w:r>
        <w:rPr>
          <w:lang w:val="en-GB"/>
        </w:rPr>
        <w:t xml:space="preserve"> </w:t>
      </w:r>
      <w:r w:rsidRPr="008F3EC9">
        <w:rPr>
          <w:lang w:val="en-GB"/>
        </w:rPr>
        <w:t>https://www.ch-aviation.com/portal/news/47948-hna-group-units-to-boost-yangtze-river-express-shareholding</w:t>
      </w:r>
      <w:r>
        <w:rPr>
          <w:rStyle w:val="Hyperlink"/>
          <w:color w:val="auto"/>
          <w:u w:val="none"/>
          <w:lang w:val="en-GB"/>
        </w:rPr>
        <w:t>.</w:t>
      </w:r>
      <w:r w:rsidRPr="00D117D6">
        <w:rPr>
          <w:lang w:val="en-GB"/>
        </w:rPr>
        <w:t xml:space="preserve"> </w:t>
      </w:r>
    </w:p>
  </w:endnote>
  <w:endnote w:id="60">
    <w:p w14:paraId="6BE1776D" w14:textId="51A221E9"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6E4DAC">
        <w:rPr>
          <w:lang w:val="en-GB"/>
        </w:rPr>
        <w:t>Hong Kong Airport Maintains Pole Position despite Flat Cargo Growth</w:t>
      </w:r>
      <w:r>
        <w:rPr>
          <w:lang w:val="en-GB"/>
        </w:rPr>
        <w:t xml:space="preserve">,” Asia Cargo News, </w:t>
      </w:r>
      <w:r w:rsidRPr="00D117D6">
        <w:rPr>
          <w:lang w:val="en-GB"/>
        </w:rPr>
        <w:t xml:space="preserve">August 5, 2016, accessed May 10, 2019, </w:t>
      </w:r>
      <w:r w:rsidRPr="008F3EC9">
        <w:rPr>
          <w:lang w:val="en-GB"/>
        </w:rPr>
        <w:t>www.asiacargonews.com/en/news/detail?id=1100</w:t>
      </w:r>
      <w:r>
        <w:rPr>
          <w:rStyle w:val="Hyperlink"/>
          <w:color w:val="auto"/>
          <w:u w:val="none"/>
          <w:lang w:val="en-GB"/>
        </w:rPr>
        <w:t>.</w:t>
      </w:r>
      <w:r w:rsidRPr="00D117D6">
        <w:rPr>
          <w:lang w:val="en-GB"/>
        </w:rPr>
        <w:t xml:space="preserve"> </w:t>
      </w:r>
    </w:p>
  </w:endnote>
  <w:endnote w:id="61">
    <w:p w14:paraId="43AF7E5E" w14:textId="1086A3C9"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196B35">
        <w:rPr>
          <w:lang w:val="en-GB"/>
        </w:rPr>
        <w:t>Beijing’s 2nd Intl Airport to Be Operational Soon</w:t>
      </w:r>
      <w:r>
        <w:rPr>
          <w:lang w:val="en-GB"/>
        </w:rPr>
        <w:t xml:space="preserve">,” ANI, </w:t>
      </w:r>
      <w:r w:rsidRPr="00D117D6">
        <w:rPr>
          <w:lang w:val="en-GB"/>
        </w:rPr>
        <w:t xml:space="preserve">September 19, 2019, accessed September 19, 2019, </w:t>
      </w:r>
      <w:r w:rsidRPr="008F3EC9">
        <w:rPr>
          <w:lang w:val="en-GB"/>
        </w:rPr>
        <w:t>https://www.aninews.in/news/world/asia/beijings-2nd-intl-airport-to-be-operational-soon20190919165747/</w:t>
      </w:r>
      <w:r>
        <w:rPr>
          <w:rStyle w:val="Hyperlink"/>
          <w:color w:val="auto"/>
          <w:u w:val="none"/>
          <w:lang w:val="en-GB"/>
        </w:rPr>
        <w:t>.</w:t>
      </w:r>
      <w:r w:rsidRPr="00D117D6">
        <w:rPr>
          <w:lang w:val="en-GB"/>
        </w:rPr>
        <w:t xml:space="preserve"> </w:t>
      </w:r>
    </w:p>
  </w:endnote>
  <w:endnote w:id="62">
    <w:p w14:paraId="3E8FBA09" w14:textId="287E56CF"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Wang Feng</w:t>
      </w:r>
      <w:r w:rsidRPr="00D117D6">
        <w:rPr>
          <w:lang w:val="en-GB"/>
        </w:rPr>
        <w:t xml:space="preserve">, </w:t>
      </w:r>
      <w:r w:rsidRPr="00EB2548">
        <w:rPr>
          <w:i/>
          <w:iCs/>
          <w:lang w:val="en-GB"/>
        </w:rPr>
        <w:t>Beijing as a Globally Fluent City</w:t>
      </w:r>
      <w:r>
        <w:rPr>
          <w:lang w:val="en-GB"/>
        </w:rPr>
        <w:t xml:space="preserve"> (</w:t>
      </w:r>
      <w:r w:rsidRPr="007E3A43">
        <w:rPr>
          <w:lang w:val="en-GB"/>
        </w:rPr>
        <w:t>Brookings-Tsinghua Center for Public Policy</w:t>
      </w:r>
      <w:r>
        <w:rPr>
          <w:lang w:val="en-GB"/>
        </w:rPr>
        <w:t xml:space="preserve"> and </w:t>
      </w:r>
      <w:r w:rsidRPr="007E3A43">
        <w:rPr>
          <w:lang w:val="en-GB"/>
        </w:rPr>
        <w:t>Global Cities Initiative</w:t>
      </w:r>
      <w:r>
        <w:rPr>
          <w:lang w:val="en-GB"/>
        </w:rPr>
        <w:t xml:space="preserve">), </w:t>
      </w:r>
      <w:r w:rsidRPr="00D117D6">
        <w:rPr>
          <w:lang w:val="en-GB"/>
        </w:rPr>
        <w:t xml:space="preserve">accessed May 10, 2019, </w:t>
      </w:r>
      <w:r w:rsidRPr="008F3EC9">
        <w:rPr>
          <w:lang w:val="en-GB"/>
        </w:rPr>
        <w:t>https://www.brookings.edu/wp-content/uploads/2016/06/Beijing-as-a-Globally-Fluent-City.pdf</w:t>
      </w:r>
      <w:r>
        <w:rPr>
          <w:lang w:val="en-GB"/>
        </w:rPr>
        <w:t>.</w:t>
      </w:r>
    </w:p>
  </w:endnote>
  <w:endnote w:id="63">
    <w:p w14:paraId="12F61457" w14:textId="11D504C4" w:rsidR="00DD2726" w:rsidRPr="006942AC" w:rsidRDefault="00DD2726">
      <w:pPr>
        <w:pStyle w:val="EndnoteText"/>
        <w:rPr>
          <w:rFonts w:ascii="Arial" w:hAnsi="Arial" w:cs="Arial"/>
          <w:sz w:val="17"/>
          <w:szCs w:val="17"/>
          <w:lang w:val="en-CA"/>
        </w:rPr>
      </w:pPr>
      <w:r w:rsidRPr="00FB15DC">
        <w:rPr>
          <w:rStyle w:val="EndnoteReference"/>
          <w:rFonts w:ascii="Arial" w:hAnsi="Arial" w:cs="Arial"/>
          <w:sz w:val="17"/>
          <w:szCs w:val="17"/>
        </w:rPr>
        <w:endnoteRef/>
      </w:r>
      <w:r w:rsidRPr="00FB15DC">
        <w:rPr>
          <w:rFonts w:ascii="Arial" w:hAnsi="Arial" w:cs="Arial"/>
          <w:sz w:val="17"/>
          <w:szCs w:val="17"/>
        </w:rPr>
        <w:t xml:space="preserve"> The One Belt </w:t>
      </w:r>
      <w:r>
        <w:rPr>
          <w:rFonts w:ascii="Arial" w:hAnsi="Arial" w:cs="Arial"/>
          <w:sz w:val="17"/>
          <w:szCs w:val="17"/>
          <w:lang w:val="en-CA"/>
        </w:rPr>
        <w:t xml:space="preserve">and </w:t>
      </w:r>
      <w:r w:rsidRPr="00FB15DC">
        <w:rPr>
          <w:rFonts w:ascii="Arial" w:hAnsi="Arial" w:cs="Arial"/>
          <w:sz w:val="17"/>
          <w:szCs w:val="17"/>
        </w:rPr>
        <w:t>One Road</w:t>
      </w:r>
      <w:r>
        <w:rPr>
          <w:rFonts w:ascii="Arial" w:hAnsi="Arial" w:cs="Arial"/>
          <w:sz w:val="17"/>
          <w:szCs w:val="17"/>
          <w:lang w:val="en-CA"/>
        </w:rPr>
        <w:t xml:space="preserve"> initiative</w:t>
      </w:r>
      <w:r w:rsidRPr="00FB15DC">
        <w:rPr>
          <w:rFonts w:ascii="Arial" w:hAnsi="Arial" w:cs="Arial"/>
          <w:sz w:val="17"/>
          <w:szCs w:val="17"/>
        </w:rPr>
        <w:t xml:space="preserve"> is a global infrastructure development spearheaded by the Chinese government in 2013 to collaborate with close to 70 countries and international organizations</w:t>
      </w:r>
      <w:r>
        <w:rPr>
          <w:rFonts w:ascii="Arial" w:hAnsi="Arial" w:cs="Arial"/>
          <w:sz w:val="17"/>
          <w:szCs w:val="17"/>
          <w:lang w:val="en-CA"/>
        </w:rPr>
        <w:t>.</w:t>
      </w:r>
    </w:p>
  </w:endnote>
  <w:endnote w:id="64">
    <w:p w14:paraId="2AE0B59A" w14:textId="379E790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The World Bank, </w:t>
      </w:r>
      <w:r w:rsidRPr="00FB15DC">
        <w:rPr>
          <w:i/>
          <w:iCs/>
          <w:lang w:val="en-GB"/>
        </w:rPr>
        <w:t>Air Freight: A Market Study with Implications for Landlocked Countries</w:t>
      </w:r>
      <w:r w:rsidRPr="00D117D6">
        <w:rPr>
          <w:lang w:val="en-GB"/>
        </w:rPr>
        <w:t>, August 2009, accessed May 10</w:t>
      </w:r>
      <w:r>
        <w:rPr>
          <w:lang w:val="en-GB"/>
        </w:rPr>
        <w:t>,</w:t>
      </w:r>
      <w:r w:rsidRPr="00D117D6">
        <w:rPr>
          <w:lang w:val="en-GB"/>
        </w:rPr>
        <w:t xml:space="preserve"> 2019, </w:t>
      </w:r>
      <w:r w:rsidRPr="008F3EC9">
        <w:rPr>
          <w:lang w:val="en-GB"/>
        </w:rPr>
        <w:t>www.worldbank.org/en/topic/transport/publication/air-freight-study</w:t>
      </w:r>
      <w:r>
        <w:rPr>
          <w:rStyle w:val="Hyperlink"/>
          <w:color w:val="auto"/>
          <w:u w:val="none"/>
          <w:lang w:val="en-GB"/>
        </w:rPr>
        <w:t>.</w:t>
      </w:r>
      <w:r w:rsidRPr="00D117D6">
        <w:rPr>
          <w:lang w:val="en-GB"/>
        </w:rPr>
        <w:t xml:space="preserve"> </w:t>
      </w:r>
    </w:p>
  </w:endnote>
  <w:endnote w:id="65">
    <w:p w14:paraId="09A38F9E" w14:textId="0C3416E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8" w:name="_Hlk65772101"/>
      <w:r w:rsidRPr="008157B2">
        <w:rPr>
          <w:lang w:val="en-GB"/>
        </w:rPr>
        <w:t>Greg Knowler, “China-Europe Rail Growth Unsettles Air Cargo Service Providers,” The Journal of Commerce Online, July 20, 2018, accessed May 10, 2019, https://www.joc.com/rail-intermodal/international-rail/china-europe-rail-growth-unsettles-air-cargo-service-providers_20180720.html</w:t>
      </w:r>
      <w:bookmarkEnd w:id="8"/>
      <w:r w:rsidRPr="008157B2">
        <w:rPr>
          <w:rStyle w:val="Hyperlink"/>
          <w:color w:val="auto"/>
          <w:u w:val="none"/>
          <w:lang w:val="en-GB"/>
        </w:rPr>
        <w:t>.</w:t>
      </w:r>
    </w:p>
  </w:endnote>
  <w:endnote w:id="66">
    <w:p w14:paraId="62C95C7D" w14:textId="455E983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A 20-foot</w:t>
      </w:r>
      <w:r w:rsidRPr="00D117D6">
        <w:rPr>
          <w:lang w:val="en-GB"/>
        </w:rPr>
        <w:t xml:space="preserve"> </w:t>
      </w:r>
      <w:r>
        <w:rPr>
          <w:lang w:val="en-GB"/>
        </w:rPr>
        <w:t>equivalent unit was</w:t>
      </w:r>
      <w:r w:rsidRPr="00D117D6">
        <w:rPr>
          <w:lang w:val="en-GB"/>
        </w:rPr>
        <w:t xml:space="preserve"> used to describe cargo on container ships </w:t>
      </w:r>
      <w:r>
        <w:rPr>
          <w:lang w:val="en-GB"/>
        </w:rPr>
        <w:t>and equalled an average of</w:t>
      </w:r>
      <w:r w:rsidRPr="00D117D6">
        <w:rPr>
          <w:lang w:val="en-GB"/>
        </w:rPr>
        <w:t xml:space="preserve"> 24,</w:t>
      </w:r>
      <w:r>
        <w:rPr>
          <w:lang w:val="en-GB"/>
        </w:rPr>
        <w:t>000 kilograms.</w:t>
      </w:r>
    </w:p>
  </w:endnote>
  <w:endnote w:id="67">
    <w:p w14:paraId="61EE1B2C" w14:textId="469F57B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Knowler, op. cit.</w:t>
      </w:r>
      <w:r w:rsidRPr="00D117D6">
        <w:rPr>
          <w:lang w:val="en-GB"/>
        </w:rPr>
        <w:t xml:space="preserve"> </w:t>
      </w:r>
    </w:p>
  </w:endnote>
  <w:endnote w:id="68">
    <w:p w14:paraId="0695592E" w14:textId="1AC3FA4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2115BF">
        <w:rPr>
          <w:lang w:val="en-GB"/>
        </w:rPr>
        <w:t>DHL Express Opens $175M Air Hub in Shanghai</w:t>
      </w:r>
      <w:r>
        <w:rPr>
          <w:lang w:val="en-GB"/>
        </w:rPr>
        <w:t xml:space="preserve">,” Post &amp; Parcel, </w:t>
      </w:r>
      <w:r w:rsidRPr="00D117D6">
        <w:rPr>
          <w:lang w:val="en-GB"/>
        </w:rPr>
        <w:t>July 12</w:t>
      </w:r>
      <w:r>
        <w:rPr>
          <w:lang w:val="en-GB"/>
        </w:rPr>
        <w:t>,</w:t>
      </w:r>
      <w:r w:rsidRPr="00D117D6">
        <w:rPr>
          <w:lang w:val="en-GB"/>
        </w:rPr>
        <w:t xml:space="preserve"> 2012, accessed May 10</w:t>
      </w:r>
      <w:r>
        <w:rPr>
          <w:lang w:val="en-GB"/>
        </w:rPr>
        <w:t>,</w:t>
      </w:r>
      <w:r w:rsidRPr="00D117D6">
        <w:rPr>
          <w:lang w:val="en-GB"/>
        </w:rPr>
        <w:t xml:space="preserve"> 2019, </w:t>
      </w:r>
      <w:r w:rsidRPr="008F3EC9">
        <w:rPr>
          <w:lang w:val="en-GB"/>
        </w:rPr>
        <w:t>https://postandparcel.info/49041/news/dhl-express-opens-175m-air-hub-in-shanghai/</w:t>
      </w:r>
      <w:r>
        <w:rPr>
          <w:rStyle w:val="Hyperlink"/>
          <w:color w:val="auto"/>
          <w:u w:val="none"/>
          <w:lang w:val="en-GB"/>
        </w:rPr>
        <w:t>.</w:t>
      </w:r>
      <w:r w:rsidRPr="00D117D6">
        <w:rPr>
          <w:lang w:val="en-GB"/>
        </w:rPr>
        <w:t xml:space="preserve"> </w:t>
      </w:r>
    </w:p>
  </w:endnote>
  <w:endnote w:id="69">
    <w:p w14:paraId="2A8AE64B" w14:textId="1587EE8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2115BF">
        <w:rPr>
          <w:lang w:val="en-GB"/>
        </w:rPr>
        <w:t>DHL Launches First Life Science &amp; Healthcare Competence Centre in Shanghai</w:t>
      </w:r>
      <w:r>
        <w:rPr>
          <w:lang w:val="en-GB"/>
        </w:rPr>
        <w:t>,” DHL International, press release,</w:t>
      </w:r>
      <w:r w:rsidRPr="002115BF" w:rsidDel="002115BF">
        <w:rPr>
          <w:lang w:val="en-GB"/>
        </w:rPr>
        <w:t xml:space="preserve"> </w:t>
      </w:r>
      <w:r w:rsidRPr="00D117D6">
        <w:rPr>
          <w:lang w:val="en-GB"/>
        </w:rPr>
        <w:t>June 18</w:t>
      </w:r>
      <w:r>
        <w:rPr>
          <w:lang w:val="en-GB"/>
        </w:rPr>
        <w:t>,</w:t>
      </w:r>
      <w:r w:rsidRPr="00D117D6">
        <w:rPr>
          <w:lang w:val="en-GB"/>
        </w:rPr>
        <w:t xml:space="preserve"> 2009, accessed May 10</w:t>
      </w:r>
      <w:r>
        <w:rPr>
          <w:lang w:val="en-GB"/>
        </w:rPr>
        <w:t>,</w:t>
      </w:r>
      <w:r w:rsidRPr="00D117D6">
        <w:rPr>
          <w:lang w:val="en-GB"/>
        </w:rPr>
        <w:t xml:space="preserve"> 2019, </w:t>
      </w:r>
      <w:r w:rsidRPr="008F3EC9">
        <w:rPr>
          <w:lang w:val="en-GB"/>
        </w:rPr>
        <w:t>www.dhl.com.sg/en/press/releases/releases_2009/local/180609.html</w:t>
      </w:r>
      <w:r>
        <w:rPr>
          <w:rStyle w:val="Hyperlink"/>
          <w:color w:val="auto"/>
          <w:u w:val="none"/>
          <w:lang w:val="en-GB"/>
        </w:rPr>
        <w:t>.</w:t>
      </w:r>
      <w:r w:rsidRPr="00D117D6">
        <w:rPr>
          <w:lang w:val="en-GB"/>
        </w:rPr>
        <w:t xml:space="preserve"> </w:t>
      </w:r>
    </w:p>
  </w:endnote>
  <w:endnote w:id="70">
    <w:p w14:paraId="2DB1A802" w14:textId="69F4FB2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International Air Transport Association</w:t>
      </w:r>
      <w:r w:rsidRPr="00D117D6">
        <w:rPr>
          <w:lang w:val="en-GB"/>
        </w:rPr>
        <w:t xml:space="preserve">, </w:t>
      </w:r>
      <w:r w:rsidRPr="00EB2548">
        <w:rPr>
          <w:i/>
          <w:iCs/>
          <w:lang w:val="en-GB"/>
        </w:rPr>
        <w:t>Aviation Policy in China: An Analysis of Recent Developments</w:t>
      </w:r>
      <w:r w:rsidRPr="00D117D6">
        <w:rPr>
          <w:lang w:val="en-GB"/>
        </w:rPr>
        <w:t>, October 2011, accessed May 10</w:t>
      </w:r>
      <w:r>
        <w:rPr>
          <w:lang w:val="en-GB"/>
        </w:rPr>
        <w:t>,</w:t>
      </w:r>
      <w:r w:rsidRPr="00D117D6">
        <w:rPr>
          <w:lang w:val="en-GB"/>
        </w:rPr>
        <w:t xml:space="preserve"> 2019, </w:t>
      </w:r>
      <w:r w:rsidRPr="008F3EC9">
        <w:rPr>
          <w:lang w:val="en-GB"/>
        </w:rPr>
        <w:t>https://www.iata.org/whatwedo/Documents/economics/Lei-OConnell-Aviation-Policy-in-China.pdf</w:t>
      </w:r>
      <w:r>
        <w:rPr>
          <w:rStyle w:val="Hyperlink"/>
          <w:color w:val="auto"/>
          <w:u w:val="none"/>
          <w:lang w:val="en-GB"/>
        </w:rPr>
        <w:t>.</w:t>
      </w:r>
      <w:r w:rsidRPr="00D117D6">
        <w:rPr>
          <w:lang w:val="en-GB"/>
        </w:rPr>
        <w:t xml:space="preserve"> </w:t>
      </w:r>
    </w:p>
  </w:endnote>
  <w:endnote w:id="71">
    <w:p w14:paraId="138729A0" w14:textId="07DF1A0B"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Ibid.</w:t>
      </w:r>
      <w:r w:rsidRPr="00D117D6">
        <w:rPr>
          <w:lang w:val="en-GB"/>
        </w:rPr>
        <w:t xml:space="preserve"> </w:t>
      </w:r>
    </w:p>
  </w:endnote>
  <w:endnote w:id="72">
    <w:p w14:paraId="43548AE2" w14:textId="07ABF8A6"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Alexander Niehues, Edward Tse, and Justin Zubrod, </w:t>
      </w:r>
      <w:r w:rsidRPr="00EB2548">
        <w:rPr>
          <w:i/>
          <w:iCs/>
          <w:lang w:val="en-GB"/>
        </w:rPr>
        <w:t>Express Opportunities in China: Packaging a Strategy for the International and Domestic Express Delivery Market</w:t>
      </w:r>
      <w:r>
        <w:rPr>
          <w:lang w:val="en-GB"/>
        </w:rPr>
        <w:t xml:space="preserve"> (New York, NY: Booz &amp; Company, 2007).</w:t>
      </w:r>
    </w:p>
  </w:endnote>
  <w:endnote w:id="73">
    <w:p w14:paraId="1D60DCF1" w14:textId="692ED5D8"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9" w:name="_Hlk65772295"/>
      <w:r w:rsidRPr="008157B2">
        <w:rPr>
          <w:lang w:val="en-GB"/>
        </w:rPr>
        <w:t>SATS Ltd., “SATS Acquires Japan Airlines International’s 50.7% Equity Stake in TFK Corporation for ¥7.8 Billion</w:t>
      </w:r>
      <w:r w:rsidRPr="008157B2" w:rsidDel="00A62762">
        <w:rPr>
          <w:lang w:val="en-GB"/>
        </w:rPr>
        <w:t xml:space="preserve"> </w:t>
      </w:r>
      <w:r w:rsidRPr="008157B2">
        <w:rPr>
          <w:lang w:val="en-GB"/>
        </w:rPr>
        <w:t>November 2010,” press release, November 29, 2010, accessed May 10, 2019, https://www.sats.com.sg/docs/default-source/media-releases/2010/tfk-pressrelease-final.pdf?sfvrsn=373dae85_2.</w:t>
      </w:r>
      <w:r w:rsidRPr="008157B2" w:rsidDel="00A62762">
        <w:rPr>
          <w:lang w:val="en-GB"/>
        </w:rPr>
        <w:t xml:space="preserve"> </w:t>
      </w:r>
      <w:bookmarkEnd w:id="9"/>
    </w:p>
  </w:endnote>
  <w:endnote w:id="74">
    <w:p w14:paraId="2808BF0D" w14:textId="272F501A"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6D3E86">
        <w:rPr>
          <w:lang w:val="en-GB"/>
        </w:rPr>
        <w:t xml:space="preserve">SATS Ltd., </w:t>
      </w:r>
      <w:r w:rsidRPr="00802750">
        <w:rPr>
          <w:i/>
          <w:iCs/>
          <w:lang w:val="en-GB"/>
        </w:rPr>
        <w:t>Capital Markets Day</w:t>
      </w:r>
      <w:r w:rsidRPr="006D3E86">
        <w:rPr>
          <w:lang w:val="en-GB"/>
        </w:rPr>
        <w:t xml:space="preserve">, </w:t>
      </w:r>
      <w:r>
        <w:rPr>
          <w:lang w:val="en-GB"/>
        </w:rPr>
        <w:t>op. cit.</w:t>
      </w:r>
    </w:p>
  </w:endnote>
  <w:endnote w:id="75">
    <w:p w14:paraId="729623B8" w14:textId="3E8D8FD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EB2548">
        <w:rPr>
          <w:rStyle w:val="EndnoteReference"/>
          <w:vertAlign w:val="baseline"/>
          <w:lang w:val="en-GB"/>
        </w:rPr>
        <w:t>Ibid</w:t>
      </w:r>
      <w:r w:rsidRPr="00BB4F50">
        <w:rPr>
          <w:lang w:val="en-GB"/>
        </w:rPr>
        <w:t>.</w:t>
      </w:r>
      <w:r>
        <w:rPr>
          <w:lang w:val="en-GB"/>
        </w:rPr>
        <w:t xml:space="preserve"> </w:t>
      </w:r>
    </w:p>
  </w:endnote>
  <w:endnote w:id="76">
    <w:p w14:paraId="04E54D6C" w14:textId="2C6CEA8D"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International Trade Administration, </w:t>
      </w:r>
      <w:r w:rsidRPr="00EB2548">
        <w:rPr>
          <w:i/>
          <w:iCs/>
          <w:lang w:val="en-GB"/>
        </w:rPr>
        <w:t>2016 Top Markets Report Cold Chain Country Case Study: Japan</w:t>
      </w:r>
      <w:r>
        <w:rPr>
          <w:lang w:val="en-GB"/>
        </w:rPr>
        <w:t>,</w:t>
      </w:r>
      <w:r w:rsidRPr="007E6D2F" w:rsidDel="007E6D2F">
        <w:rPr>
          <w:lang w:val="en-GB"/>
        </w:rPr>
        <w:t xml:space="preserve"> </w:t>
      </w:r>
      <w:r w:rsidRPr="00D117D6">
        <w:rPr>
          <w:lang w:val="en-GB"/>
        </w:rPr>
        <w:t>May 2016, accessed May 31</w:t>
      </w:r>
      <w:r>
        <w:rPr>
          <w:lang w:val="en-GB"/>
        </w:rPr>
        <w:t>,</w:t>
      </w:r>
      <w:r w:rsidRPr="00D117D6">
        <w:rPr>
          <w:lang w:val="en-GB"/>
        </w:rPr>
        <w:t xml:space="preserve"> 2019, </w:t>
      </w:r>
      <w:r w:rsidRPr="008F3EC9">
        <w:rPr>
          <w:lang w:val="en-GB"/>
        </w:rPr>
        <w:t>https://www.trade.gov/topmarkets/pdf/Cold_Chain_Japan.pdf</w:t>
      </w:r>
      <w:r>
        <w:rPr>
          <w:rStyle w:val="Hyperlink"/>
          <w:color w:val="auto"/>
          <w:u w:val="none"/>
          <w:lang w:val="en-GB"/>
        </w:rPr>
        <w:t>.</w:t>
      </w:r>
      <w:r w:rsidRPr="00D117D6">
        <w:rPr>
          <w:lang w:val="en-GB"/>
        </w:rPr>
        <w:t xml:space="preserve"> </w:t>
      </w:r>
    </w:p>
  </w:endnote>
  <w:endnote w:id="77">
    <w:p w14:paraId="6BD7DA36" w14:textId="70BAC7C6"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Simon Wentworth, “Japan Pharma Market Review,” The Pharma Letter,</w:t>
      </w:r>
      <w:r w:rsidRPr="00D117D6">
        <w:rPr>
          <w:lang w:val="en-GB"/>
        </w:rPr>
        <w:t xml:space="preserve"> June 28, 2019, accessed July 30</w:t>
      </w:r>
      <w:r>
        <w:rPr>
          <w:lang w:val="en-GB"/>
        </w:rPr>
        <w:t>,</w:t>
      </w:r>
      <w:r w:rsidRPr="00D117D6">
        <w:rPr>
          <w:lang w:val="en-GB"/>
        </w:rPr>
        <w:t xml:space="preserve"> 2019, </w:t>
      </w:r>
      <w:r w:rsidRPr="008F3EC9">
        <w:rPr>
          <w:lang w:val="en-GB"/>
        </w:rPr>
        <w:t>https://www.thepharmaletter.com/article/japan-pharma-market-review</w:t>
      </w:r>
      <w:r>
        <w:rPr>
          <w:rStyle w:val="Hyperlink"/>
          <w:color w:val="auto"/>
          <w:u w:val="none"/>
          <w:lang w:val="en-GB"/>
        </w:rPr>
        <w:t>.</w:t>
      </w:r>
      <w:r w:rsidRPr="00D117D6">
        <w:rPr>
          <w:lang w:val="en-GB"/>
        </w:rPr>
        <w:t xml:space="preserve"> </w:t>
      </w:r>
    </w:p>
  </w:endnote>
  <w:endnote w:id="78">
    <w:p w14:paraId="52DB2960" w14:textId="7724DD6C"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E66EFF">
        <w:rPr>
          <w:lang w:val="en-GB"/>
        </w:rPr>
        <w:t>Why the Pharmaceutical Industry Is Booming in Japan</w:t>
      </w:r>
      <w:r>
        <w:rPr>
          <w:lang w:val="en-GB"/>
        </w:rPr>
        <w:t xml:space="preserve">,” </w:t>
      </w:r>
      <w:r w:rsidRPr="00EB2548">
        <w:rPr>
          <w:i/>
          <w:iCs/>
          <w:lang w:val="en-GB"/>
        </w:rPr>
        <w:t>Harvard Business Review</w:t>
      </w:r>
      <w:r>
        <w:rPr>
          <w:lang w:val="en-GB"/>
        </w:rPr>
        <w:t xml:space="preserve">, </w:t>
      </w:r>
      <w:r w:rsidRPr="00D117D6">
        <w:rPr>
          <w:lang w:val="en-GB"/>
        </w:rPr>
        <w:t xml:space="preserve">March 12, 2018, accessed April 2, 2019, </w:t>
      </w:r>
      <w:r w:rsidRPr="008F3EC9">
        <w:rPr>
          <w:lang w:val="en-GB"/>
        </w:rPr>
        <w:t>https://hbr.org/sponsored/2018/03/why-the-pharmaceutical-industry-is-booming-in-japan</w:t>
      </w:r>
      <w:r>
        <w:rPr>
          <w:rStyle w:val="Hyperlink"/>
          <w:color w:val="auto"/>
          <w:u w:val="none"/>
          <w:lang w:val="en-GB"/>
        </w:rPr>
        <w:t>.</w:t>
      </w:r>
      <w:r w:rsidRPr="00D117D6">
        <w:rPr>
          <w:lang w:val="en-GB"/>
        </w:rPr>
        <w:t xml:space="preserve"> </w:t>
      </w:r>
    </w:p>
  </w:endnote>
  <w:endnote w:id="79">
    <w:p w14:paraId="3CCF271C" w14:textId="37DF9F4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2"/>
          <w:lang w:val="en-GB"/>
        </w:rPr>
        <w:t xml:space="preserve">Misato Adachi, Ryo Ishida, and Genki Oka, “Japan: Lessons from a Hyperaging Society,” </w:t>
      </w:r>
      <w:r w:rsidRPr="008157B2">
        <w:rPr>
          <w:i/>
          <w:iCs/>
          <w:spacing w:val="-2"/>
          <w:lang w:val="en-GB"/>
        </w:rPr>
        <w:t>McKinsey Quarterly</w:t>
      </w:r>
      <w:r w:rsidRPr="008157B2">
        <w:rPr>
          <w:spacing w:val="-2"/>
          <w:lang w:val="en-GB"/>
        </w:rPr>
        <w:t>, March 1, 2015, accessed May 15, 2019, https://www.mckinsey.com/featured-insights/asia-pacific/japan-lessons-from-a-hyperaging-society</w:t>
      </w:r>
      <w:r w:rsidRPr="008157B2">
        <w:rPr>
          <w:rStyle w:val="Hyperlink"/>
          <w:color w:val="auto"/>
          <w:spacing w:val="-2"/>
          <w:u w:val="none"/>
          <w:lang w:val="en-GB"/>
        </w:rPr>
        <w:t>.</w:t>
      </w:r>
    </w:p>
  </w:endnote>
  <w:endnote w:id="80">
    <w:p w14:paraId="721C31D7" w14:textId="1BEDA655"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A55C44">
        <w:rPr>
          <w:lang w:val="en-GB"/>
        </w:rPr>
        <w:t>Logistics Innovation at Haneda Airport: Consistent Temp-Control for Perishables &amp; Pharmaceuticals Responding to Customers’ Needs Flexibly</w:t>
      </w:r>
      <w:r>
        <w:rPr>
          <w:lang w:val="en-GB"/>
        </w:rPr>
        <w:t xml:space="preserve">,” </w:t>
      </w:r>
      <w:r w:rsidRPr="00EB2548">
        <w:rPr>
          <w:i/>
          <w:iCs/>
          <w:lang w:val="en-GB"/>
        </w:rPr>
        <w:t>Daily Cargo</w:t>
      </w:r>
      <w:r>
        <w:rPr>
          <w:lang w:val="en-GB"/>
        </w:rPr>
        <w:t>,</w:t>
      </w:r>
      <w:r w:rsidRPr="00D117D6">
        <w:rPr>
          <w:lang w:val="en-GB"/>
        </w:rPr>
        <w:t xml:space="preserve"> September 10</w:t>
      </w:r>
      <w:r>
        <w:rPr>
          <w:lang w:val="en-GB"/>
        </w:rPr>
        <w:t>,</w:t>
      </w:r>
      <w:r w:rsidRPr="00D117D6">
        <w:rPr>
          <w:lang w:val="en-GB"/>
        </w:rPr>
        <w:t xml:space="preserve"> 2012, accessed May 15, 2019, </w:t>
      </w:r>
      <w:r w:rsidRPr="008F3EC9">
        <w:rPr>
          <w:lang w:val="en-GB"/>
        </w:rPr>
        <w:t>www.daily-cargo.com/english/pdf/201209DailyCARGOEnglishSpecial.pdf</w:t>
      </w:r>
      <w:r>
        <w:rPr>
          <w:rStyle w:val="Hyperlink"/>
          <w:color w:val="auto"/>
          <w:u w:val="none"/>
          <w:lang w:val="en-GB"/>
        </w:rPr>
        <w:t>.</w:t>
      </w:r>
      <w:r w:rsidRPr="00D117D6">
        <w:rPr>
          <w:lang w:val="en-GB"/>
        </w:rPr>
        <w:t xml:space="preserve"> </w:t>
      </w:r>
    </w:p>
  </w:endnote>
  <w:endnote w:id="81">
    <w:p w14:paraId="3EB0E8B0" w14:textId="523B7C66"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“ELPRO</w:t>
      </w:r>
      <w:r w:rsidRPr="009E4996">
        <w:rPr>
          <w:lang w:val="en-GB"/>
        </w:rPr>
        <w:t xml:space="preserve"> and Oosumi Logistics Upgrade Narita Airport (</w:t>
      </w:r>
      <w:r>
        <w:rPr>
          <w:lang w:val="en-GB"/>
        </w:rPr>
        <w:t>NRT</w:t>
      </w:r>
      <w:r w:rsidRPr="009E4996">
        <w:rPr>
          <w:lang w:val="en-GB"/>
        </w:rPr>
        <w:t>) Warehouses to Offer GDP Compliant Temperature-Controlled Handling of Pharmaceuticals</w:t>
      </w:r>
      <w:r>
        <w:rPr>
          <w:lang w:val="en-GB"/>
        </w:rPr>
        <w:t>,”</w:t>
      </w:r>
      <w:r w:rsidRPr="00D117D6">
        <w:rPr>
          <w:lang w:val="en-GB"/>
        </w:rPr>
        <w:t xml:space="preserve"> </w:t>
      </w:r>
      <w:r>
        <w:rPr>
          <w:lang w:val="en-GB"/>
        </w:rPr>
        <w:t>ELPRO</w:t>
      </w:r>
      <w:r w:rsidRPr="009F485D">
        <w:rPr>
          <w:lang w:val="en-GB"/>
        </w:rPr>
        <w:t>-BUCHS AG</w:t>
      </w:r>
      <w:r>
        <w:rPr>
          <w:lang w:val="en-GB"/>
        </w:rPr>
        <w:t xml:space="preserve">, </w:t>
      </w:r>
      <w:r w:rsidRPr="00D117D6">
        <w:rPr>
          <w:lang w:val="en-GB"/>
        </w:rPr>
        <w:t>March 7, 2018, accessed May 15</w:t>
      </w:r>
      <w:r>
        <w:rPr>
          <w:lang w:val="en-GB"/>
        </w:rPr>
        <w:t>,</w:t>
      </w:r>
      <w:r w:rsidRPr="00D117D6">
        <w:rPr>
          <w:lang w:val="en-GB"/>
        </w:rPr>
        <w:t xml:space="preserve"> 2019, </w:t>
      </w:r>
      <w:r w:rsidRPr="008F3EC9">
        <w:rPr>
          <w:lang w:val="en-GB"/>
        </w:rPr>
        <w:t>https://www.elpro.com/about-us/news/detail/elpro-and-oosumi-logistics-upgrade-narita-airport-nrt-warehouses-to-offer-gdp-compliant-temperature-controlled-handling-of-pharmaceuticals/</w:t>
      </w:r>
      <w:r>
        <w:rPr>
          <w:rStyle w:val="Hyperlink"/>
          <w:color w:val="auto"/>
          <w:u w:val="none"/>
          <w:lang w:val="en-GB"/>
        </w:rPr>
        <w:t>.</w:t>
      </w:r>
      <w:r>
        <w:rPr>
          <w:lang w:val="en-GB"/>
        </w:rPr>
        <w:t xml:space="preserve"> </w:t>
      </w:r>
    </w:p>
  </w:endnote>
  <w:endnote w:id="82">
    <w:p w14:paraId="23DB6ADA" w14:textId="5EDD8781"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 xml:space="preserve">Changi Airport Group (Singapore) Pte. Ltd., </w:t>
      </w:r>
      <w:r w:rsidRPr="00EB2548">
        <w:rPr>
          <w:i/>
          <w:iCs/>
          <w:lang w:val="en-GB"/>
        </w:rPr>
        <w:t>From Lab to Patient: Taking Your Pharma Business Further</w:t>
      </w:r>
      <w:r>
        <w:rPr>
          <w:lang w:val="en-GB"/>
        </w:rPr>
        <w:t xml:space="preserve">, </w:t>
      </w:r>
      <w:r w:rsidRPr="00D117D6">
        <w:rPr>
          <w:lang w:val="en-GB"/>
        </w:rPr>
        <w:t>September 2018, accessed May 15</w:t>
      </w:r>
      <w:r>
        <w:rPr>
          <w:lang w:val="en-GB"/>
        </w:rPr>
        <w:t>,</w:t>
      </w:r>
      <w:r w:rsidRPr="00D117D6">
        <w:rPr>
          <w:lang w:val="en-GB"/>
        </w:rPr>
        <w:t xml:space="preserve"> 2019, </w:t>
      </w:r>
      <w:r w:rsidRPr="008F3EC9">
        <w:rPr>
          <w:lang w:val="en-GB"/>
        </w:rPr>
        <w:t>https://www.changiairport.com/content/dam/cacorp/partnership/cargo/changi-pharma-hub/Brochure_Hi-res_Online.pdf</w:t>
      </w:r>
      <w:r>
        <w:rPr>
          <w:rStyle w:val="Hyperlink"/>
          <w:color w:val="auto"/>
          <w:u w:val="none"/>
          <w:lang w:val="en-GB"/>
        </w:rPr>
        <w:t>.</w:t>
      </w:r>
      <w:r w:rsidRPr="00D117D6">
        <w:rPr>
          <w:lang w:val="en-GB"/>
        </w:rPr>
        <w:t xml:space="preserve"> </w:t>
      </w:r>
    </w:p>
  </w:endnote>
  <w:endnote w:id="83">
    <w:p w14:paraId="339EE88A" w14:textId="4720F2F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“Singapore Exports to Japan</w:t>
      </w:r>
      <w:r>
        <w:rPr>
          <w:lang w:val="en-GB"/>
        </w:rPr>
        <w:t>,</w:t>
      </w:r>
      <w:r w:rsidRPr="00D117D6">
        <w:rPr>
          <w:lang w:val="en-GB"/>
        </w:rPr>
        <w:t xml:space="preserve">” </w:t>
      </w:r>
      <w:r>
        <w:rPr>
          <w:lang w:val="en-GB"/>
        </w:rPr>
        <w:t>op. cit.</w:t>
      </w:r>
      <w:r w:rsidRPr="00D117D6">
        <w:rPr>
          <w:lang w:val="en-GB"/>
        </w:rPr>
        <w:t xml:space="preserve"> </w:t>
      </w:r>
    </w:p>
  </w:endnote>
  <w:endnote w:id="84">
    <w:p w14:paraId="724BCA93" w14:textId="629BC10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F26BA8">
        <w:rPr>
          <w:lang w:val="en-GB"/>
        </w:rPr>
        <w:t>Distribution of Pharmaceutical Drug Imports to Japan in 2018, by Major Country</w:t>
      </w:r>
      <w:r>
        <w:rPr>
          <w:lang w:val="en-GB"/>
        </w:rPr>
        <w:t>,” op. cit.</w:t>
      </w:r>
      <w:r w:rsidRPr="00D117D6">
        <w:rPr>
          <w:lang w:val="en-GB"/>
        </w:rPr>
        <w:t xml:space="preserve"> </w:t>
      </w:r>
    </w:p>
  </w:endnote>
  <w:endnote w:id="85">
    <w:p w14:paraId="60A75E70" w14:textId="6338C7E1"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10" w:name="_Hlk65772199"/>
      <w:r w:rsidRPr="00FB7649">
        <w:rPr>
          <w:lang w:val="en-GB"/>
        </w:rPr>
        <w:t>Hirotaka Mori</w:t>
      </w:r>
      <w:r w:rsidRPr="00D117D6">
        <w:rPr>
          <w:lang w:val="en-GB"/>
        </w:rPr>
        <w:t xml:space="preserve">, </w:t>
      </w:r>
      <w:r w:rsidRPr="00A924F0">
        <w:rPr>
          <w:i/>
          <w:iCs/>
          <w:lang w:val="en-GB"/>
        </w:rPr>
        <w:t>Japanese Policies in Maritime Industry</w:t>
      </w:r>
      <w:r>
        <w:rPr>
          <w:lang w:val="en-GB"/>
        </w:rPr>
        <w:t>,</w:t>
      </w:r>
      <w:r w:rsidRPr="00D117D6">
        <w:rPr>
          <w:lang w:val="en-GB"/>
        </w:rPr>
        <w:t xml:space="preserve"> February 12</w:t>
      </w:r>
      <w:r>
        <w:rPr>
          <w:lang w:val="en-GB"/>
        </w:rPr>
        <w:t>,</w:t>
      </w:r>
      <w:r w:rsidRPr="00D117D6">
        <w:rPr>
          <w:lang w:val="en-GB"/>
        </w:rPr>
        <w:t xml:space="preserve"> 2016, accessed May 15</w:t>
      </w:r>
      <w:r>
        <w:rPr>
          <w:lang w:val="en-GB"/>
        </w:rPr>
        <w:t>,</w:t>
      </w:r>
      <w:r w:rsidRPr="00D117D6">
        <w:rPr>
          <w:lang w:val="en-GB"/>
        </w:rPr>
        <w:t xml:space="preserve"> 2019, </w:t>
      </w:r>
      <w:r w:rsidRPr="008F3EC9">
        <w:rPr>
          <w:lang w:val="en-GB"/>
        </w:rPr>
        <w:t>www.mlit.go.jp/common/001121368.pdf</w:t>
      </w:r>
      <w:r>
        <w:rPr>
          <w:rStyle w:val="Hyperlink"/>
          <w:color w:val="auto"/>
          <w:u w:val="none"/>
          <w:lang w:val="en-GB"/>
        </w:rPr>
        <w:t>.</w:t>
      </w:r>
      <w:bookmarkEnd w:id="10"/>
      <w:r w:rsidRPr="00D117D6">
        <w:rPr>
          <w:lang w:val="en-GB"/>
        </w:rPr>
        <w:t xml:space="preserve"> </w:t>
      </w:r>
    </w:p>
  </w:endnote>
  <w:endnote w:id="86">
    <w:p w14:paraId="0FDEE467" w14:textId="6B5AF282"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bookmarkStart w:id="11" w:name="_Hlk65772225"/>
      <w:r w:rsidRPr="00D117D6">
        <w:rPr>
          <w:lang w:val="en-GB"/>
        </w:rPr>
        <w:t>Tomoo Yatsuhashi, “Japan Air Cargo Growth to Slow</w:t>
      </w:r>
      <w:r>
        <w:rPr>
          <w:lang w:val="en-GB"/>
        </w:rPr>
        <w:t>,</w:t>
      </w:r>
      <w:r w:rsidRPr="00D117D6">
        <w:rPr>
          <w:lang w:val="en-GB"/>
        </w:rPr>
        <w:t>” The J</w:t>
      </w:r>
      <w:r>
        <w:rPr>
          <w:lang w:val="en-GB"/>
        </w:rPr>
        <w:t xml:space="preserve">ournal of </w:t>
      </w:r>
      <w:r w:rsidRPr="00D117D6">
        <w:rPr>
          <w:lang w:val="en-GB"/>
        </w:rPr>
        <w:t>C</w:t>
      </w:r>
      <w:r>
        <w:rPr>
          <w:lang w:val="en-GB"/>
        </w:rPr>
        <w:t>ommerce Online</w:t>
      </w:r>
      <w:r w:rsidRPr="00D117D6">
        <w:rPr>
          <w:lang w:val="en-GB"/>
        </w:rPr>
        <w:t>, July 16</w:t>
      </w:r>
      <w:r>
        <w:rPr>
          <w:lang w:val="en-GB"/>
        </w:rPr>
        <w:t>,</w:t>
      </w:r>
      <w:r w:rsidRPr="00D117D6">
        <w:rPr>
          <w:lang w:val="en-GB"/>
        </w:rPr>
        <w:t xml:space="preserve"> 2017, accessed May 15</w:t>
      </w:r>
      <w:r>
        <w:rPr>
          <w:lang w:val="en-GB"/>
        </w:rPr>
        <w:t>,</w:t>
      </w:r>
      <w:r w:rsidRPr="00D117D6">
        <w:rPr>
          <w:lang w:val="en-GB"/>
        </w:rPr>
        <w:t xml:space="preserve"> 2019, </w:t>
      </w:r>
      <w:r w:rsidRPr="008F3EC9">
        <w:rPr>
          <w:lang w:val="en-GB"/>
        </w:rPr>
        <w:t>https://www.joc.com/air-cargo/international-air-freight/japan-air-cargo-growth-slow_20170716.html</w:t>
      </w:r>
      <w:r>
        <w:rPr>
          <w:rStyle w:val="Hyperlink"/>
          <w:color w:val="auto"/>
          <w:u w:val="none"/>
          <w:lang w:val="en-GB"/>
        </w:rPr>
        <w:t>.</w:t>
      </w:r>
      <w:r w:rsidRPr="00D117D6">
        <w:rPr>
          <w:lang w:val="en-GB"/>
        </w:rPr>
        <w:t xml:space="preserve"> </w:t>
      </w:r>
      <w:bookmarkEnd w:id="11"/>
    </w:p>
  </w:endnote>
  <w:endnote w:id="87">
    <w:p w14:paraId="74ED049A" w14:textId="18ED9F77"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sidRPr="008157B2">
        <w:rPr>
          <w:spacing w:val="-4"/>
          <w:lang w:val="en-GB"/>
        </w:rPr>
        <w:t xml:space="preserve">Christopher S. Thomas, “Foreign Direct Investment—Challenges and Opportunities in Japan,” </w:t>
      </w:r>
      <w:r w:rsidRPr="008157B2">
        <w:rPr>
          <w:i/>
          <w:iCs/>
          <w:spacing w:val="-4"/>
          <w:lang w:val="en-GB"/>
        </w:rPr>
        <w:t>Japan Today</w:t>
      </w:r>
      <w:r w:rsidRPr="008157B2">
        <w:rPr>
          <w:spacing w:val="-4"/>
          <w:lang w:val="en-GB"/>
        </w:rPr>
        <w:t>, December 25, 2014, accessed May 15, 2019, https://japantoday.com/category/business/foreign-direct-investment-challenges-and-opportunities-in-japan</w:t>
      </w:r>
      <w:r w:rsidRPr="008157B2">
        <w:rPr>
          <w:rStyle w:val="Hyperlink"/>
          <w:color w:val="auto"/>
          <w:spacing w:val="-4"/>
          <w:u w:val="none"/>
          <w:lang w:val="en-GB"/>
        </w:rPr>
        <w:t>.</w:t>
      </w:r>
    </w:p>
  </w:endnote>
  <w:endnote w:id="88">
    <w:p w14:paraId="43D68932" w14:textId="34E63083" w:rsidR="00DD2726" w:rsidRPr="00D117D6" w:rsidRDefault="00DD2726" w:rsidP="00F7486B">
      <w:pPr>
        <w:pStyle w:val="Footnote"/>
        <w:rPr>
          <w:lang w:val="en-GB"/>
        </w:rPr>
      </w:pPr>
      <w:r w:rsidRPr="00D117D6">
        <w:rPr>
          <w:rStyle w:val="EndnoteReference"/>
          <w:lang w:val="en-GB"/>
        </w:rPr>
        <w:endnoteRef/>
      </w:r>
      <w:r w:rsidRPr="00D117D6">
        <w:rPr>
          <w:lang w:val="en-GB"/>
        </w:rPr>
        <w:t xml:space="preserve"> </w:t>
      </w:r>
      <w:r>
        <w:rPr>
          <w:lang w:val="en-GB"/>
        </w:rPr>
        <w:t>“</w:t>
      </w:r>
      <w:r w:rsidRPr="00271798">
        <w:rPr>
          <w:lang w:val="en-GB"/>
        </w:rPr>
        <w:t>Top 10 Challenges of Doing Business in Japan</w:t>
      </w:r>
      <w:r>
        <w:rPr>
          <w:lang w:val="en-GB"/>
        </w:rP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charset w:val="86"/>
    <w:family w:val="modern"/>
    <w:pitch w:val="fixed"/>
    <w:sig w:usb0="800002BF" w:usb1="38CF7CFA" w:usb2="00000016" w:usb3="00000000" w:csb0="00040001" w:csb1="00000000"/>
  </w:font>
  <w:font w:name="Segoe MDL2 Asset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B1531" w14:textId="77777777" w:rsidR="00DD2726" w:rsidRDefault="00DD2726" w:rsidP="00D75295">
      <w:r>
        <w:separator/>
      </w:r>
    </w:p>
  </w:footnote>
  <w:footnote w:type="continuationSeparator" w:id="0">
    <w:p w14:paraId="0EC36B0B" w14:textId="77777777" w:rsidR="00DD2726" w:rsidRDefault="00DD272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747D725" w:rsidR="00DD2726" w:rsidRPr="00C92CC4" w:rsidRDefault="00DD272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18</w:t>
    </w:r>
    <w:r>
      <w:rPr>
        <w:rFonts w:ascii="Arial" w:hAnsi="Arial"/>
        <w:b/>
      </w:rPr>
      <w:fldChar w:fldCharType="end"/>
    </w:r>
    <w:r>
      <w:rPr>
        <w:rFonts w:ascii="Arial" w:hAnsi="Arial"/>
        <w:b/>
      </w:rPr>
      <w:tab/>
    </w:r>
    <w:r w:rsidR="005C140F">
      <w:rPr>
        <w:rFonts w:ascii="Arial" w:hAnsi="Arial"/>
        <w:b/>
      </w:rPr>
      <w:t>9B21M065</w:t>
    </w:r>
  </w:p>
  <w:p w14:paraId="2B53C0A0" w14:textId="77777777" w:rsidR="00DD2726" w:rsidRDefault="00DD2726" w:rsidP="00D13667">
    <w:pPr>
      <w:pStyle w:val="Header"/>
      <w:tabs>
        <w:tab w:val="clear" w:pos="4680"/>
      </w:tabs>
      <w:rPr>
        <w:sz w:val="18"/>
        <w:szCs w:val="18"/>
      </w:rPr>
    </w:pPr>
  </w:p>
  <w:p w14:paraId="47119730" w14:textId="77777777" w:rsidR="00DD2726" w:rsidRPr="00C92CC4" w:rsidRDefault="00DD272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7247"/>
    <w:rsid w:val="00013360"/>
    <w:rsid w:val="00016759"/>
    <w:rsid w:val="0001794B"/>
    <w:rsid w:val="000206BA"/>
    <w:rsid w:val="000216CE"/>
    <w:rsid w:val="00021997"/>
    <w:rsid w:val="00024ED4"/>
    <w:rsid w:val="00025DC7"/>
    <w:rsid w:val="00030173"/>
    <w:rsid w:val="000336F4"/>
    <w:rsid w:val="00035F09"/>
    <w:rsid w:val="0004183B"/>
    <w:rsid w:val="00044ECC"/>
    <w:rsid w:val="00050D4F"/>
    <w:rsid w:val="00051D41"/>
    <w:rsid w:val="00052018"/>
    <w:rsid w:val="000531D3"/>
    <w:rsid w:val="0005646B"/>
    <w:rsid w:val="00057B1C"/>
    <w:rsid w:val="000615D1"/>
    <w:rsid w:val="00061A51"/>
    <w:rsid w:val="00065148"/>
    <w:rsid w:val="00070DE2"/>
    <w:rsid w:val="000730B5"/>
    <w:rsid w:val="00077D2F"/>
    <w:rsid w:val="000802A9"/>
    <w:rsid w:val="0008102D"/>
    <w:rsid w:val="00084771"/>
    <w:rsid w:val="0008540C"/>
    <w:rsid w:val="00086B26"/>
    <w:rsid w:val="00090B65"/>
    <w:rsid w:val="00094C0E"/>
    <w:rsid w:val="000953A8"/>
    <w:rsid w:val="000969CE"/>
    <w:rsid w:val="000A146D"/>
    <w:rsid w:val="000A3283"/>
    <w:rsid w:val="000A3FE0"/>
    <w:rsid w:val="000B5732"/>
    <w:rsid w:val="000C0D19"/>
    <w:rsid w:val="000C46C1"/>
    <w:rsid w:val="000D2A2F"/>
    <w:rsid w:val="000D7091"/>
    <w:rsid w:val="000E049B"/>
    <w:rsid w:val="000E2C26"/>
    <w:rsid w:val="000F0C22"/>
    <w:rsid w:val="000F175C"/>
    <w:rsid w:val="000F2CFE"/>
    <w:rsid w:val="000F5B0F"/>
    <w:rsid w:val="000F6B09"/>
    <w:rsid w:val="000F6FDC"/>
    <w:rsid w:val="00104567"/>
    <w:rsid w:val="00104916"/>
    <w:rsid w:val="00104AA7"/>
    <w:rsid w:val="0010623B"/>
    <w:rsid w:val="00115646"/>
    <w:rsid w:val="0012090A"/>
    <w:rsid w:val="00122694"/>
    <w:rsid w:val="00123308"/>
    <w:rsid w:val="00125E0A"/>
    <w:rsid w:val="0012732D"/>
    <w:rsid w:val="00143F25"/>
    <w:rsid w:val="00144F15"/>
    <w:rsid w:val="00146A16"/>
    <w:rsid w:val="00152682"/>
    <w:rsid w:val="00154FC9"/>
    <w:rsid w:val="00157BB5"/>
    <w:rsid w:val="00161194"/>
    <w:rsid w:val="0017019C"/>
    <w:rsid w:val="0017258E"/>
    <w:rsid w:val="00185521"/>
    <w:rsid w:val="00187773"/>
    <w:rsid w:val="001901C0"/>
    <w:rsid w:val="0019241A"/>
    <w:rsid w:val="00192A18"/>
    <w:rsid w:val="00194515"/>
    <w:rsid w:val="001963D9"/>
    <w:rsid w:val="00196B35"/>
    <w:rsid w:val="001A22D1"/>
    <w:rsid w:val="001A2A96"/>
    <w:rsid w:val="001A752D"/>
    <w:rsid w:val="001A757E"/>
    <w:rsid w:val="001B5032"/>
    <w:rsid w:val="001B5344"/>
    <w:rsid w:val="001C1C75"/>
    <w:rsid w:val="001C39E8"/>
    <w:rsid w:val="001C4464"/>
    <w:rsid w:val="001C7777"/>
    <w:rsid w:val="001D12F2"/>
    <w:rsid w:val="001D28D1"/>
    <w:rsid w:val="001D344B"/>
    <w:rsid w:val="001E0775"/>
    <w:rsid w:val="001E364F"/>
    <w:rsid w:val="001F4222"/>
    <w:rsid w:val="00203AA1"/>
    <w:rsid w:val="00203F22"/>
    <w:rsid w:val="002115BF"/>
    <w:rsid w:val="0021349F"/>
    <w:rsid w:val="00213E98"/>
    <w:rsid w:val="0021581D"/>
    <w:rsid w:val="00222C9D"/>
    <w:rsid w:val="0022512E"/>
    <w:rsid w:val="00230150"/>
    <w:rsid w:val="0023081A"/>
    <w:rsid w:val="00231201"/>
    <w:rsid w:val="00233111"/>
    <w:rsid w:val="0023321E"/>
    <w:rsid w:val="00240596"/>
    <w:rsid w:val="00246A7F"/>
    <w:rsid w:val="00247489"/>
    <w:rsid w:val="0026472E"/>
    <w:rsid w:val="00265FA8"/>
    <w:rsid w:val="00266837"/>
    <w:rsid w:val="00266888"/>
    <w:rsid w:val="00271798"/>
    <w:rsid w:val="00272C6B"/>
    <w:rsid w:val="00275636"/>
    <w:rsid w:val="00277B4E"/>
    <w:rsid w:val="00280048"/>
    <w:rsid w:val="002805FD"/>
    <w:rsid w:val="002974B9"/>
    <w:rsid w:val="002A2AF1"/>
    <w:rsid w:val="002A3822"/>
    <w:rsid w:val="002B40FF"/>
    <w:rsid w:val="002B6099"/>
    <w:rsid w:val="002C4E29"/>
    <w:rsid w:val="002C5D85"/>
    <w:rsid w:val="002D0B75"/>
    <w:rsid w:val="002D1B00"/>
    <w:rsid w:val="002D54DE"/>
    <w:rsid w:val="002D58D9"/>
    <w:rsid w:val="002D7428"/>
    <w:rsid w:val="002E4A4C"/>
    <w:rsid w:val="002F176D"/>
    <w:rsid w:val="002F325E"/>
    <w:rsid w:val="002F460C"/>
    <w:rsid w:val="002F48D6"/>
    <w:rsid w:val="00302B07"/>
    <w:rsid w:val="0030664C"/>
    <w:rsid w:val="00307D2E"/>
    <w:rsid w:val="00314C7A"/>
    <w:rsid w:val="00316190"/>
    <w:rsid w:val="00317391"/>
    <w:rsid w:val="00321B5D"/>
    <w:rsid w:val="00324B59"/>
    <w:rsid w:val="00326216"/>
    <w:rsid w:val="00326F57"/>
    <w:rsid w:val="003310BA"/>
    <w:rsid w:val="00331F75"/>
    <w:rsid w:val="00334F78"/>
    <w:rsid w:val="00335786"/>
    <w:rsid w:val="00336580"/>
    <w:rsid w:val="003442DB"/>
    <w:rsid w:val="003442F4"/>
    <w:rsid w:val="003451A6"/>
    <w:rsid w:val="0035128A"/>
    <w:rsid w:val="003527A2"/>
    <w:rsid w:val="00354899"/>
    <w:rsid w:val="00355FD6"/>
    <w:rsid w:val="00361E91"/>
    <w:rsid w:val="00364A5C"/>
    <w:rsid w:val="00364CE7"/>
    <w:rsid w:val="00373FB1"/>
    <w:rsid w:val="00375777"/>
    <w:rsid w:val="00377A62"/>
    <w:rsid w:val="00390C08"/>
    <w:rsid w:val="0039490B"/>
    <w:rsid w:val="00396C76"/>
    <w:rsid w:val="003A2108"/>
    <w:rsid w:val="003A723D"/>
    <w:rsid w:val="003B30D8"/>
    <w:rsid w:val="003B798B"/>
    <w:rsid w:val="003B7EF2"/>
    <w:rsid w:val="003C210F"/>
    <w:rsid w:val="003C3FA4"/>
    <w:rsid w:val="003D0BA1"/>
    <w:rsid w:val="003D698D"/>
    <w:rsid w:val="003E52BF"/>
    <w:rsid w:val="003E6D09"/>
    <w:rsid w:val="003E75FD"/>
    <w:rsid w:val="003F2B0C"/>
    <w:rsid w:val="00400D61"/>
    <w:rsid w:val="00406A1C"/>
    <w:rsid w:val="004105B2"/>
    <w:rsid w:val="0041145A"/>
    <w:rsid w:val="00412900"/>
    <w:rsid w:val="00413888"/>
    <w:rsid w:val="004175F4"/>
    <w:rsid w:val="004221E4"/>
    <w:rsid w:val="0042547D"/>
    <w:rsid w:val="004273F8"/>
    <w:rsid w:val="00432E09"/>
    <w:rsid w:val="004355A3"/>
    <w:rsid w:val="00437927"/>
    <w:rsid w:val="00443652"/>
    <w:rsid w:val="00446546"/>
    <w:rsid w:val="004503FE"/>
    <w:rsid w:val="00452769"/>
    <w:rsid w:val="00453581"/>
    <w:rsid w:val="00454FA7"/>
    <w:rsid w:val="00457CEF"/>
    <w:rsid w:val="00465348"/>
    <w:rsid w:val="00466336"/>
    <w:rsid w:val="00466E20"/>
    <w:rsid w:val="004675E6"/>
    <w:rsid w:val="00472FEF"/>
    <w:rsid w:val="004735CD"/>
    <w:rsid w:val="00477CC0"/>
    <w:rsid w:val="0048600A"/>
    <w:rsid w:val="004972EC"/>
    <w:rsid w:val="004979A5"/>
    <w:rsid w:val="004A25E0"/>
    <w:rsid w:val="004A6365"/>
    <w:rsid w:val="004A7CE8"/>
    <w:rsid w:val="004B1CCB"/>
    <w:rsid w:val="004B20D0"/>
    <w:rsid w:val="004B2AE6"/>
    <w:rsid w:val="004B632F"/>
    <w:rsid w:val="004C3776"/>
    <w:rsid w:val="004D0BE6"/>
    <w:rsid w:val="004D3FB1"/>
    <w:rsid w:val="004D6CD6"/>
    <w:rsid w:val="004D6F21"/>
    <w:rsid w:val="004D73A5"/>
    <w:rsid w:val="004E33EB"/>
    <w:rsid w:val="004E464F"/>
    <w:rsid w:val="004F2CDD"/>
    <w:rsid w:val="004F59DD"/>
    <w:rsid w:val="004F6FDE"/>
    <w:rsid w:val="005043B4"/>
    <w:rsid w:val="00515B67"/>
    <w:rsid w:val="005160F1"/>
    <w:rsid w:val="00517690"/>
    <w:rsid w:val="005216C9"/>
    <w:rsid w:val="005223BD"/>
    <w:rsid w:val="00524F2F"/>
    <w:rsid w:val="00527B60"/>
    <w:rsid w:val="00527E5C"/>
    <w:rsid w:val="00532CF5"/>
    <w:rsid w:val="0053487B"/>
    <w:rsid w:val="00546695"/>
    <w:rsid w:val="005528CB"/>
    <w:rsid w:val="00554338"/>
    <w:rsid w:val="00557937"/>
    <w:rsid w:val="00557949"/>
    <w:rsid w:val="00566771"/>
    <w:rsid w:val="0056681E"/>
    <w:rsid w:val="00567533"/>
    <w:rsid w:val="00573B98"/>
    <w:rsid w:val="00573D81"/>
    <w:rsid w:val="00581E2E"/>
    <w:rsid w:val="0058266F"/>
    <w:rsid w:val="00584F15"/>
    <w:rsid w:val="00586937"/>
    <w:rsid w:val="0059299D"/>
    <w:rsid w:val="0059514B"/>
    <w:rsid w:val="00595C6C"/>
    <w:rsid w:val="005A1B0F"/>
    <w:rsid w:val="005A5C3E"/>
    <w:rsid w:val="005B1AC3"/>
    <w:rsid w:val="005B4CE6"/>
    <w:rsid w:val="005B5355"/>
    <w:rsid w:val="005B5EFE"/>
    <w:rsid w:val="005C0BBD"/>
    <w:rsid w:val="005C140F"/>
    <w:rsid w:val="005C1965"/>
    <w:rsid w:val="005C293E"/>
    <w:rsid w:val="005E53E1"/>
    <w:rsid w:val="005E6654"/>
    <w:rsid w:val="005F17C8"/>
    <w:rsid w:val="005F66C8"/>
    <w:rsid w:val="00613721"/>
    <w:rsid w:val="006163F7"/>
    <w:rsid w:val="00616C32"/>
    <w:rsid w:val="006209BB"/>
    <w:rsid w:val="00627C63"/>
    <w:rsid w:val="006309E3"/>
    <w:rsid w:val="00631A82"/>
    <w:rsid w:val="0063350B"/>
    <w:rsid w:val="00642379"/>
    <w:rsid w:val="00643B47"/>
    <w:rsid w:val="00647D02"/>
    <w:rsid w:val="00652606"/>
    <w:rsid w:val="0066788C"/>
    <w:rsid w:val="00674ED6"/>
    <w:rsid w:val="00684F36"/>
    <w:rsid w:val="006942AC"/>
    <w:rsid w:val="006946EE"/>
    <w:rsid w:val="006948A0"/>
    <w:rsid w:val="00697A70"/>
    <w:rsid w:val="006A58A9"/>
    <w:rsid w:val="006A606D"/>
    <w:rsid w:val="006B04C2"/>
    <w:rsid w:val="006B2C22"/>
    <w:rsid w:val="006B3B06"/>
    <w:rsid w:val="006B5217"/>
    <w:rsid w:val="006B5259"/>
    <w:rsid w:val="006B6B9C"/>
    <w:rsid w:val="006C0371"/>
    <w:rsid w:val="006C08B6"/>
    <w:rsid w:val="006C0B1A"/>
    <w:rsid w:val="006C4DBE"/>
    <w:rsid w:val="006C6065"/>
    <w:rsid w:val="006C7F9F"/>
    <w:rsid w:val="006D3E86"/>
    <w:rsid w:val="006E149D"/>
    <w:rsid w:val="006E2F6D"/>
    <w:rsid w:val="006E4DAC"/>
    <w:rsid w:val="006E58F6"/>
    <w:rsid w:val="006E77E1"/>
    <w:rsid w:val="006F131D"/>
    <w:rsid w:val="006F437B"/>
    <w:rsid w:val="00702F46"/>
    <w:rsid w:val="00704039"/>
    <w:rsid w:val="00704E48"/>
    <w:rsid w:val="00704F79"/>
    <w:rsid w:val="00711642"/>
    <w:rsid w:val="00722A0A"/>
    <w:rsid w:val="00722B39"/>
    <w:rsid w:val="00722C15"/>
    <w:rsid w:val="00723787"/>
    <w:rsid w:val="00727AC2"/>
    <w:rsid w:val="00731C62"/>
    <w:rsid w:val="00736B6F"/>
    <w:rsid w:val="00746709"/>
    <w:rsid w:val="007507C6"/>
    <w:rsid w:val="00751E0B"/>
    <w:rsid w:val="00752BCD"/>
    <w:rsid w:val="0075303D"/>
    <w:rsid w:val="0075662D"/>
    <w:rsid w:val="007620D1"/>
    <w:rsid w:val="00766DA1"/>
    <w:rsid w:val="007700A3"/>
    <w:rsid w:val="007712AD"/>
    <w:rsid w:val="007734FC"/>
    <w:rsid w:val="00780D94"/>
    <w:rsid w:val="007866A6"/>
    <w:rsid w:val="00786710"/>
    <w:rsid w:val="00786D79"/>
    <w:rsid w:val="007873B5"/>
    <w:rsid w:val="00787DEB"/>
    <w:rsid w:val="007931C0"/>
    <w:rsid w:val="00793AC1"/>
    <w:rsid w:val="0079513E"/>
    <w:rsid w:val="007967D9"/>
    <w:rsid w:val="007A130D"/>
    <w:rsid w:val="007A23F1"/>
    <w:rsid w:val="007A7657"/>
    <w:rsid w:val="007C18DD"/>
    <w:rsid w:val="007D1A2D"/>
    <w:rsid w:val="007D32E6"/>
    <w:rsid w:val="007D4102"/>
    <w:rsid w:val="007D7E00"/>
    <w:rsid w:val="007E2CE8"/>
    <w:rsid w:val="007E3A43"/>
    <w:rsid w:val="007E54A7"/>
    <w:rsid w:val="007E6D2F"/>
    <w:rsid w:val="007E7E3F"/>
    <w:rsid w:val="007F234F"/>
    <w:rsid w:val="007F28E5"/>
    <w:rsid w:val="007F2AB9"/>
    <w:rsid w:val="007F3E46"/>
    <w:rsid w:val="007F43B7"/>
    <w:rsid w:val="008051CB"/>
    <w:rsid w:val="00807AFE"/>
    <w:rsid w:val="008157B2"/>
    <w:rsid w:val="00820085"/>
    <w:rsid w:val="008213EA"/>
    <w:rsid w:val="00821FFC"/>
    <w:rsid w:val="0082221F"/>
    <w:rsid w:val="00825E52"/>
    <w:rsid w:val="0082698B"/>
    <w:rsid w:val="00826CFE"/>
    <w:rsid w:val="008271CA"/>
    <w:rsid w:val="008355FB"/>
    <w:rsid w:val="00835807"/>
    <w:rsid w:val="00845059"/>
    <w:rsid w:val="008467D5"/>
    <w:rsid w:val="008478BD"/>
    <w:rsid w:val="00854CA2"/>
    <w:rsid w:val="00857D40"/>
    <w:rsid w:val="008616EB"/>
    <w:rsid w:val="00862381"/>
    <w:rsid w:val="00862ACD"/>
    <w:rsid w:val="00876A04"/>
    <w:rsid w:val="0088090B"/>
    <w:rsid w:val="00884259"/>
    <w:rsid w:val="00897677"/>
    <w:rsid w:val="008A41F3"/>
    <w:rsid w:val="008A4DC4"/>
    <w:rsid w:val="008B1619"/>
    <w:rsid w:val="008B396E"/>
    <w:rsid w:val="008B438C"/>
    <w:rsid w:val="008C1086"/>
    <w:rsid w:val="008C31D9"/>
    <w:rsid w:val="008C64AF"/>
    <w:rsid w:val="008D06CA"/>
    <w:rsid w:val="008D3A46"/>
    <w:rsid w:val="008D3B23"/>
    <w:rsid w:val="008D6B2C"/>
    <w:rsid w:val="008E46A6"/>
    <w:rsid w:val="008E6398"/>
    <w:rsid w:val="008F2385"/>
    <w:rsid w:val="008F3EC9"/>
    <w:rsid w:val="00900F98"/>
    <w:rsid w:val="00904D1F"/>
    <w:rsid w:val="009067A4"/>
    <w:rsid w:val="00907ABD"/>
    <w:rsid w:val="00913BC7"/>
    <w:rsid w:val="00930885"/>
    <w:rsid w:val="009323DE"/>
    <w:rsid w:val="00933D68"/>
    <w:rsid w:val="009340DB"/>
    <w:rsid w:val="00942D8D"/>
    <w:rsid w:val="00943816"/>
    <w:rsid w:val="0094618C"/>
    <w:rsid w:val="00953FC7"/>
    <w:rsid w:val="00955D93"/>
    <w:rsid w:val="0095684B"/>
    <w:rsid w:val="00966DD6"/>
    <w:rsid w:val="00971BE1"/>
    <w:rsid w:val="00972498"/>
    <w:rsid w:val="0097481F"/>
    <w:rsid w:val="00974CC6"/>
    <w:rsid w:val="00976383"/>
    <w:rsid w:val="00976AD4"/>
    <w:rsid w:val="00981650"/>
    <w:rsid w:val="009861C4"/>
    <w:rsid w:val="00995547"/>
    <w:rsid w:val="0099555E"/>
    <w:rsid w:val="009A0A82"/>
    <w:rsid w:val="009A312F"/>
    <w:rsid w:val="009A4410"/>
    <w:rsid w:val="009A5348"/>
    <w:rsid w:val="009B0AB7"/>
    <w:rsid w:val="009B26AE"/>
    <w:rsid w:val="009C2339"/>
    <w:rsid w:val="009C656B"/>
    <w:rsid w:val="009C76D5"/>
    <w:rsid w:val="009D1343"/>
    <w:rsid w:val="009D452E"/>
    <w:rsid w:val="009D537D"/>
    <w:rsid w:val="009E4996"/>
    <w:rsid w:val="009E6C72"/>
    <w:rsid w:val="009F20D7"/>
    <w:rsid w:val="009F3D80"/>
    <w:rsid w:val="009F485D"/>
    <w:rsid w:val="009F7AA4"/>
    <w:rsid w:val="00A00CFB"/>
    <w:rsid w:val="00A04162"/>
    <w:rsid w:val="00A070E3"/>
    <w:rsid w:val="00A10AD7"/>
    <w:rsid w:val="00A12584"/>
    <w:rsid w:val="00A12BA9"/>
    <w:rsid w:val="00A16BD0"/>
    <w:rsid w:val="00A20C83"/>
    <w:rsid w:val="00A23693"/>
    <w:rsid w:val="00A312D1"/>
    <w:rsid w:val="00A323B0"/>
    <w:rsid w:val="00A32B42"/>
    <w:rsid w:val="00A559DB"/>
    <w:rsid w:val="00A55C44"/>
    <w:rsid w:val="00A569EA"/>
    <w:rsid w:val="00A56B5F"/>
    <w:rsid w:val="00A57AA1"/>
    <w:rsid w:val="00A62762"/>
    <w:rsid w:val="00A62FBC"/>
    <w:rsid w:val="00A65F6F"/>
    <w:rsid w:val="00A676A0"/>
    <w:rsid w:val="00A9208A"/>
    <w:rsid w:val="00A924F0"/>
    <w:rsid w:val="00A954EC"/>
    <w:rsid w:val="00A95D3D"/>
    <w:rsid w:val="00AB5528"/>
    <w:rsid w:val="00AB5E86"/>
    <w:rsid w:val="00AD10C5"/>
    <w:rsid w:val="00AE1B02"/>
    <w:rsid w:val="00AE5619"/>
    <w:rsid w:val="00AF35FC"/>
    <w:rsid w:val="00AF380A"/>
    <w:rsid w:val="00AF390D"/>
    <w:rsid w:val="00AF5556"/>
    <w:rsid w:val="00AF5C33"/>
    <w:rsid w:val="00B00F4E"/>
    <w:rsid w:val="00B03639"/>
    <w:rsid w:val="00B03A71"/>
    <w:rsid w:val="00B05D44"/>
    <w:rsid w:val="00B0652A"/>
    <w:rsid w:val="00B1446E"/>
    <w:rsid w:val="00B301CE"/>
    <w:rsid w:val="00B308C1"/>
    <w:rsid w:val="00B35314"/>
    <w:rsid w:val="00B35A10"/>
    <w:rsid w:val="00B3654B"/>
    <w:rsid w:val="00B40937"/>
    <w:rsid w:val="00B41BC1"/>
    <w:rsid w:val="00B41EF1"/>
    <w:rsid w:val="00B423EF"/>
    <w:rsid w:val="00B453DE"/>
    <w:rsid w:val="00B50F98"/>
    <w:rsid w:val="00B62497"/>
    <w:rsid w:val="00B62940"/>
    <w:rsid w:val="00B6392A"/>
    <w:rsid w:val="00B66019"/>
    <w:rsid w:val="00B72597"/>
    <w:rsid w:val="00B754A9"/>
    <w:rsid w:val="00B77877"/>
    <w:rsid w:val="00B803EF"/>
    <w:rsid w:val="00B84D75"/>
    <w:rsid w:val="00B85F8F"/>
    <w:rsid w:val="00B87DC0"/>
    <w:rsid w:val="00B901F9"/>
    <w:rsid w:val="00B921ED"/>
    <w:rsid w:val="00B94F18"/>
    <w:rsid w:val="00B976DE"/>
    <w:rsid w:val="00BA4F36"/>
    <w:rsid w:val="00BA6AB4"/>
    <w:rsid w:val="00BB10F9"/>
    <w:rsid w:val="00BB235F"/>
    <w:rsid w:val="00BB4F50"/>
    <w:rsid w:val="00BC1412"/>
    <w:rsid w:val="00BC4D98"/>
    <w:rsid w:val="00BC5AF0"/>
    <w:rsid w:val="00BD08C6"/>
    <w:rsid w:val="00BD4E5D"/>
    <w:rsid w:val="00BD6EFB"/>
    <w:rsid w:val="00BE0F26"/>
    <w:rsid w:val="00BE3DF5"/>
    <w:rsid w:val="00BE613F"/>
    <w:rsid w:val="00BF1CDE"/>
    <w:rsid w:val="00BF5EAB"/>
    <w:rsid w:val="00C02181"/>
    <w:rsid w:val="00C02410"/>
    <w:rsid w:val="00C027F4"/>
    <w:rsid w:val="00C100EC"/>
    <w:rsid w:val="00C1584D"/>
    <w:rsid w:val="00C15BE2"/>
    <w:rsid w:val="00C17937"/>
    <w:rsid w:val="00C26C37"/>
    <w:rsid w:val="00C3447F"/>
    <w:rsid w:val="00C34A8B"/>
    <w:rsid w:val="00C35DFE"/>
    <w:rsid w:val="00C371F0"/>
    <w:rsid w:val="00C44714"/>
    <w:rsid w:val="00C503E6"/>
    <w:rsid w:val="00C54545"/>
    <w:rsid w:val="00C56E75"/>
    <w:rsid w:val="00C61CE0"/>
    <w:rsid w:val="00C65B7C"/>
    <w:rsid w:val="00C67102"/>
    <w:rsid w:val="00C67268"/>
    <w:rsid w:val="00C76F37"/>
    <w:rsid w:val="00C80A72"/>
    <w:rsid w:val="00C81491"/>
    <w:rsid w:val="00C81676"/>
    <w:rsid w:val="00C8378D"/>
    <w:rsid w:val="00C85C5D"/>
    <w:rsid w:val="00C92CC4"/>
    <w:rsid w:val="00C96C1E"/>
    <w:rsid w:val="00C975E2"/>
    <w:rsid w:val="00CA0AFB"/>
    <w:rsid w:val="00CA2CE1"/>
    <w:rsid w:val="00CA3976"/>
    <w:rsid w:val="00CA50E3"/>
    <w:rsid w:val="00CA5786"/>
    <w:rsid w:val="00CA757B"/>
    <w:rsid w:val="00CB6647"/>
    <w:rsid w:val="00CC1787"/>
    <w:rsid w:val="00CC182C"/>
    <w:rsid w:val="00CC39AE"/>
    <w:rsid w:val="00CD0824"/>
    <w:rsid w:val="00CD1CCA"/>
    <w:rsid w:val="00CD2908"/>
    <w:rsid w:val="00CF2AC6"/>
    <w:rsid w:val="00D03A82"/>
    <w:rsid w:val="00D04875"/>
    <w:rsid w:val="00D117D6"/>
    <w:rsid w:val="00D13667"/>
    <w:rsid w:val="00D15344"/>
    <w:rsid w:val="00D20A4E"/>
    <w:rsid w:val="00D23F57"/>
    <w:rsid w:val="00D30376"/>
    <w:rsid w:val="00D31262"/>
    <w:rsid w:val="00D31A9B"/>
    <w:rsid w:val="00D31BEC"/>
    <w:rsid w:val="00D63150"/>
    <w:rsid w:val="00D636BA"/>
    <w:rsid w:val="00D644DC"/>
    <w:rsid w:val="00D64A32"/>
    <w:rsid w:val="00D64EFC"/>
    <w:rsid w:val="00D6524C"/>
    <w:rsid w:val="00D713ED"/>
    <w:rsid w:val="00D737DC"/>
    <w:rsid w:val="00D75295"/>
    <w:rsid w:val="00D76CE9"/>
    <w:rsid w:val="00D8214A"/>
    <w:rsid w:val="00D84E96"/>
    <w:rsid w:val="00D92782"/>
    <w:rsid w:val="00D96185"/>
    <w:rsid w:val="00D97F12"/>
    <w:rsid w:val="00DA2518"/>
    <w:rsid w:val="00DA6095"/>
    <w:rsid w:val="00DA792B"/>
    <w:rsid w:val="00DB15AC"/>
    <w:rsid w:val="00DB2C76"/>
    <w:rsid w:val="00DB410B"/>
    <w:rsid w:val="00DB42E7"/>
    <w:rsid w:val="00DC04D5"/>
    <w:rsid w:val="00DC09D8"/>
    <w:rsid w:val="00DC5C92"/>
    <w:rsid w:val="00DD0222"/>
    <w:rsid w:val="00DD1AD9"/>
    <w:rsid w:val="00DD2726"/>
    <w:rsid w:val="00DE01A6"/>
    <w:rsid w:val="00DE5F7A"/>
    <w:rsid w:val="00DE7A98"/>
    <w:rsid w:val="00DF32C2"/>
    <w:rsid w:val="00DF3CBE"/>
    <w:rsid w:val="00E115DE"/>
    <w:rsid w:val="00E24A83"/>
    <w:rsid w:val="00E2598A"/>
    <w:rsid w:val="00E272DA"/>
    <w:rsid w:val="00E3597D"/>
    <w:rsid w:val="00E37520"/>
    <w:rsid w:val="00E41757"/>
    <w:rsid w:val="00E471A7"/>
    <w:rsid w:val="00E635CF"/>
    <w:rsid w:val="00E63B71"/>
    <w:rsid w:val="00E66157"/>
    <w:rsid w:val="00E66EFF"/>
    <w:rsid w:val="00E6704C"/>
    <w:rsid w:val="00E71ACE"/>
    <w:rsid w:val="00E748F9"/>
    <w:rsid w:val="00E80AB8"/>
    <w:rsid w:val="00E8670C"/>
    <w:rsid w:val="00E878EC"/>
    <w:rsid w:val="00E87DBE"/>
    <w:rsid w:val="00EA5CEF"/>
    <w:rsid w:val="00EB0B7D"/>
    <w:rsid w:val="00EB1E3B"/>
    <w:rsid w:val="00EB2015"/>
    <w:rsid w:val="00EB2548"/>
    <w:rsid w:val="00EB3228"/>
    <w:rsid w:val="00EB6E7B"/>
    <w:rsid w:val="00EC04E5"/>
    <w:rsid w:val="00EC1135"/>
    <w:rsid w:val="00EC1DB2"/>
    <w:rsid w:val="00EC6E0A"/>
    <w:rsid w:val="00ED2844"/>
    <w:rsid w:val="00ED4893"/>
    <w:rsid w:val="00ED4E18"/>
    <w:rsid w:val="00ED7922"/>
    <w:rsid w:val="00ED7FCF"/>
    <w:rsid w:val="00EE02C4"/>
    <w:rsid w:val="00EE1F37"/>
    <w:rsid w:val="00EE4763"/>
    <w:rsid w:val="00EE64D5"/>
    <w:rsid w:val="00EF1D9D"/>
    <w:rsid w:val="00EF2D22"/>
    <w:rsid w:val="00EF4ACC"/>
    <w:rsid w:val="00F0159C"/>
    <w:rsid w:val="00F04337"/>
    <w:rsid w:val="00F07942"/>
    <w:rsid w:val="00F07F90"/>
    <w:rsid w:val="00F105B7"/>
    <w:rsid w:val="00F13220"/>
    <w:rsid w:val="00F1348A"/>
    <w:rsid w:val="00F134C8"/>
    <w:rsid w:val="00F17A21"/>
    <w:rsid w:val="00F232AB"/>
    <w:rsid w:val="00F2544A"/>
    <w:rsid w:val="00F25DA9"/>
    <w:rsid w:val="00F26BA8"/>
    <w:rsid w:val="00F3582D"/>
    <w:rsid w:val="00F36FC2"/>
    <w:rsid w:val="00F37B27"/>
    <w:rsid w:val="00F402A4"/>
    <w:rsid w:val="00F46556"/>
    <w:rsid w:val="00F50E91"/>
    <w:rsid w:val="00F52EB9"/>
    <w:rsid w:val="00F53827"/>
    <w:rsid w:val="00F53AB9"/>
    <w:rsid w:val="00F56799"/>
    <w:rsid w:val="00F568FC"/>
    <w:rsid w:val="00F56AE7"/>
    <w:rsid w:val="00F57D29"/>
    <w:rsid w:val="00F60786"/>
    <w:rsid w:val="00F65918"/>
    <w:rsid w:val="00F71C93"/>
    <w:rsid w:val="00F730A2"/>
    <w:rsid w:val="00F7486B"/>
    <w:rsid w:val="00F852C8"/>
    <w:rsid w:val="00F91BC7"/>
    <w:rsid w:val="00F95342"/>
    <w:rsid w:val="00F96201"/>
    <w:rsid w:val="00FA1BBC"/>
    <w:rsid w:val="00FA34AB"/>
    <w:rsid w:val="00FB15DC"/>
    <w:rsid w:val="00FB2CAF"/>
    <w:rsid w:val="00FB7649"/>
    <w:rsid w:val="00FB79B8"/>
    <w:rsid w:val="00FD0A04"/>
    <w:rsid w:val="00FD0B18"/>
    <w:rsid w:val="00FD2FAD"/>
    <w:rsid w:val="00FD3849"/>
    <w:rsid w:val="00FD524F"/>
    <w:rsid w:val="00FD5D4D"/>
    <w:rsid w:val="00FE169D"/>
    <w:rsid w:val="00FE3878"/>
    <w:rsid w:val="00FE46EE"/>
    <w:rsid w:val="00FE714F"/>
    <w:rsid w:val="00FF1EE3"/>
    <w:rsid w:val="00FF48B3"/>
    <w:rsid w:val="00FF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PlaceholderText">
    <w:name w:val="Placeholder Text"/>
    <w:basedOn w:val="DefaultParagraphFont"/>
    <w:uiPriority w:val="99"/>
    <w:semiHidden/>
    <w:rsid w:val="007D7E00"/>
    <w:rPr>
      <w:color w:val="808080"/>
    </w:rPr>
  </w:style>
  <w:style w:type="character" w:customStyle="1" w:styleId="UnresolvedMention1">
    <w:name w:val="Unresolved Mention1"/>
    <w:basedOn w:val="DefaultParagraphFont"/>
    <w:uiPriority w:val="99"/>
    <w:semiHidden/>
    <w:unhideWhenUsed/>
    <w:rsid w:val="007C1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735">
      <w:bodyDiv w:val="1"/>
      <w:marLeft w:val="0"/>
      <w:marRight w:val="0"/>
      <w:marTop w:val="0"/>
      <w:marBottom w:val="0"/>
      <w:divBdr>
        <w:top w:val="none" w:sz="0" w:space="0" w:color="auto"/>
        <w:left w:val="none" w:sz="0" w:space="0" w:color="auto"/>
        <w:bottom w:val="none" w:sz="0" w:space="0" w:color="auto"/>
        <w:right w:val="none" w:sz="0" w:space="0" w:color="auto"/>
      </w:divBdr>
      <w:divsChild>
        <w:div w:id="463816686">
          <w:marLeft w:val="0"/>
          <w:marRight w:val="0"/>
          <w:marTop w:val="0"/>
          <w:marBottom w:val="0"/>
          <w:divBdr>
            <w:top w:val="none" w:sz="0" w:space="0" w:color="auto"/>
            <w:left w:val="none" w:sz="0" w:space="0" w:color="auto"/>
            <w:bottom w:val="none" w:sz="0" w:space="0" w:color="auto"/>
            <w:right w:val="none" w:sz="0" w:space="0" w:color="auto"/>
          </w:divBdr>
          <w:divsChild>
            <w:div w:id="1440950375">
              <w:marLeft w:val="0"/>
              <w:marRight w:val="0"/>
              <w:marTop w:val="0"/>
              <w:marBottom w:val="0"/>
              <w:divBdr>
                <w:top w:val="none" w:sz="0" w:space="0" w:color="auto"/>
                <w:left w:val="none" w:sz="0" w:space="0" w:color="auto"/>
                <w:bottom w:val="none" w:sz="0" w:space="0" w:color="auto"/>
                <w:right w:val="none" w:sz="0" w:space="0" w:color="auto"/>
              </w:divBdr>
              <w:divsChild>
                <w:div w:id="1823739093">
                  <w:marLeft w:val="0"/>
                  <w:marRight w:val="0"/>
                  <w:marTop w:val="0"/>
                  <w:marBottom w:val="0"/>
                  <w:divBdr>
                    <w:top w:val="none" w:sz="0" w:space="0" w:color="auto"/>
                    <w:left w:val="none" w:sz="0" w:space="0" w:color="auto"/>
                    <w:bottom w:val="none" w:sz="0" w:space="0" w:color="auto"/>
                    <w:right w:val="none" w:sz="0" w:space="0" w:color="auto"/>
                  </w:divBdr>
                  <w:divsChild>
                    <w:div w:id="851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7761">
      <w:bodyDiv w:val="1"/>
      <w:marLeft w:val="0"/>
      <w:marRight w:val="0"/>
      <w:marTop w:val="0"/>
      <w:marBottom w:val="0"/>
      <w:divBdr>
        <w:top w:val="none" w:sz="0" w:space="0" w:color="auto"/>
        <w:left w:val="none" w:sz="0" w:space="0" w:color="auto"/>
        <w:bottom w:val="none" w:sz="0" w:space="0" w:color="auto"/>
        <w:right w:val="none" w:sz="0" w:space="0" w:color="auto"/>
      </w:divBdr>
      <w:divsChild>
        <w:div w:id="747463911">
          <w:marLeft w:val="0"/>
          <w:marRight w:val="0"/>
          <w:marTop w:val="0"/>
          <w:marBottom w:val="0"/>
          <w:divBdr>
            <w:top w:val="none" w:sz="0" w:space="0" w:color="auto"/>
            <w:left w:val="none" w:sz="0" w:space="0" w:color="auto"/>
            <w:bottom w:val="none" w:sz="0" w:space="0" w:color="auto"/>
            <w:right w:val="none" w:sz="0" w:space="0" w:color="auto"/>
          </w:divBdr>
          <w:divsChild>
            <w:div w:id="1355182116">
              <w:marLeft w:val="0"/>
              <w:marRight w:val="0"/>
              <w:marTop w:val="0"/>
              <w:marBottom w:val="0"/>
              <w:divBdr>
                <w:top w:val="none" w:sz="0" w:space="0" w:color="auto"/>
                <w:left w:val="none" w:sz="0" w:space="0" w:color="auto"/>
                <w:bottom w:val="none" w:sz="0" w:space="0" w:color="auto"/>
                <w:right w:val="none" w:sz="0" w:space="0" w:color="auto"/>
              </w:divBdr>
              <w:divsChild>
                <w:div w:id="30998840">
                  <w:marLeft w:val="0"/>
                  <w:marRight w:val="0"/>
                  <w:marTop w:val="0"/>
                  <w:marBottom w:val="0"/>
                  <w:divBdr>
                    <w:top w:val="none" w:sz="0" w:space="0" w:color="auto"/>
                    <w:left w:val="none" w:sz="0" w:space="0" w:color="auto"/>
                    <w:bottom w:val="none" w:sz="0" w:space="0" w:color="auto"/>
                    <w:right w:val="none" w:sz="0" w:space="0" w:color="auto"/>
                  </w:divBdr>
                  <w:divsChild>
                    <w:div w:id="17911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Cold Chain</c:v>
                </c:pt>
              </c:strCache>
            </c:strRef>
          </c:tx>
          <c:spPr>
            <a:ln w="34925" cap="rnd" cmpd="dbl">
              <a:solidFill>
                <a:schemeClr val="tx1"/>
              </a:solidFill>
              <a:round/>
            </a:ln>
            <a:effectLst>
              <a:outerShdw blurRad="57150" dist="19050" dir="5400000" algn="ctr" rotWithShape="0">
                <a:srgbClr val="000000">
                  <a:alpha val="63000"/>
                </a:srgbClr>
              </a:outerShdw>
            </a:effectLst>
          </c:spPr>
          <c:marker>
            <c:symbol val="triangle"/>
            <c:size val="6"/>
            <c:spPr>
              <a:solidFill>
                <a:schemeClr val="bg1"/>
              </a:solidFill>
              <a:ln w="9525">
                <a:solidFill>
                  <a:schemeClr val="tx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dLbl>
              <c:idx val="0"/>
              <c:tx>
                <c:rich>
                  <a:bodyPr/>
                  <a:lstStyle/>
                  <a:p>
                    <a:r>
                      <a:rPr lang="en-US"/>
                      <a:t>272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FE-4E6B-897C-67699ADEE1DB}"/>
                </c:ext>
              </c:extLst>
            </c:dLbl>
            <c:dLbl>
              <c:idx val="1"/>
              <c:tx>
                <c:rich>
                  <a:bodyPr/>
                  <a:lstStyle/>
                  <a:p>
                    <a:r>
                      <a:rPr lang="en-US"/>
                      <a:t>318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FE-4E6B-897C-67699ADEE1D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2016</c:v>
                </c:pt>
                <c:pt idx="1">
                  <c:v>2018</c:v>
                </c:pt>
                <c:pt idx="2">
                  <c:v>2020</c:v>
                </c:pt>
                <c:pt idx="3">
                  <c:v>2022</c:v>
                </c:pt>
              </c:numCache>
            </c:numRef>
          </c:cat>
          <c:val>
            <c:numRef>
              <c:f>Sheet1!$B$2:$B$5</c:f>
              <c:numCache>
                <c:formatCode>_(* #,##0_);_(* \(#,##0\);_(* "-"??_);_(@_)</c:formatCode>
                <c:ptCount val="4"/>
                <c:pt idx="0">
                  <c:v>272</c:v>
                </c:pt>
                <c:pt idx="1">
                  <c:v>318</c:v>
                </c:pt>
                <c:pt idx="2">
                  <c:v>370</c:v>
                </c:pt>
                <c:pt idx="3">
                  <c:v>416</c:v>
                </c:pt>
              </c:numCache>
            </c:numRef>
          </c:val>
          <c:smooth val="0"/>
          <c:extLst>
            <c:ext xmlns:c16="http://schemas.microsoft.com/office/drawing/2014/chart" uri="{C3380CC4-5D6E-409C-BE32-E72D297353CC}">
              <c16:uniqueId val="{00000000-ED37-4FD3-B00D-5B34E7318A34}"/>
            </c:ext>
          </c:extLst>
        </c:ser>
        <c:ser>
          <c:idx val="1"/>
          <c:order val="1"/>
          <c:tx>
            <c:strRef>
              <c:f>Sheet1!$C$1</c:f>
              <c:strCache>
                <c:ptCount val="1"/>
                <c:pt idx="0">
                  <c:v>Non-Cold Chain</c:v>
                </c:pt>
              </c:strCache>
            </c:strRef>
          </c:tx>
          <c:spPr>
            <a:ln w="34925" cap="rnd">
              <a:solidFill>
                <a:schemeClr val="tx1"/>
              </a:solidFill>
              <a:round/>
            </a:ln>
            <a:effectLst>
              <a:outerShdw blurRad="57150" dist="19050" dir="5400000" algn="ctr" rotWithShape="0">
                <a:srgbClr val="000000">
                  <a:alpha val="63000"/>
                </a:srgbClr>
              </a:outerShdw>
            </a:effectLst>
          </c:spPr>
          <c:marker>
            <c:symbol val="diamond"/>
            <c:size val="7"/>
            <c:spPr>
              <a:solidFill>
                <a:schemeClr val="bg1"/>
              </a:solidFill>
              <a:ln w="9525">
                <a:solidFill>
                  <a:schemeClr val="tx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2016</c:v>
                </c:pt>
                <c:pt idx="1">
                  <c:v>2018</c:v>
                </c:pt>
                <c:pt idx="2">
                  <c:v>2020</c:v>
                </c:pt>
                <c:pt idx="3">
                  <c:v>2022</c:v>
                </c:pt>
              </c:numCache>
            </c:numRef>
          </c:cat>
          <c:val>
            <c:numRef>
              <c:f>Sheet1!$C$2:$C$5</c:f>
              <c:numCache>
                <c:formatCode>_(* #,##0_);_(* \(#,##0\);_(* "-"??_);_(@_)</c:formatCode>
                <c:ptCount val="4"/>
                <c:pt idx="0">
                  <c:v>833</c:v>
                </c:pt>
                <c:pt idx="1">
                  <c:v>870</c:v>
                </c:pt>
                <c:pt idx="2">
                  <c:v>940</c:v>
                </c:pt>
                <c:pt idx="3">
                  <c:v>1014</c:v>
                </c:pt>
              </c:numCache>
            </c:numRef>
          </c:val>
          <c:smooth val="0"/>
          <c:extLst>
            <c:ext xmlns:c16="http://schemas.microsoft.com/office/drawing/2014/chart" uri="{C3380CC4-5D6E-409C-BE32-E72D297353CC}">
              <c16:uniqueId val="{00000001-ED37-4FD3-B00D-5B34E7318A34}"/>
            </c:ext>
          </c:extLst>
        </c:ser>
        <c:ser>
          <c:idx val="2"/>
          <c:order val="2"/>
          <c:tx>
            <c:strRef>
              <c:f>Sheet1!$D$1</c:f>
              <c:strCache>
                <c:ptCount val="1"/>
                <c:pt idx="0">
                  <c:v>Total</c:v>
                </c:pt>
              </c:strCache>
            </c:strRef>
          </c:tx>
          <c:spPr>
            <a:ln w="34925" cap="rnd">
              <a:solidFill>
                <a:schemeClr val="tx1"/>
              </a:solidFill>
              <a:prstDash val="sysDash"/>
              <a:round/>
            </a:ln>
            <a:effectLst>
              <a:outerShdw blurRad="57150" dist="19050" dir="5400000" algn="ctr" rotWithShape="0">
                <a:schemeClr val="tx1">
                  <a:alpha val="63000"/>
                </a:schemeClr>
              </a:outerShdw>
            </a:effectLst>
          </c:spPr>
          <c:marker>
            <c:symbol val="x"/>
            <c:size val="6"/>
            <c:spPr>
              <a:solidFill>
                <a:schemeClr val="bg1"/>
              </a:solidFill>
              <a:ln w="9525">
                <a:solidFill>
                  <a:schemeClr val="tx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2016</c:v>
                </c:pt>
                <c:pt idx="1">
                  <c:v>2018</c:v>
                </c:pt>
                <c:pt idx="2">
                  <c:v>2020</c:v>
                </c:pt>
                <c:pt idx="3">
                  <c:v>2022</c:v>
                </c:pt>
              </c:numCache>
            </c:numRef>
          </c:cat>
          <c:val>
            <c:numRef>
              <c:f>Sheet1!$D$2:$D$5</c:f>
              <c:numCache>
                <c:formatCode>_(* #,##0_);_(* \(#,##0\);_(* "-"??_);_(@_)</c:formatCode>
                <c:ptCount val="4"/>
                <c:pt idx="0">
                  <c:v>1105</c:v>
                </c:pt>
                <c:pt idx="1">
                  <c:v>1188</c:v>
                </c:pt>
                <c:pt idx="2">
                  <c:v>1310</c:v>
                </c:pt>
                <c:pt idx="3">
                  <c:v>1430</c:v>
                </c:pt>
              </c:numCache>
            </c:numRef>
          </c:val>
          <c:smooth val="0"/>
          <c:extLst>
            <c:ext xmlns:c16="http://schemas.microsoft.com/office/drawing/2014/chart" uri="{C3380CC4-5D6E-409C-BE32-E72D297353CC}">
              <c16:uniqueId val="{00000002-ED37-4FD3-B00D-5B34E7318A34}"/>
            </c:ext>
          </c:extLst>
        </c:ser>
        <c:dLbls>
          <c:showLegendKey val="0"/>
          <c:showVal val="0"/>
          <c:showCatName val="0"/>
          <c:showSerName val="0"/>
          <c:showPercent val="0"/>
          <c:showBubbleSize val="0"/>
        </c:dLbls>
        <c:marker val="1"/>
        <c:smooth val="0"/>
        <c:axId val="388848560"/>
        <c:axId val="388848952"/>
      </c:lineChart>
      <c:catAx>
        <c:axId val="3888485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8848952"/>
        <c:crosses val="autoZero"/>
        <c:auto val="1"/>
        <c:lblAlgn val="ctr"/>
        <c:lblOffset val="100"/>
        <c:noMultiLvlLbl val="0"/>
      </c:catAx>
      <c:valAx>
        <c:axId val="38884895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884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058200778593953"/>
          <c:y val="0.20510165042928957"/>
          <c:w val="0.43845819362292637"/>
          <c:h val="0.73163882209334619"/>
        </c:manualLayout>
      </c:layout>
      <c:doughnutChart>
        <c:varyColors val="1"/>
        <c:ser>
          <c:idx val="0"/>
          <c:order val="0"/>
          <c:tx>
            <c:strRef>
              <c:f>Sheet1!$B$1</c:f>
              <c:strCache>
                <c:ptCount val="1"/>
                <c:pt idx="0">
                  <c:v>Percent Volume </c:v>
                </c:pt>
              </c:strCache>
            </c:strRef>
          </c:tx>
          <c:spPr>
            <a:noFill/>
            <a:ln>
              <a:solidFill>
                <a:schemeClr val="tx1"/>
              </a:solidFill>
            </a:ln>
            <a:effectLst/>
          </c:spPr>
          <c:dPt>
            <c:idx val="0"/>
            <c:bubble3D val="0"/>
            <c:spPr>
              <a:noFill/>
              <a:ln>
                <a:solidFill>
                  <a:schemeClr val="tx1"/>
                </a:solidFill>
              </a:ln>
              <a:effectLst/>
            </c:spPr>
            <c:extLst>
              <c:ext xmlns:c16="http://schemas.microsoft.com/office/drawing/2014/chart" uri="{C3380CC4-5D6E-409C-BE32-E72D297353CC}">
                <c16:uniqueId val="{00000001-B53A-4453-86CA-E1787F6D7BA9}"/>
              </c:ext>
            </c:extLst>
          </c:dPt>
          <c:dPt>
            <c:idx val="1"/>
            <c:bubble3D val="0"/>
            <c:spPr>
              <a:noFill/>
              <a:ln>
                <a:solidFill>
                  <a:schemeClr val="tx1"/>
                </a:solidFill>
              </a:ln>
              <a:effectLst/>
            </c:spPr>
            <c:extLst>
              <c:ext xmlns:c16="http://schemas.microsoft.com/office/drawing/2014/chart" uri="{C3380CC4-5D6E-409C-BE32-E72D297353CC}">
                <c16:uniqueId val="{00000003-B53A-4453-86CA-E1787F6D7BA9}"/>
              </c:ext>
            </c:extLst>
          </c:dPt>
          <c:dPt>
            <c:idx val="2"/>
            <c:bubble3D val="0"/>
            <c:spPr>
              <a:noFill/>
              <a:ln>
                <a:solidFill>
                  <a:schemeClr val="tx1"/>
                </a:solidFill>
              </a:ln>
              <a:effectLst/>
            </c:spPr>
            <c:extLst>
              <c:ext xmlns:c16="http://schemas.microsoft.com/office/drawing/2014/chart" uri="{C3380CC4-5D6E-409C-BE32-E72D297353CC}">
                <c16:uniqueId val="{00000005-B53A-4453-86CA-E1787F6D7BA9}"/>
              </c:ext>
            </c:extLst>
          </c:dPt>
          <c:dPt>
            <c:idx val="3"/>
            <c:bubble3D val="0"/>
            <c:spPr>
              <a:noFill/>
              <a:ln>
                <a:solidFill>
                  <a:schemeClr val="tx1"/>
                </a:solidFill>
              </a:ln>
              <a:effectLst/>
            </c:spPr>
            <c:extLst>
              <c:ext xmlns:c16="http://schemas.microsoft.com/office/drawing/2014/chart" uri="{C3380CC4-5D6E-409C-BE32-E72D297353CC}">
                <c16:uniqueId val="{00000007-B53A-4453-86CA-E1787F6D7BA9}"/>
              </c:ext>
            </c:extLst>
          </c:dPt>
          <c:dPt>
            <c:idx val="4"/>
            <c:bubble3D val="0"/>
            <c:spPr>
              <a:noFill/>
              <a:ln>
                <a:solidFill>
                  <a:schemeClr val="tx1"/>
                </a:solidFill>
              </a:ln>
              <a:effectLst/>
            </c:spPr>
            <c:extLst>
              <c:ext xmlns:c16="http://schemas.microsoft.com/office/drawing/2014/chart" uri="{C3380CC4-5D6E-409C-BE32-E72D297353CC}">
                <c16:uniqueId val="{00000009-B53A-4453-86CA-E1787F6D7BA9}"/>
              </c:ext>
            </c:extLst>
          </c:dPt>
          <c:dPt>
            <c:idx val="5"/>
            <c:bubble3D val="0"/>
            <c:spPr>
              <a:noFill/>
              <a:ln>
                <a:solidFill>
                  <a:schemeClr val="tx1"/>
                </a:solidFill>
              </a:ln>
              <a:effectLst/>
            </c:spPr>
            <c:extLst>
              <c:ext xmlns:c16="http://schemas.microsoft.com/office/drawing/2014/chart" uri="{C3380CC4-5D6E-409C-BE32-E72D297353CC}">
                <c16:uniqueId val="{0000000B-B53A-4453-86CA-E1787F6D7BA9}"/>
              </c:ext>
            </c:extLst>
          </c:dPt>
          <c:dPt>
            <c:idx val="6"/>
            <c:bubble3D val="0"/>
            <c:spPr>
              <a:noFill/>
              <a:ln>
                <a:solidFill>
                  <a:schemeClr val="tx1"/>
                </a:solidFill>
              </a:ln>
              <a:effectLst/>
            </c:spPr>
            <c:extLst>
              <c:ext xmlns:c16="http://schemas.microsoft.com/office/drawing/2014/chart" uri="{C3380CC4-5D6E-409C-BE32-E72D297353CC}">
                <c16:uniqueId val="{0000000D-B53A-4453-86CA-E1787F6D7BA9}"/>
              </c:ext>
            </c:extLst>
          </c:dPt>
          <c:dPt>
            <c:idx val="7"/>
            <c:bubble3D val="0"/>
            <c:spPr>
              <a:noFill/>
              <a:ln>
                <a:solidFill>
                  <a:schemeClr val="tx1"/>
                </a:solidFill>
              </a:ln>
              <a:effectLst/>
            </c:spPr>
            <c:extLst>
              <c:ext xmlns:c16="http://schemas.microsoft.com/office/drawing/2014/chart" uri="{C3380CC4-5D6E-409C-BE32-E72D297353CC}">
                <c16:uniqueId val="{0000000F-B53A-4453-86CA-E1787F6D7BA9}"/>
              </c:ext>
            </c:extLst>
          </c:dPt>
          <c:dLbls>
            <c:dLbl>
              <c:idx val="0"/>
              <c:layout>
                <c:manualLayout>
                  <c:x val="0.17942583732057416"/>
                  <c:y val="0.1879699248120302"/>
                </c:manualLayout>
              </c:layout>
              <c:tx>
                <c:rich>
                  <a:bodyPr/>
                  <a:lstStyle/>
                  <a:p>
                    <a:r>
                      <a:rPr lang="en-US" baseline="0"/>
                      <a:t>Asia-Pacific, </a:t>
                    </a:r>
                    <a:fld id="{A8360419-F2DA-4824-8CB6-32A19D211F85}"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53A-4453-86CA-E1787F6D7BA9}"/>
                </c:ext>
              </c:extLst>
            </c:dLbl>
            <c:dLbl>
              <c:idx val="1"/>
              <c:layout>
                <c:manualLayout>
                  <c:x val="0.1275917065390749"/>
                  <c:y val="9.711779448621553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53A-4453-86CA-E1787F6D7BA9}"/>
                </c:ext>
              </c:extLst>
            </c:dLbl>
            <c:dLbl>
              <c:idx val="2"/>
              <c:layout>
                <c:manualLayout>
                  <c:x val="-0.12759170653907498"/>
                  <c:y val="2.81954887218045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53A-4453-86CA-E1787F6D7BA9}"/>
                </c:ext>
              </c:extLst>
            </c:dLbl>
            <c:dLbl>
              <c:idx val="3"/>
              <c:layout>
                <c:manualLayout>
                  <c:x val="-0.1814194577352472"/>
                  <c:y val="3.1328320802005011E-3"/>
                </c:manualLayout>
              </c:layout>
              <c:tx>
                <c:rich>
                  <a:bodyPr/>
                  <a:lstStyle/>
                  <a:p>
                    <a:r>
                      <a:rPr lang="en-US" baseline="0"/>
                      <a:t>Middle East, </a:t>
                    </a:r>
                    <a:fld id="{D39E084D-AFF3-4A48-A7CD-5698B3B5CE16}"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53A-4453-86CA-E1787F6D7BA9}"/>
                </c:ext>
              </c:extLst>
            </c:dLbl>
            <c:dLbl>
              <c:idx val="4"/>
              <c:layout>
                <c:manualLayout>
                  <c:x val="-0.15151515151515155"/>
                  <c:y val="-5.0125313283208052E-2"/>
                </c:manualLayout>
              </c:layout>
              <c:tx>
                <c:rich>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baseline="0">
                        <a:latin typeface="Arial" panose="020B0604020202020204" pitchFamily="34" charset="0"/>
                        <a:cs typeface="Arial" panose="020B0604020202020204" pitchFamily="34" charset="0"/>
                      </a:rPr>
                      <a:t>Russia and Central Asia, </a:t>
                    </a:r>
                    <a:fld id="{491FD6C4-62BC-4223-8308-B81EC6D1CD55}" type="VALUE">
                      <a:rPr lang="en-US" baseline="0">
                        <a:latin typeface="Arial" panose="020B0604020202020204" pitchFamily="34" charset="0"/>
                        <a:cs typeface="Arial" panose="020B0604020202020204" pitchFamily="34" charset="0"/>
                      </a:rPr>
                      <a:pPr>
                        <a:defRPr>
                          <a:solidFill>
                            <a:sysClr val="windowText" lastClr="000000"/>
                          </a:solidFill>
                          <a:latin typeface="Arial" panose="020B0604020202020204" pitchFamily="34" charset="0"/>
                          <a:cs typeface="Arial" panose="020B0604020202020204" pitchFamily="34" charset="0"/>
                        </a:defRPr>
                      </a:pPr>
                      <a:t>[VALUE]</a:t>
                    </a:fld>
                    <a:endParaRPr lang="en-US" baseline="0">
                      <a:latin typeface="Arial" panose="020B0604020202020204" pitchFamily="34" charset="0"/>
                      <a:cs typeface="Arial" panose="020B0604020202020204" pitchFamily="34" charset="0"/>
                    </a:endParaRPr>
                  </a:p>
                </c:rich>
              </c:tx>
              <c:spPr>
                <a:solidFill>
                  <a:sysClr val="window" lastClr="FFFFFF">
                    <a:alpha val="75000"/>
                  </a:sysClr>
                </a:solidFill>
                <a:ln w="9525">
                  <a:noFill/>
                </a:ln>
                <a:effectLst/>
              </c:spPr>
              <c:txPr>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borderCallout2">
                      <a:avLst/>
                    </a:prstGeom>
                    <a:noFill/>
                    <a:ln>
                      <a:noFill/>
                    </a:ln>
                  </c15:spPr>
                  <c15:dlblFieldTable/>
                  <c15:showDataLabelsRange val="0"/>
                </c:ext>
                <c:ext xmlns:c16="http://schemas.microsoft.com/office/drawing/2014/chart" uri="{C3380CC4-5D6E-409C-BE32-E72D297353CC}">
                  <c16:uniqueId val="{00000009-B53A-4453-86CA-E1787F6D7BA9}"/>
                </c:ext>
              </c:extLst>
            </c:dLbl>
            <c:dLbl>
              <c:idx val="5"/>
              <c:layout>
                <c:manualLayout>
                  <c:x val="2.5917065390749602E-2"/>
                  <c:y val="0.12218045112781954"/>
                </c:manualLayout>
              </c:layout>
              <c:spPr>
                <a:solidFill>
                  <a:sysClr val="window" lastClr="FFFFFF">
                    <a:alpha val="75000"/>
                  </a:sysClr>
                </a:solidFill>
                <a:ln w="9525">
                  <a:noFill/>
                </a:ln>
                <a:effectLst/>
              </c:spPr>
              <c:txPr>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borderCallout2">
                      <a:avLst/>
                    </a:prstGeom>
                    <a:noFill/>
                    <a:ln>
                      <a:noFill/>
                    </a:ln>
                  </c15:spPr>
                </c:ext>
                <c:ext xmlns:c16="http://schemas.microsoft.com/office/drawing/2014/chart" uri="{C3380CC4-5D6E-409C-BE32-E72D297353CC}">
                  <c16:uniqueId val="{0000000B-B53A-4453-86CA-E1787F6D7BA9}"/>
                </c:ext>
              </c:extLst>
            </c:dLbl>
            <c:dLbl>
              <c:idx val="6"/>
              <c:layout>
                <c:manualLayout>
                  <c:x val="-5.3827751196172322E-2"/>
                  <c:y val="-0.10567831981528625"/>
                </c:manualLayout>
              </c:layout>
              <c:spPr>
                <a:solidFill>
                  <a:sysClr val="window" lastClr="FFFFFF">
                    <a:alpha val="75000"/>
                  </a:sysClr>
                </a:solidFill>
                <a:ln w="9525">
                  <a:noFill/>
                </a:ln>
                <a:effectLst/>
              </c:spPr>
              <c:txPr>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borderCallout1">
                      <a:avLst/>
                    </a:prstGeom>
                    <a:noFill/>
                    <a:ln>
                      <a:noFill/>
                    </a:ln>
                  </c15:spPr>
                </c:ext>
                <c:ext xmlns:c16="http://schemas.microsoft.com/office/drawing/2014/chart" uri="{C3380CC4-5D6E-409C-BE32-E72D297353CC}">
                  <c16:uniqueId val="{0000000D-B53A-4453-86CA-E1787F6D7BA9}"/>
                </c:ext>
              </c:extLst>
            </c:dLbl>
            <c:dLbl>
              <c:idx val="7"/>
              <c:layout>
                <c:manualLayout>
                  <c:x val="0.15350877192982443"/>
                  <c:y val="-0.10939282260770035"/>
                </c:manualLayout>
              </c:layout>
              <c:spPr>
                <a:solidFill>
                  <a:sysClr val="window" lastClr="FFFFFF">
                    <a:alpha val="75000"/>
                  </a:sysClr>
                </a:solidFill>
                <a:ln w="9525">
                  <a:noFill/>
                </a:ln>
                <a:effectLst/>
              </c:spPr>
              <c:txPr>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borderCallout1">
                      <a:avLst/>
                    </a:prstGeom>
                    <a:noFill/>
                    <a:ln>
                      <a:noFill/>
                    </a:ln>
                  </c15:spPr>
                </c:ext>
                <c:ext xmlns:c16="http://schemas.microsoft.com/office/drawing/2014/chart" uri="{C3380CC4-5D6E-409C-BE32-E72D297353CC}">
                  <c16:uniqueId val="{0000000F-B53A-4453-86CA-E1787F6D7BA9}"/>
                </c:ext>
              </c:extLst>
            </c:dLbl>
            <c:spPr>
              <a:solidFill>
                <a:schemeClr val="lt1">
                  <a:alpha val="75000"/>
                </a:schemeClr>
              </a:solidFill>
              <a:ln w="9525">
                <a:noFill/>
              </a:ln>
              <a:effectLst/>
            </c:spPr>
            <c:txPr>
              <a:bodyPr rot="0" spcFirstLastPara="1" vertOverflow="clip" horzOverflow="clip" vert="horz" wrap="square" lIns="36576" tIns="18288" rIns="36576" bIns="18288" anchor="t" anchorCtr="0">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spPr xmlns:c15="http://schemas.microsoft.com/office/drawing/2012/chart">
                  <a:prstGeom prst="ellipse">
                    <a:avLst/>
                  </a:prstGeom>
                  <a:noFill/>
                  <a:ln>
                    <a:noFill/>
                  </a:ln>
                </c15:spPr>
              </c:ext>
            </c:extLst>
          </c:dLbls>
          <c:cat>
            <c:strRef>
              <c:f>Sheet1!$A$2:$A$9</c:f>
              <c:strCache>
                <c:ptCount val="8"/>
                <c:pt idx="0">
                  <c:v>Asia Pacific</c:v>
                </c:pt>
                <c:pt idx="1">
                  <c:v>North America</c:v>
                </c:pt>
                <c:pt idx="2">
                  <c:v>Europe</c:v>
                </c:pt>
                <c:pt idx="3">
                  <c:v>Middle East Asia</c:v>
                </c:pt>
                <c:pt idx="4">
                  <c:v>Russia and CA</c:v>
                </c:pt>
                <c:pt idx="5">
                  <c:v>Latin America</c:v>
                </c:pt>
                <c:pt idx="6">
                  <c:v>Africa</c:v>
                </c:pt>
                <c:pt idx="7">
                  <c:v>South Asia</c:v>
                </c:pt>
              </c:strCache>
            </c:strRef>
          </c:cat>
          <c:val>
            <c:numRef>
              <c:f>Sheet1!$B$2:$B$9</c:f>
              <c:numCache>
                <c:formatCode>General</c:formatCode>
                <c:ptCount val="8"/>
                <c:pt idx="0">
                  <c:v>34.700000000000003</c:v>
                </c:pt>
                <c:pt idx="1">
                  <c:v>23.2</c:v>
                </c:pt>
                <c:pt idx="2">
                  <c:v>19.7</c:v>
                </c:pt>
                <c:pt idx="3">
                  <c:v>12.8</c:v>
                </c:pt>
                <c:pt idx="4">
                  <c:v>4.2</c:v>
                </c:pt>
                <c:pt idx="5">
                  <c:v>2.5</c:v>
                </c:pt>
                <c:pt idx="6">
                  <c:v>1.7</c:v>
                </c:pt>
                <c:pt idx="7">
                  <c:v>1.2</c:v>
                </c:pt>
              </c:numCache>
            </c:numRef>
          </c:val>
          <c:extLst>
            <c:ext xmlns:c16="http://schemas.microsoft.com/office/drawing/2014/chart" uri="{C3380CC4-5D6E-409C-BE32-E72D297353CC}">
              <c16:uniqueId val="{00000010-B53A-4453-86CA-E1787F6D7BA9}"/>
            </c:ext>
          </c:extLst>
        </c:ser>
        <c:dLbls>
          <c:showLegendKey val="0"/>
          <c:showVal val="0"/>
          <c:showCatName val="0"/>
          <c:showSerName val="0"/>
          <c:showPercent val="1"/>
          <c:showBubbleSize val="0"/>
          <c:showLeaderLines val="1"/>
        </c:dLbls>
        <c:firstSliceAng val="0"/>
        <c:holeSize val="7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186385409688958"/>
          <c:y val="0.22365892787991665"/>
          <c:w val="0.51183086125862176"/>
          <c:h val="0.65894392317726747"/>
        </c:manualLayout>
      </c:layout>
      <c:doughnutChart>
        <c:varyColors val="0"/>
        <c:ser>
          <c:idx val="0"/>
          <c:order val="0"/>
          <c:tx>
            <c:strRef>
              <c:f>Sheet1!$B$1</c:f>
              <c:strCache>
                <c:ptCount val="1"/>
                <c:pt idx="0">
                  <c:v>Revenue</c:v>
                </c:pt>
              </c:strCache>
            </c:strRef>
          </c:tx>
          <c:spPr>
            <a:noFill/>
            <a:ln>
              <a:solidFill>
                <a:schemeClr val="tx1"/>
              </a:solidFill>
            </a:ln>
            <a:effectLst/>
          </c:spPr>
          <c:dPt>
            <c:idx val="0"/>
            <c:bubble3D val="0"/>
            <c:explosion val="1"/>
            <c:extLst>
              <c:ext xmlns:c16="http://schemas.microsoft.com/office/drawing/2014/chart" uri="{C3380CC4-5D6E-409C-BE32-E72D297353CC}">
                <c16:uniqueId val="{00000001-0C8A-4FC5-B529-4D610D7B0871}"/>
              </c:ext>
            </c:extLst>
          </c:dPt>
          <c:dPt>
            <c:idx val="1"/>
            <c:bubble3D val="0"/>
            <c:extLst>
              <c:ext xmlns:c16="http://schemas.microsoft.com/office/drawing/2014/chart" uri="{C3380CC4-5D6E-409C-BE32-E72D297353CC}">
                <c16:uniqueId val="{00000002-0C8A-4FC5-B529-4D610D7B0871}"/>
              </c:ext>
            </c:extLst>
          </c:dPt>
          <c:dPt>
            <c:idx val="2"/>
            <c:bubble3D val="0"/>
            <c:extLst>
              <c:ext xmlns:c16="http://schemas.microsoft.com/office/drawing/2014/chart" uri="{C3380CC4-5D6E-409C-BE32-E72D297353CC}">
                <c16:uniqueId val="{00000003-0C8A-4FC5-B529-4D610D7B0871}"/>
              </c:ext>
            </c:extLst>
          </c:dPt>
          <c:dPt>
            <c:idx val="3"/>
            <c:bubble3D val="0"/>
            <c:extLst>
              <c:ext xmlns:c16="http://schemas.microsoft.com/office/drawing/2014/chart" uri="{C3380CC4-5D6E-409C-BE32-E72D297353CC}">
                <c16:uniqueId val="{00000004-0C8A-4FC5-B529-4D610D7B0871}"/>
              </c:ext>
            </c:extLst>
          </c:dPt>
          <c:dPt>
            <c:idx val="4"/>
            <c:bubble3D val="0"/>
            <c:extLst>
              <c:ext xmlns:c16="http://schemas.microsoft.com/office/drawing/2014/chart" uri="{C3380CC4-5D6E-409C-BE32-E72D297353CC}">
                <c16:uniqueId val="{00000005-0C8A-4FC5-B529-4D610D7B0871}"/>
              </c:ext>
            </c:extLst>
          </c:dPt>
          <c:dPt>
            <c:idx val="5"/>
            <c:bubble3D val="0"/>
            <c:extLst>
              <c:ext xmlns:c16="http://schemas.microsoft.com/office/drawing/2014/chart" uri="{C3380CC4-5D6E-409C-BE32-E72D297353CC}">
                <c16:uniqueId val="{00000006-0C8A-4FC5-B529-4D610D7B0871}"/>
              </c:ext>
            </c:extLst>
          </c:dPt>
          <c:dLbls>
            <c:dLbl>
              <c:idx val="0"/>
              <c:layout>
                <c:manualLayout>
                  <c:x val="0.17655254159686515"/>
                  <c:y val="1.1709601873536372E-2"/>
                </c:manualLayout>
              </c:layout>
              <c:showLegendKey val="0"/>
              <c:showVal val="0"/>
              <c:showCatName val="1"/>
              <c:showSerName val="0"/>
              <c:showPercent val="1"/>
              <c:showBubbleSize val="0"/>
              <c:extLst>
                <c:ext xmlns:c15="http://schemas.microsoft.com/office/drawing/2012/chart" uri="{CE6537A1-D6FC-4f65-9D91-7224C49458BB}">
                  <c15:layout>
                    <c:manualLayout>
                      <c:w val="0.23927419027518468"/>
                      <c:h val="0.2430928466097215"/>
                    </c:manualLayout>
                  </c15:layout>
                </c:ext>
                <c:ext xmlns:c16="http://schemas.microsoft.com/office/drawing/2014/chart" uri="{C3380CC4-5D6E-409C-BE32-E72D297353CC}">
                  <c16:uniqueId val="{00000001-0C8A-4FC5-B529-4D610D7B0871}"/>
                </c:ext>
              </c:extLst>
            </c:dLbl>
            <c:dLbl>
              <c:idx val="1"/>
              <c:layout>
                <c:manualLayout>
                  <c:x val="-0.15516318887105407"/>
                  <c:y val="8.196721311475409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0C8A-4FC5-B529-4D610D7B0871}"/>
                </c:ext>
              </c:extLst>
            </c:dLbl>
            <c:dLbl>
              <c:idx val="2"/>
              <c:layout>
                <c:manualLayout>
                  <c:x val="-0.15248796147672555"/>
                  <c:y val="7.8064012490241998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C8A-4FC5-B529-4D610D7B0871}"/>
                </c:ext>
              </c:extLst>
            </c:dLbl>
            <c:dLbl>
              <c:idx val="3"/>
              <c:layout>
                <c:manualLayout>
                  <c:x val="-0.13376136971642591"/>
                  <c:y val="-8.977361436377830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0C8A-4FC5-B529-4D610D7B0871}"/>
                </c:ext>
              </c:extLst>
            </c:dLbl>
            <c:dLbl>
              <c:idx val="4"/>
              <c:layout>
                <c:manualLayout>
                  <c:x val="-4.8154093097913325E-2"/>
                  <c:y val="-9.3676814988290433E-2"/>
                </c:manualLayout>
              </c:layout>
              <c:spPr>
                <a:noFill/>
                <a:ln w="9525">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borderCallout1">
                      <a:avLst/>
                    </a:prstGeom>
                    <a:noFill/>
                    <a:ln>
                      <a:noFill/>
                    </a:ln>
                  </c15:spPr>
                </c:ext>
                <c:ext xmlns:c16="http://schemas.microsoft.com/office/drawing/2014/chart" uri="{C3380CC4-5D6E-409C-BE32-E72D297353CC}">
                  <c16:uniqueId val="{00000005-0C8A-4FC5-B529-4D610D7B0871}"/>
                </c:ext>
              </c:extLst>
            </c:dLbl>
            <c:dLbl>
              <c:idx val="5"/>
              <c:layout>
                <c:manualLayout>
                  <c:x val="0.24879614767255206"/>
                  <c:y val="-6.6354410616705703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tx1"/>
                        </a:solidFill>
                        <a:effectLst/>
                        <a:latin typeface="Arial" panose="020B0604020202020204" pitchFamily="34" charset="0"/>
                        <a:ea typeface="+mn-ea"/>
                        <a:cs typeface="Arial" panose="020B0604020202020204" pitchFamily="34" charset="0"/>
                      </a:defRPr>
                    </a:pPr>
                    <a:r>
                      <a:rPr lang="en-US" baseline="0"/>
                      <a:t>Other
</a:t>
                    </a:r>
                    <a:fld id="{F4210910-1EB9-4B9D-ADDB-5C966FFBADA9}" type="PERCENTAGE">
                      <a:rPr lang="en-US" baseline="0"/>
                      <a:pPr>
                        <a:defRPr>
                          <a:solidFill>
                            <a:schemeClr val="tx1"/>
                          </a:solidFill>
                          <a:effectLst/>
                          <a:latin typeface="Arial" panose="020B0604020202020204" pitchFamily="34" charset="0"/>
                          <a:cs typeface="Arial" panose="020B0604020202020204" pitchFamily="34" charset="0"/>
                        </a:defRPr>
                      </a:pPr>
                      <a:t>[PERCENTAGE]</a:t>
                    </a:fld>
                    <a:endParaRPr lang="en-US" baseline="0"/>
                  </a:p>
                </c:rich>
              </c:tx>
              <c:spPr>
                <a:noFill/>
                <a:ln w="9525">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tx1"/>
                      </a:solidFill>
                      <a:effectLst/>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borderCallout1">
                      <a:avLst/>
                    </a:prstGeom>
                    <a:noFill/>
                    <a:ln>
                      <a:noFill/>
                    </a:ln>
                  </c15:spPr>
                  <c15:dlblFieldTable/>
                  <c15:showDataLabelsRange val="0"/>
                </c:ext>
                <c:ext xmlns:c16="http://schemas.microsoft.com/office/drawing/2014/chart" uri="{C3380CC4-5D6E-409C-BE32-E72D297353CC}">
                  <c16:uniqueId val="{00000006-0C8A-4FC5-B529-4D610D7B0871}"/>
                </c:ext>
              </c:extLst>
            </c:dLbl>
            <c:spPr>
              <a:noFill/>
              <a:ln w="9525">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effectLst/>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spPr xmlns:c15="http://schemas.microsoft.com/office/drawing/2012/chart">
                  <a:prstGeom prst="ellipse">
                    <a:avLst/>
                  </a:prstGeom>
                  <a:noFill/>
                  <a:ln>
                    <a:noFill/>
                  </a:ln>
                </c15:spPr>
              </c:ext>
            </c:extLst>
          </c:dLbls>
          <c:cat>
            <c:strRef>
              <c:f>Sheet1!$A$2:$A$7</c:f>
              <c:strCache>
                <c:ptCount val="6"/>
                <c:pt idx="0">
                  <c:v>Singapore</c:v>
                </c:pt>
                <c:pt idx="1">
                  <c:v>China</c:v>
                </c:pt>
                <c:pt idx="2">
                  <c:v>Japan</c:v>
                </c:pt>
                <c:pt idx="3">
                  <c:v>ASEAN (Ex-SG)</c:v>
                </c:pt>
                <c:pt idx="4">
                  <c:v>India</c:v>
                </c:pt>
                <c:pt idx="5">
                  <c:v>Others </c:v>
                </c:pt>
              </c:strCache>
            </c:strRef>
          </c:cat>
          <c:val>
            <c:numRef>
              <c:f>Sheet1!$B$2:$B$7</c:f>
              <c:numCache>
                <c:formatCode>General</c:formatCode>
                <c:ptCount val="6"/>
                <c:pt idx="0">
                  <c:v>1629</c:v>
                </c:pt>
                <c:pt idx="1">
                  <c:v>292</c:v>
                </c:pt>
                <c:pt idx="2">
                  <c:v>257</c:v>
                </c:pt>
                <c:pt idx="3">
                  <c:v>181</c:v>
                </c:pt>
                <c:pt idx="4">
                  <c:v>156</c:v>
                </c:pt>
                <c:pt idx="5">
                  <c:v>72</c:v>
                </c:pt>
              </c:numCache>
            </c:numRef>
          </c:val>
          <c:extLst>
            <c:ext xmlns:c16="http://schemas.microsoft.com/office/drawing/2014/chart" uri="{C3380CC4-5D6E-409C-BE32-E72D297353CC}">
              <c16:uniqueId val="{00000007-0C8A-4FC5-B529-4D610D7B0871}"/>
            </c:ext>
          </c:extLst>
        </c:ser>
        <c:dLbls>
          <c:showLegendKey val="0"/>
          <c:showVal val="0"/>
          <c:showCatName val="0"/>
          <c:showSerName val="0"/>
          <c:showPercent val="1"/>
          <c:showBubbleSize val="0"/>
          <c:showLeaderLines val="1"/>
        </c:dLbls>
        <c:firstSliceAng val="0"/>
        <c:holeSize val="7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Cargo Volume</c:v>
                </c:pt>
              </c:strCache>
            </c:strRef>
          </c:tx>
          <c:spPr>
            <a:ln w="28575" cap="rnd">
              <a:solidFill>
                <a:schemeClr val="tx1"/>
              </a:solidFill>
              <a:round/>
            </a:ln>
            <a:effectLst/>
          </c:spPr>
          <c:marker>
            <c:symbol val="none"/>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5.57</c:v>
                </c:pt>
                <c:pt idx="1">
                  <c:v>5.45</c:v>
                </c:pt>
                <c:pt idx="2">
                  <c:v>5.58</c:v>
                </c:pt>
                <c:pt idx="3">
                  <c:v>5.94</c:v>
                </c:pt>
                <c:pt idx="4">
                  <c:v>6.25</c:v>
                </c:pt>
                <c:pt idx="5">
                  <c:v>6.67</c:v>
                </c:pt>
                <c:pt idx="6">
                  <c:v>7.06</c:v>
                </c:pt>
              </c:numCache>
            </c:numRef>
          </c:val>
          <c:smooth val="0"/>
          <c:extLst>
            <c:ext xmlns:c16="http://schemas.microsoft.com/office/drawing/2014/chart" uri="{C3380CC4-5D6E-409C-BE32-E72D297353CC}">
              <c16:uniqueId val="{00000000-5A7C-41B3-AB37-E2DD90A25762}"/>
            </c:ext>
          </c:extLst>
        </c:ser>
        <c:dLbls>
          <c:showLegendKey val="0"/>
          <c:showVal val="0"/>
          <c:showCatName val="0"/>
          <c:showSerName val="0"/>
          <c:showPercent val="0"/>
          <c:showBubbleSize val="0"/>
        </c:dLbls>
        <c:smooth val="0"/>
        <c:axId val="388851696"/>
        <c:axId val="388852088"/>
      </c:lineChart>
      <c:catAx>
        <c:axId val="38885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88852088"/>
        <c:crosses val="autoZero"/>
        <c:auto val="1"/>
        <c:lblAlgn val="ctr"/>
        <c:lblOffset val="100"/>
        <c:noMultiLvlLbl val="0"/>
      </c:catAx>
      <c:valAx>
        <c:axId val="38885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88851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6F422-CD86-418E-B28C-90DBB907DB9D}" type="doc">
      <dgm:prSet loTypeId="urn:microsoft.com/office/officeart/2005/8/layout/process1" loCatId="process" qsTypeId="urn:microsoft.com/office/officeart/2005/8/quickstyle/simple5" qsCatId="simple" csTypeId="urn:microsoft.com/office/officeart/2005/8/colors/accent1_2" csCatId="accent1" phldr="1"/>
      <dgm:spPr/>
    </dgm:pt>
    <dgm:pt modelId="{34442892-D9FF-4A18-875A-39B407304536}">
      <dgm:prSet phldrT="[Tex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Shipper </a:t>
          </a:r>
        </a:p>
      </dgm:t>
    </dgm:pt>
    <dgm:pt modelId="{B4FF347B-C2B3-4442-8A21-F4841B2DF504}" type="parTrans" cxnId="{4FB315FE-E62B-495B-8C9E-7CCA2E6EF7B6}">
      <dgm:prSet/>
      <dgm:spPr/>
      <dgm:t>
        <a:bodyPr/>
        <a:lstStyle/>
        <a:p>
          <a:pPr algn="ctr"/>
          <a:endParaRPr lang="en-US" sz="1600">
            <a:latin typeface="Arial" panose="020B0604020202020204" pitchFamily="34" charset="0"/>
            <a:cs typeface="Arial" panose="020B0604020202020204" pitchFamily="34" charset="0"/>
          </a:endParaRPr>
        </a:p>
      </dgm:t>
    </dgm:pt>
    <dgm:pt modelId="{F8297337-7349-44C1-9C30-2764DCCB7240}" type="sibTrans" cxnId="{4FB315FE-E62B-495B-8C9E-7CCA2E6EF7B6}">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A52655B0-7CE1-433A-BC69-4BC6374E7052}">
      <dgm:prSet phldrT="[Tex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Freight Forwarder</a:t>
          </a:r>
        </a:p>
      </dgm:t>
    </dgm:pt>
    <dgm:pt modelId="{EA643314-9EEE-4424-9DC2-F36A23A0A63E}" type="parTrans" cxnId="{56CAD328-102D-40F2-BE5C-026104716287}">
      <dgm:prSet/>
      <dgm:spPr/>
      <dgm:t>
        <a:bodyPr/>
        <a:lstStyle/>
        <a:p>
          <a:pPr algn="ctr"/>
          <a:endParaRPr lang="en-US" sz="1600">
            <a:latin typeface="Arial" panose="020B0604020202020204" pitchFamily="34" charset="0"/>
            <a:cs typeface="Arial" panose="020B0604020202020204" pitchFamily="34" charset="0"/>
          </a:endParaRPr>
        </a:p>
      </dgm:t>
    </dgm:pt>
    <dgm:pt modelId="{A13DA4A2-FAD8-41C5-9446-C4009D8DD22B}" type="sibTrans" cxnId="{56CAD328-102D-40F2-BE5C-026104716287}">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1BCB37C7-5BD1-4952-BA1F-D3149D7C0046}">
      <dgm:prSe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Ground Handling Agent </a:t>
          </a:r>
        </a:p>
      </dgm:t>
    </dgm:pt>
    <dgm:pt modelId="{1824A3FD-BBE6-417C-B34C-9A64E61887E3}" type="parTrans" cxnId="{440A2D9F-5E31-4B87-BE43-F206432F9A02}">
      <dgm:prSet/>
      <dgm:spPr/>
      <dgm:t>
        <a:bodyPr/>
        <a:lstStyle/>
        <a:p>
          <a:pPr algn="ctr"/>
          <a:endParaRPr lang="en-US" sz="1600">
            <a:latin typeface="Arial" panose="020B0604020202020204" pitchFamily="34" charset="0"/>
            <a:cs typeface="Arial" panose="020B0604020202020204" pitchFamily="34" charset="0"/>
          </a:endParaRPr>
        </a:p>
      </dgm:t>
    </dgm:pt>
    <dgm:pt modelId="{447C08AF-321C-42F0-8355-8F95C6D6EAB1}" type="sibTrans" cxnId="{440A2D9F-5E31-4B87-BE43-F206432F9A02}">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5C6135C9-D853-479D-A76A-6047C3FF0084}">
      <dgm:prSe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Ground Handling Agent </a:t>
          </a:r>
        </a:p>
      </dgm:t>
    </dgm:pt>
    <dgm:pt modelId="{7EF09DD8-9D02-4FCA-9B16-9C5A1A174413}" type="parTrans" cxnId="{62E7F75D-76B6-4BD0-90BB-38180437027E}">
      <dgm:prSet/>
      <dgm:spPr/>
      <dgm:t>
        <a:bodyPr/>
        <a:lstStyle/>
        <a:p>
          <a:pPr algn="ctr"/>
          <a:endParaRPr lang="en-US" sz="1600">
            <a:latin typeface="Arial" panose="020B0604020202020204" pitchFamily="34" charset="0"/>
            <a:cs typeface="Arial" panose="020B0604020202020204" pitchFamily="34" charset="0"/>
          </a:endParaRPr>
        </a:p>
      </dgm:t>
    </dgm:pt>
    <dgm:pt modelId="{15CEAC0B-DD7A-4937-819A-C095C2E7EEAE}" type="sibTrans" cxnId="{62E7F75D-76B6-4BD0-90BB-38180437027E}">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76A929C3-0400-4D22-9B48-48F76C2482D0}">
      <dgm:prSe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Freight Forwarders </a:t>
          </a:r>
        </a:p>
      </dgm:t>
    </dgm:pt>
    <dgm:pt modelId="{04833BF6-5640-42CB-BB40-9086B45D4576}" type="parTrans" cxnId="{0548994B-3C6B-4D29-9FD1-A2EDC023DA1D}">
      <dgm:prSet/>
      <dgm:spPr/>
      <dgm:t>
        <a:bodyPr/>
        <a:lstStyle/>
        <a:p>
          <a:pPr algn="ctr"/>
          <a:endParaRPr lang="en-US" sz="1600">
            <a:latin typeface="Arial" panose="020B0604020202020204" pitchFamily="34" charset="0"/>
            <a:cs typeface="Arial" panose="020B0604020202020204" pitchFamily="34" charset="0"/>
          </a:endParaRPr>
        </a:p>
      </dgm:t>
    </dgm:pt>
    <dgm:pt modelId="{89C38740-0E1B-4B18-A3B2-8D1D72FC47AE}" type="sibTrans" cxnId="{0548994B-3C6B-4D29-9FD1-A2EDC023DA1D}">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1BADE35D-483D-4971-8AF4-64442F70D381}">
      <dgm:prSe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Consignee </a:t>
          </a:r>
        </a:p>
      </dgm:t>
    </dgm:pt>
    <dgm:pt modelId="{258C1A8C-6DC0-482D-B7B2-3337370191E3}" type="parTrans" cxnId="{6A306793-7979-4A57-9217-0A4ACBED48E9}">
      <dgm:prSet/>
      <dgm:spPr/>
      <dgm:t>
        <a:bodyPr/>
        <a:lstStyle/>
        <a:p>
          <a:pPr algn="ctr"/>
          <a:endParaRPr lang="en-US" sz="1600">
            <a:latin typeface="Arial" panose="020B0604020202020204" pitchFamily="34" charset="0"/>
            <a:cs typeface="Arial" panose="020B0604020202020204" pitchFamily="34" charset="0"/>
          </a:endParaRPr>
        </a:p>
      </dgm:t>
    </dgm:pt>
    <dgm:pt modelId="{36B5B560-18EA-4310-A8FF-DE62C48701DF}" type="sibTrans" cxnId="{6A306793-7979-4A57-9217-0A4ACBED48E9}">
      <dgm:prSet/>
      <dgm:spPr/>
      <dgm:t>
        <a:bodyPr/>
        <a:lstStyle/>
        <a:p>
          <a:pPr algn="ctr"/>
          <a:endParaRPr lang="en-US" sz="1600">
            <a:latin typeface="Arial" panose="020B0604020202020204" pitchFamily="34" charset="0"/>
            <a:cs typeface="Arial" panose="020B0604020202020204" pitchFamily="34" charset="0"/>
          </a:endParaRPr>
        </a:p>
      </dgm:t>
    </dgm:pt>
    <dgm:pt modelId="{92F15BD3-AA5F-446C-B215-15F96DD0E278}">
      <dgm:prSet phldrT="[Text]" custT="1"/>
      <dgm:spPr>
        <a:gradFill rotWithShape="0">
          <a:gsLst>
            <a:gs pos="0">
              <a:schemeClr val="bg1"/>
            </a:gs>
            <a:gs pos="50000">
              <a:schemeClr val="bg1"/>
            </a:gs>
            <a:gs pos="100000">
              <a:schemeClr val="bg1">
                <a:lumMod val="95000"/>
              </a:schemeClr>
            </a:gs>
          </a:gsLst>
        </a:gradFill>
        <a:ln>
          <a:solidFill>
            <a:schemeClr val="tx1"/>
          </a:solidFill>
        </a:ln>
        <a:effectLst/>
      </dgm:spPr>
      <dgm:t>
        <a:bodyPr/>
        <a:lstStyle/>
        <a:p>
          <a:pPr algn="ctr"/>
          <a:r>
            <a:rPr lang="en-US" sz="850">
              <a:solidFill>
                <a:sysClr val="windowText" lastClr="000000"/>
              </a:solidFill>
              <a:latin typeface="Arial" panose="020B0604020202020204" pitchFamily="34" charset="0"/>
              <a:cs typeface="Arial" panose="020B0604020202020204" pitchFamily="34" charset="0"/>
            </a:rPr>
            <a:t>Airline</a:t>
          </a:r>
        </a:p>
      </dgm:t>
    </dgm:pt>
    <dgm:pt modelId="{AD969266-F3E6-4277-92C1-CCDAADF4AEFA}" type="sibTrans" cxnId="{0A60F24C-A3C2-4A35-B88C-792496BC8878}">
      <dgm:prSet custT="1"/>
      <dgm:spPr>
        <a:solidFill>
          <a:schemeClr val="tx1"/>
        </a:solidFill>
        <a:effectLst/>
      </dgm:spPr>
      <dgm:t>
        <a:bodyPr/>
        <a:lstStyle/>
        <a:p>
          <a:pPr algn="ctr"/>
          <a:endParaRPr lang="en-US" sz="500">
            <a:latin typeface="Arial" panose="020B0604020202020204" pitchFamily="34" charset="0"/>
            <a:cs typeface="Arial" panose="020B0604020202020204" pitchFamily="34" charset="0"/>
          </a:endParaRPr>
        </a:p>
      </dgm:t>
    </dgm:pt>
    <dgm:pt modelId="{051C07C8-1B61-4994-A848-3621D94C6A28}" type="parTrans" cxnId="{0A60F24C-A3C2-4A35-B88C-792496BC8878}">
      <dgm:prSet/>
      <dgm:spPr/>
      <dgm:t>
        <a:bodyPr/>
        <a:lstStyle/>
        <a:p>
          <a:pPr algn="ctr"/>
          <a:endParaRPr lang="en-US" sz="1600">
            <a:latin typeface="Arial" panose="020B0604020202020204" pitchFamily="34" charset="0"/>
            <a:cs typeface="Arial" panose="020B0604020202020204" pitchFamily="34" charset="0"/>
          </a:endParaRPr>
        </a:p>
      </dgm:t>
    </dgm:pt>
    <dgm:pt modelId="{037D9C38-4677-4EA7-8AFE-D5928775F227}" type="pres">
      <dgm:prSet presAssocID="{5E16F422-CD86-418E-B28C-90DBB907DB9D}" presName="Name0" presStyleCnt="0">
        <dgm:presLayoutVars>
          <dgm:dir/>
          <dgm:resizeHandles val="exact"/>
        </dgm:presLayoutVars>
      </dgm:prSet>
      <dgm:spPr/>
    </dgm:pt>
    <dgm:pt modelId="{73A72AA1-EDF1-40F9-8E48-8C189D8CC123}" type="pres">
      <dgm:prSet presAssocID="{34442892-D9FF-4A18-875A-39B407304536}" presName="node" presStyleLbl="node1" presStyleIdx="0" presStyleCnt="7" custLinFactNeighborX="9798">
        <dgm:presLayoutVars>
          <dgm:bulletEnabled val="1"/>
        </dgm:presLayoutVars>
      </dgm:prSet>
      <dgm:spPr/>
    </dgm:pt>
    <dgm:pt modelId="{CB101B72-028B-47AC-A266-4CDF1B03E9A6}" type="pres">
      <dgm:prSet presAssocID="{F8297337-7349-44C1-9C30-2764DCCB7240}" presName="sibTrans" presStyleLbl="sibTrans2D1" presStyleIdx="0" presStyleCnt="6"/>
      <dgm:spPr/>
    </dgm:pt>
    <dgm:pt modelId="{67BE2391-8FB2-4110-AC0F-688335533F05}" type="pres">
      <dgm:prSet presAssocID="{F8297337-7349-44C1-9C30-2764DCCB7240}" presName="connectorText" presStyleLbl="sibTrans2D1" presStyleIdx="0" presStyleCnt="6"/>
      <dgm:spPr/>
    </dgm:pt>
    <dgm:pt modelId="{57BF6199-A9D1-4AD3-900F-73752FEF2465}" type="pres">
      <dgm:prSet presAssocID="{A52655B0-7CE1-433A-BC69-4BC6374E7052}" presName="node" presStyleLbl="node1" presStyleIdx="1" presStyleCnt="7">
        <dgm:presLayoutVars>
          <dgm:bulletEnabled val="1"/>
        </dgm:presLayoutVars>
      </dgm:prSet>
      <dgm:spPr/>
    </dgm:pt>
    <dgm:pt modelId="{477C6BCF-F9D1-4F19-A98C-3ADBCEC89BE5}" type="pres">
      <dgm:prSet presAssocID="{A13DA4A2-FAD8-41C5-9446-C4009D8DD22B}" presName="sibTrans" presStyleLbl="sibTrans2D1" presStyleIdx="1" presStyleCnt="6"/>
      <dgm:spPr/>
    </dgm:pt>
    <dgm:pt modelId="{1D5D04F3-683B-4BBD-9CBE-B1B721A6FB6C}" type="pres">
      <dgm:prSet presAssocID="{A13DA4A2-FAD8-41C5-9446-C4009D8DD22B}" presName="connectorText" presStyleLbl="sibTrans2D1" presStyleIdx="1" presStyleCnt="6"/>
      <dgm:spPr/>
    </dgm:pt>
    <dgm:pt modelId="{C9CCA0AD-5CE3-4B5A-A6E4-CB8907469EA4}" type="pres">
      <dgm:prSet presAssocID="{5C6135C9-D853-479D-A76A-6047C3FF0084}" presName="node" presStyleLbl="node1" presStyleIdx="2" presStyleCnt="7">
        <dgm:presLayoutVars>
          <dgm:bulletEnabled val="1"/>
        </dgm:presLayoutVars>
      </dgm:prSet>
      <dgm:spPr/>
    </dgm:pt>
    <dgm:pt modelId="{F9D5997B-31AA-4CFD-9C28-69062130F424}" type="pres">
      <dgm:prSet presAssocID="{15CEAC0B-DD7A-4937-819A-C095C2E7EEAE}" presName="sibTrans" presStyleLbl="sibTrans2D1" presStyleIdx="2" presStyleCnt="6"/>
      <dgm:spPr/>
    </dgm:pt>
    <dgm:pt modelId="{5615CD13-3C55-49D3-A4BA-A5FA8504D88E}" type="pres">
      <dgm:prSet presAssocID="{15CEAC0B-DD7A-4937-819A-C095C2E7EEAE}" presName="connectorText" presStyleLbl="sibTrans2D1" presStyleIdx="2" presStyleCnt="6"/>
      <dgm:spPr/>
    </dgm:pt>
    <dgm:pt modelId="{D83D9690-4DD0-48CB-B8AE-971385CB37A7}" type="pres">
      <dgm:prSet presAssocID="{92F15BD3-AA5F-446C-B215-15F96DD0E278}" presName="node" presStyleLbl="node1" presStyleIdx="3" presStyleCnt="7">
        <dgm:presLayoutVars>
          <dgm:bulletEnabled val="1"/>
        </dgm:presLayoutVars>
      </dgm:prSet>
      <dgm:spPr/>
    </dgm:pt>
    <dgm:pt modelId="{29F9F3D0-F612-4998-B2FD-35AA4EB025BE}" type="pres">
      <dgm:prSet presAssocID="{AD969266-F3E6-4277-92C1-CCDAADF4AEFA}" presName="sibTrans" presStyleLbl="sibTrans2D1" presStyleIdx="3" presStyleCnt="6"/>
      <dgm:spPr/>
    </dgm:pt>
    <dgm:pt modelId="{80AEAAF0-59BE-48B8-BC8C-3457C4EB1689}" type="pres">
      <dgm:prSet presAssocID="{AD969266-F3E6-4277-92C1-CCDAADF4AEFA}" presName="connectorText" presStyleLbl="sibTrans2D1" presStyleIdx="3" presStyleCnt="6"/>
      <dgm:spPr/>
    </dgm:pt>
    <dgm:pt modelId="{CC517ED3-20AB-47EA-BF1D-1CE5B269583E}" type="pres">
      <dgm:prSet presAssocID="{1BCB37C7-5BD1-4952-BA1F-D3149D7C0046}" presName="node" presStyleLbl="node1" presStyleIdx="4" presStyleCnt="7">
        <dgm:presLayoutVars>
          <dgm:bulletEnabled val="1"/>
        </dgm:presLayoutVars>
      </dgm:prSet>
      <dgm:spPr/>
    </dgm:pt>
    <dgm:pt modelId="{48836EB9-59A7-4AC2-8A19-27383A093014}" type="pres">
      <dgm:prSet presAssocID="{447C08AF-321C-42F0-8355-8F95C6D6EAB1}" presName="sibTrans" presStyleLbl="sibTrans2D1" presStyleIdx="4" presStyleCnt="6"/>
      <dgm:spPr/>
    </dgm:pt>
    <dgm:pt modelId="{409D3A27-ACF8-4632-90B8-8ACA02C6F34C}" type="pres">
      <dgm:prSet presAssocID="{447C08AF-321C-42F0-8355-8F95C6D6EAB1}" presName="connectorText" presStyleLbl="sibTrans2D1" presStyleIdx="4" presStyleCnt="6"/>
      <dgm:spPr/>
    </dgm:pt>
    <dgm:pt modelId="{0A8CB9B1-1904-4A45-B4F1-E88B9D524ECA}" type="pres">
      <dgm:prSet presAssocID="{76A929C3-0400-4D22-9B48-48F76C2482D0}" presName="node" presStyleLbl="node1" presStyleIdx="5" presStyleCnt="7">
        <dgm:presLayoutVars>
          <dgm:bulletEnabled val="1"/>
        </dgm:presLayoutVars>
      </dgm:prSet>
      <dgm:spPr/>
    </dgm:pt>
    <dgm:pt modelId="{9D766B17-29B9-4904-9153-93C599A6BAA6}" type="pres">
      <dgm:prSet presAssocID="{89C38740-0E1B-4B18-A3B2-8D1D72FC47AE}" presName="sibTrans" presStyleLbl="sibTrans2D1" presStyleIdx="5" presStyleCnt="6"/>
      <dgm:spPr/>
    </dgm:pt>
    <dgm:pt modelId="{07086FD2-5EAF-4288-874E-55CAE0C18F44}" type="pres">
      <dgm:prSet presAssocID="{89C38740-0E1B-4B18-A3B2-8D1D72FC47AE}" presName="connectorText" presStyleLbl="sibTrans2D1" presStyleIdx="5" presStyleCnt="6"/>
      <dgm:spPr/>
    </dgm:pt>
    <dgm:pt modelId="{9D716B64-7A24-4DD7-983F-47A008D8B7A1}" type="pres">
      <dgm:prSet presAssocID="{1BADE35D-483D-4971-8AF4-64442F70D381}" presName="node" presStyleLbl="node1" presStyleIdx="6" presStyleCnt="7" custLinFactNeighborX="-13064">
        <dgm:presLayoutVars>
          <dgm:bulletEnabled val="1"/>
        </dgm:presLayoutVars>
      </dgm:prSet>
      <dgm:spPr/>
    </dgm:pt>
  </dgm:ptLst>
  <dgm:cxnLst>
    <dgm:cxn modelId="{44657D01-D3B0-4CB1-B304-B181FBD13D6C}" type="presOf" srcId="{92F15BD3-AA5F-446C-B215-15F96DD0E278}" destId="{D83D9690-4DD0-48CB-B8AE-971385CB37A7}" srcOrd="0" destOrd="0" presId="urn:microsoft.com/office/officeart/2005/8/layout/process1"/>
    <dgm:cxn modelId="{C3F28013-E442-41FF-A981-76AD91FD9C69}" type="presOf" srcId="{5E16F422-CD86-418E-B28C-90DBB907DB9D}" destId="{037D9C38-4677-4EA7-8AFE-D5928775F227}" srcOrd="0" destOrd="0" presId="urn:microsoft.com/office/officeart/2005/8/layout/process1"/>
    <dgm:cxn modelId="{4E248E1F-F127-407E-B700-262924AAD3A1}" type="presOf" srcId="{15CEAC0B-DD7A-4937-819A-C095C2E7EEAE}" destId="{F9D5997B-31AA-4CFD-9C28-69062130F424}" srcOrd="0" destOrd="0" presId="urn:microsoft.com/office/officeart/2005/8/layout/process1"/>
    <dgm:cxn modelId="{56CAD328-102D-40F2-BE5C-026104716287}" srcId="{5E16F422-CD86-418E-B28C-90DBB907DB9D}" destId="{A52655B0-7CE1-433A-BC69-4BC6374E7052}" srcOrd="1" destOrd="0" parTransId="{EA643314-9EEE-4424-9DC2-F36A23A0A63E}" sibTransId="{A13DA4A2-FAD8-41C5-9446-C4009D8DD22B}"/>
    <dgm:cxn modelId="{2B8B333E-C1C7-43F4-82B9-5383AE890A95}" type="presOf" srcId="{89C38740-0E1B-4B18-A3B2-8D1D72FC47AE}" destId="{07086FD2-5EAF-4288-874E-55CAE0C18F44}" srcOrd="1" destOrd="0" presId="urn:microsoft.com/office/officeart/2005/8/layout/process1"/>
    <dgm:cxn modelId="{62E7F75D-76B6-4BD0-90BB-38180437027E}" srcId="{5E16F422-CD86-418E-B28C-90DBB907DB9D}" destId="{5C6135C9-D853-479D-A76A-6047C3FF0084}" srcOrd="2" destOrd="0" parTransId="{7EF09DD8-9D02-4FCA-9B16-9C5A1A174413}" sibTransId="{15CEAC0B-DD7A-4937-819A-C095C2E7EEAE}"/>
    <dgm:cxn modelId="{30AED560-0EEB-4B49-83E1-9CEEEB6526A1}" type="presOf" srcId="{5C6135C9-D853-479D-A76A-6047C3FF0084}" destId="{C9CCA0AD-5CE3-4B5A-A6E4-CB8907469EA4}" srcOrd="0" destOrd="0" presId="urn:microsoft.com/office/officeart/2005/8/layout/process1"/>
    <dgm:cxn modelId="{0548994B-3C6B-4D29-9FD1-A2EDC023DA1D}" srcId="{5E16F422-CD86-418E-B28C-90DBB907DB9D}" destId="{76A929C3-0400-4D22-9B48-48F76C2482D0}" srcOrd="5" destOrd="0" parTransId="{04833BF6-5640-42CB-BB40-9086B45D4576}" sibTransId="{89C38740-0E1B-4B18-A3B2-8D1D72FC47AE}"/>
    <dgm:cxn modelId="{1C98684C-B943-4781-8826-4C61F7A230EE}" type="presOf" srcId="{AD969266-F3E6-4277-92C1-CCDAADF4AEFA}" destId="{80AEAAF0-59BE-48B8-BC8C-3457C4EB1689}" srcOrd="1" destOrd="0" presId="urn:microsoft.com/office/officeart/2005/8/layout/process1"/>
    <dgm:cxn modelId="{0A60F24C-A3C2-4A35-B88C-792496BC8878}" srcId="{5E16F422-CD86-418E-B28C-90DBB907DB9D}" destId="{92F15BD3-AA5F-446C-B215-15F96DD0E278}" srcOrd="3" destOrd="0" parTransId="{051C07C8-1B61-4994-A848-3621D94C6A28}" sibTransId="{AD969266-F3E6-4277-92C1-CCDAADF4AEFA}"/>
    <dgm:cxn modelId="{39421F52-D44D-4CE2-B1FE-70B4CD875F30}" type="presOf" srcId="{AD969266-F3E6-4277-92C1-CCDAADF4AEFA}" destId="{29F9F3D0-F612-4998-B2FD-35AA4EB025BE}" srcOrd="0" destOrd="0" presId="urn:microsoft.com/office/officeart/2005/8/layout/process1"/>
    <dgm:cxn modelId="{452EEB72-3124-4322-93E8-508B779C26E0}" type="presOf" srcId="{1BADE35D-483D-4971-8AF4-64442F70D381}" destId="{9D716B64-7A24-4DD7-983F-47A008D8B7A1}" srcOrd="0" destOrd="0" presId="urn:microsoft.com/office/officeart/2005/8/layout/process1"/>
    <dgm:cxn modelId="{2DA4C77C-0C77-4C16-AA45-47B929F4E736}" type="presOf" srcId="{A13DA4A2-FAD8-41C5-9446-C4009D8DD22B}" destId="{477C6BCF-F9D1-4F19-A98C-3ADBCEC89BE5}" srcOrd="0" destOrd="0" presId="urn:microsoft.com/office/officeart/2005/8/layout/process1"/>
    <dgm:cxn modelId="{6A306793-7979-4A57-9217-0A4ACBED48E9}" srcId="{5E16F422-CD86-418E-B28C-90DBB907DB9D}" destId="{1BADE35D-483D-4971-8AF4-64442F70D381}" srcOrd="6" destOrd="0" parTransId="{258C1A8C-6DC0-482D-B7B2-3337370191E3}" sibTransId="{36B5B560-18EA-4310-A8FF-DE62C48701DF}"/>
    <dgm:cxn modelId="{440A2D9F-5E31-4B87-BE43-F206432F9A02}" srcId="{5E16F422-CD86-418E-B28C-90DBB907DB9D}" destId="{1BCB37C7-5BD1-4952-BA1F-D3149D7C0046}" srcOrd="4" destOrd="0" parTransId="{1824A3FD-BBE6-417C-B34C-9A64E61887E3}" sibTransId="{447C08AF-321C-42F0-8355-8F95C6D6EAB1}"/>
    <dgm:cxn modelId="{CEA51AA0-F67E-45BD-9230-25EC4B99C930}" type="presOf" srcId="{A52655B0-7CE1-433A-BC69-4BC6374E7052}" destId="{57BF6199-A9D1-4AD3-900F-73752FEF2465}" srcOrd="0" destOrd="0" presId="urn:microsoft.com/office/officeart/2005/8/layout/process1"/>
    <dgm:cxn modelId="{8F5D88B7-AD0D-499F-B37C-9C3B95810D5E}" type="presOf" srcId="{F8297337-7349-44C1-9C30-2764DCCB7240}" destId="{CB101B72-028B-47AC-A266-4CDF1B03E9A6}" srcOrd="0" destOrd="0" presId="urn:microsoft.com/office/officeart/2005/8/layout/process1"/>
    <dgm:cxn modelId="{A537D2B9-6419-4EDE-A253-F9F7C68A9E81}" type="presOf" srcId="{34442892-D9FF-4A18-875A-39B407304536}" destId="{73A72AA1-EDF1-40F9-8E48-8C189D8CC123}" srcOrd="0" destOrd="0" presId="urn:microsoft.com/office/officeart/2005/8/layout/process1"/>
    <dgm:cxn modelId="{6E57ACBA-1D61-4A66-ABBB-686FB407B3C7}" type="presOf" srcId="{F8297337-7349-44C1-9C30-2764DCCB7240}" destId="{67BE2391-8FB2-4110-AC0F-688335533F05}" srcOrd="1" destOrd="0" presId="urn:microsoft.com/office/officeart/2005/8/layout/process1"/>
    <dgm:cxn modelId="{6B4B4DBC-1ACC-4148-BE28-D67BD24437B6}" type="presOf" srcId="{447C08AF-321C-42F0-8355-8F95C6D6EAB1}" destId="{48836EB9-59A7-4AC2-8A19-27383A093014}" srcOrd="0" destOrd="0" presId="urn:microsoft.com/office/officeart/2005/8/layout/process1"/>
    <dgm:cxn modelId="{DBAB8EDC-C09C-4B3C-8093-CFF441B254EE}" type="presOf" srcId="{15CEAC0B-DD7A-4937-819A-C095C2E7EEAE}" destId="{5615CD13-3C55-49D3-A4BA-A5FA8504D88E}" srcOrd="1" destOrd="0" presId="urn:microsoft.com/office/officeart/2005/8/layout/process1"/>
    <dgm:cxn modelId="{EE9082DD-F356-4EEF-AFDA-B1AC17BDDEF4}" type="presOf" srcId="{89C38740-0E1B-4B18-A3B2-8D1D72FC47AE}" destId="{9D766B17-29B9-4904-9153-93C599A6BAA6}" srcOrd="0" destOrd="0" presId="urn:microsoft.com/office/officeart/2005/8/layout/process1"/>
    <dgm:cxn modelId="{76DF6CEB-2286-4280-9264-70EB3946EF51}" type="presOf" srcId="{76A929C3-0400-4D22-9B48-48F76C2482D0}" destId="{0A8CB9B1-1904-4A45-B4F1-E88B9D524ECA}" srcOrd="0" destOrd="0" presId="urn:microsoft.com/office/officeart/2005/8/layout/process1"/>
    <dgm:cxn modelId="{F7B4B6EE-2AAA-4DEE-B943-EDB41748278E}" type="presOf" srcId="{1BCB37C7-5BD1-4952-BA1F-D3149D7C0046}" destId="{CC517ED3-20AB-47EA-BF1D-1CE5B269583E}" srcOrd="0" destOrd="0" presId="urn:microsoft.com/office/officeart/2005/8/layout/process1"/>
    <dgm:cxn modelId="{26B403F7-487B-46E4-B677-C1BFD091A664}" type="presOf" srcId="{A13DA4A2-FAD8-41C5-9446-C4009D8DD22B}" destId="{1D5D04F3-683B-4BBD-9CBE-B1B721A6FB6C}" srcOrd="1" destOrd="0" presId="urn:microsoft.com/office/officeart/2005/8/layout/process1"/>
    <dgm:cxn modelId="{4FB315FE-E62B-495B-8C9E-7CCA2E6EF7B6}" srcId="{5E16F422-CD86-418E-B28C-90DBB907DB9D}" destId="{34442892-D9FF-4A18-875A-39B407304536}" srcOrd="0" destOrd="0" parTransId="{B4FF347B-C2B3-4442-8A21-F4841B2DF504}" sibTransId="{F8297337-7349-44C1-9C30-2764DCCB7240}"/>
    <dgm:cxn modelId="{69A41CFE-59E4-4532-BFDE-D0F435E8A891}" type="presOf" srcId="{447C08AF-321C-42F0-8355-8F95C6D6EAB1}" destId="{409D3A27-ACF8-4632-90B8-8ACA02C6F34C}" srcOrd="1" destOrd="0" presId="urn:microsoft.com/office/officeart/2005/8/layout/process1"/>
    <dgm:cxn modelId="{73FED3C7-305F-4DBD-897C-6BA9AE0F8CB5}" type="presParOf" srcId="{037D9C38-4677-4EA7-8AFE-D5928775F227}" destId="{73A72AA1-EDF1-40F9-8E48-8C189D8CC123}" srcOrd="0" destOrd="0" presId="urn:microsoft.com/office/officeart/2005/8/layout/process1"/>
    <dgm:cxn modelId="{E1BE844D-6C4A-42E8-9FE3-4C3802ABA43E}" type="presParOf" srcId="{037D9C38-4677-4EA7-8AFE-D5928775F227}" destId="{CB101B72-028B-47AC-A266-4CDF1B03E9A6}" srcOrd="1" destOrd="0" presId="urn:microsoft.com/office/officeart/2005/8/layout/process1"/>
    <dgm:cxn modelId="{C9304A84-F9D5-405D-8C99-0EB10F520BD8}" type="presParOf" srcId="{CB101B72-028B-47AC-A266-4CDF1B03E9A6}" destId="{67BE2391-8FB2-4110-AC0F-688335533F05}" srcOrd="0" destOrd="0" presId="urn:microsoft.com/office/officeart/2005/8/layout/process1"/>
    <dgm:cxn modelId="{F17B840B-4BE8-49E8-B1AE-C75EB519F9D6}" type="presParOf" srcId="{037D9C38-4677-4EA7-8AFE-D5928775F227}" destId="{57BF6199-A9D1-4AD3-900F-73752FEF2465}" srcOrd="2" destOrd="0" presId="urn:microsoft.com/office/officeart/2005/8/layout/process1"/>
    <dgm:cxn modelId="{945A83AF-EEA5-4CFF-8996-7438D3BFB07F}" type="presParOf" srcId="{037D9C38-4677-4EA7-8AFE-D5928775F227}" destId="{477C6BCF-F9D1-4F19-A98C-3ADBCEC89BE5}" srcOrd="3" destOrd="0" presId="urn:microsoft.com/office/officeart/2005/8/layout/process1"/>
    <dgm:cxn modelId="{3C924E44-8047-4F92-802C-E76355F0D311}" type="presParOf" srcId="{477C6BCF-F9D1-4F19-A98C-3ADBCEC89BE5}" destId="{1D5D04F3-683B-4BBD-9CBE-B1B721A6FB6C}" srcOrd="0" destOrd="0" presId="urn:microsoft.com/office/officeart/2005/8/layout/process1"/>
    <dgm:cxn modelId="{53D64EB4-E577-41D9-BB69-F81AA5B38BAE}" type="presParOf" srcId="{037D9C38-4677-4EA7-8AFE-D5928775F227}" destId="{C9CCA0AD-5CE3-4B5A-A6E4-CB8907469EA4}" srcOrd="4" destOrd="0" presId="urn:microsoft.com/office/officeart/2005/8/layout/process1"/>
    <dgm:cxn modelId="{1A2436FA-9C9E-4CEF-A5C8-559EC7FED310}" type="presParOf" srcId="{037D9C38-4677-4EA7-8AFE-D5928775F227}" destId="{F9D5997B-31AA-4CFD-9C28-69062130F424}" srcOrd="5" destOrd="0" presId="urn:microsoft.com/office/officeart/2005/8/layout/process1"/>
    <dgm:cxn modelId="{EC3CAB97-E0CA-447A-9307-37E580743E55}" type="presParOf" srcId="{F9D5997B-31AA-4CFD-9C28-69062130F424}" destId="{5615CD13-3C55-49D3-A4BA-A5FA8504D88E}" srcOrd="0" destOrd="0" presId="urn:microsoft.com/office/officeart/2005/8/layout/process1"/>
    <dgm:cxn modelId="{796C1DDC-6B69-47E9-B4AB-22A44694571A}" type="presParOf" srcId="{037D9C38-4677-4EA7-8AFE-D5928775F227}" destId="{D83D9690-4DD0-48CB-B8AE-971385CB37A7}" srcOrd="6" destOrd="0" presId="urn:microsoft.com/office/officeart/2005/8/layout/process1"/>
    <dgm:cxn modelId="{C8B4E27B-5CF0-4108-B518-F15283BCE43E}" type="presParOf" srcId="{037D9C38-4677-4EA7-8AFE-D5928775F227}" destId="{29F9F3D0-F612-4998-B2FD-35AA4EB025BE}" srcOrd="7" destOrd="0" presId="urn:microsoft.com/office/officeart/2005/8/layout/process1"/>
    <dgm:cxn modelId="{773C88B9-740D-4F83-A1D4-D4A6F0BE62C4}" type="presParOf" srcId="{29F9F3D0-F612-4998-B2FD-35AA4EB025BE}" destId="{80AEAAF0-59BE-48B8-BC8C-3457C4EB1689}" srcOrd="0" destOrd="0" presId="urn:microsoft.com/office/officeart/2005/8/layout/process1"/>
    <dgm:cxn modelId="{3916AE8A-3C9D-48DA-AE4E-C71C67F81F98}" type="presParOf" srcId="{037D9C38-4677-4EA7-8AFE-D5928775F227}" destId="{CC517ED3-20AB-47EA-BF1D-1CE5B269583E}" srcOrd="8" destOrd="0" presId="urn:microsoft.com/office/officeart/2005/8/layout/process1"/>
    <dgm:cxn modelId="{1143DEBA-B4CB-46F6-87F7-7473969F2073}" type="presParOf" srcId="{037D9C38-4677-4EA7-8AFE-D5928775F227}" destId="{48836EB9-59A7-4AC2-8A19-27383A093014}" srcOrd="9" destOrd="0" presId="urn:microsoft.com/office/officeart/2005/8/layout/process1"/>
    <dgm:cxn modelId="{34429E2B-AB14-4CE9-94B0-37F71936BE7D}" type="presParOf" srcId="{48836EB9-59A7-4AC2-8A19-27383A093014}" destId="{409D3A27-ACF8-4632-90B8-8ACA02C6F34C}" srcOrd="0" destOrd="0" presId="urn:microsoft.com/office/officeart/2005/8/layout/process1"/>
    <dgm:cxn modelId="{FB577F36-2BBD-4074-B985-EA033BA4F95E}" type="presParOf" srcId="{037D9C38-4677-4EA7-8AFE-D5928775F227}" destId="{0A8CB9B1-1904-4A45-B4F1-E88B9D524ECA}" srcOrd="10" destOrd="0" presId="urn:microsoft.com/office/officeart/2005/8/layout/process1"/>
    <dgm:cxn modelId="{03A8E161-2972-44BE-8DA9-876F661490F8}" type="presParOf" srcId="{037D9C38-4677-4EA7-8AFE-D5928775F227}" destId="{9D766B17-29B9-4904-9153-93C599A6BAA6}" srcOrd="11" destOrd="0" presId="urn:microsoft.com/office/officeart/2005/8/layout/process1"/>
    <dgm:cxn modelId="{5257D1F6-EB3F-460C-A900-A2195A1F9B79}" type="presParOf" srcId="{9D766B17-29B9-4904-9153-93C599A6BAA6}" destId="{07086FD2-5EAF-4288-874E-55CAE0C18F44}" srcOrd="0" destOrd="0" presId="urn:microsoft.com/office/officeart/2005/8/layout/process1"/>
    <dgm:cxn modelId="{D06A0AE3-2B97-4C34-847E-1D0AA25865E5}" type="presParOf" srcId="{037D9C38-4677-4EA7-8AFE-D5928775F227}" destId="{9D716B64-7A24-4DD7-983F-47A008D8B7A1}" srcOrd="12"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72AA1-EDF1-40F9-8E48-8C189D8CC123}">
      <dsp:nvSpPr>
        <dsp:cNvPr id="0" name=""/>
        <dsp:cNvSpPr/>
      </dsp:nvSpPr>
      <dsp:spPr>
        <a:xfrm>
          <a:off x="26896"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Shipper </a:t>
          </a:r>
        </a:p>
      </dsp:txBody>
      <dsp:txXfrm>
        <a:off x="39784" y="745379"/>
        <a:ext cx="617171" cy="414241"/>
      </dsp:txXfrm>
    </dsp:sp>
    <dsp:sp modelId="{CB101B72-028B-47AC-A266-4CDF1B03E9A6}">
      <dsp:nvSpPr>
        <dsp:cNvPr id="0" name=""/>
        <dsp:cNvSpPr/>
      </dsp:nvSpPr>
      <dsp:spPr>
        <a:xfrm>
          <a:off x="727839" y="872774"/>
          <a:ext cx="122949"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727839" y="904664"/>
        <a:ext cx="86064" cy="95671"/>
      </dsp:txXfrm>
    </dsp:sp>
    <dsp:sp modelId="{57BF6199-A9D1-4AD3-900F-73752FEF2465}">
      <dsp:nvSpPr>
        <dsp:cNvPr id="0" name=""/>
        <dsp:cNvSpPr/>
      </dsp:nvSpPr>
      <dsp:spPr>
        <a:xfrm>
          <a:off x="901824"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Freight Forwarder</a:t>
          </a:r>
        </a:p>
      </dsp:txBody>
      <dsp:txXfrm>
        <a:off x="914712" y="745379"/>
        <a:ext cx="617171" cy="414241"/>
      </dsp:txXfrm>
    </dsp:sp>
    <dsp:sp modelId="{477C6BCF-F9D1-4F19-A98C-3ADBCEC89BE5}">
      <dsp:nvSpPr>
        <dsp:cNvPr id="0" name=""/>
        <dsp:cNvSpPr/>
      </dsp:nvSpPr>
      <dsp:spPr>
        <a:xfrm>
          <a:off x="1609067" y="872774"/>
          <a:ext cx="136304"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1609067" y="904664"/>
        <a:ext cx="95413" cy="95671"/>
      </dsp:txXfrm>
    </dsp:sp>
    <dsp:sp modelId="{C9CCA0AD-5CE3-4B5A-A6E4-CB8907469EA4}">
      <dsp:nvSpPr>
        <dsp:cNvPr id="0" name=""/>
        <dsp:cNvSpPr/>
      </dsp:nvSpPr>
      <dsp:spPr>
        <a:xfrm>
          <a:off x="1801951"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Ground Handling Agent </a:t>
          </a:r>
        </a:p>
      </dsp:txBody>
      <dsp:txXfrm>
        <a:off x="1814839" y="745379"/>
        <a:ext cx="617171" cy="414241"/>
      </dsp:txXfrm>
    </dsp:sp>
    <dsp:sp modelId="{F9D5997B-31AA-4CFD-9C28-69062130F424}">
      <dsp:nvSpPr>
        <dsp:cNvPr id="0" name=""/>
        <dsp:cNvSpPr/>
      </dsp:nvSpPr>
      <dsp:spPr>
        <a:xfrm>
          <a:off x="2509194" y="872774"/>
          <a:ext cx="136304"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2509194" y="904664"/>
        <a:ext cx="95413" cy="95671"/>
      </dsp:txXfrm>
    </dsp:sp>
    <dsp:sp modelId="{D83D9690-4DD0-48CB-B8AE-971385CB37A7}">
      <dsp:nvSpPr>
        <dsp:cNvPr id="0" name=""/>
        <dsp:cNvSpPr/>
      </dsp:nvSpPr>
      <dsp:spPr>
        <a:xfrm>
          <a:off x="2702078"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Airline</a:t>
          </a:r>
        </a:p>
      </dsp:txBody>
      <dsp:txXfrm>
        <a:off x="2714966" y="745379"/>
        <a:ext cx="617171" cy="414241"/>
      </dsp:txXfrm>
    </dsp:sp>
    <dsp:sp modelId="{29F9F3D0-F612-4998-B2FD-35AA4EB025BE}">
      <dsp:nvSpPr>
        <dsp:cNvPr id="0" name=""/>
        <dsp:cNvSpPr/>
      </dsp:nvSpPr>
      <dsp:spPr>
        <a:xfrm>
          <a:off x="3409321" y="872774"/>
          <a:ext cx="136304"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3409321" y="904664"/>
        <a:ext cx="95413" cy="95671"/>
      </dsp:txXfrm>
    </dsp:sp>
    <dsp:sp modelId="{CC517ED3-20AB-47EA-BF1D-1CE5B269583E}">
      <dsp:nvSpPr>
        <dsp:cNvPr id="0" name=""/>
        <dsp:cNvSpPr/>
      </dsp:nvSpPr>
      <dsp:spPr>
        <a:xfrm>
          <a:off x="3602205"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Ground Handling Agent </a:t>
          </a:r>
        </a:p>
      </dsp:txBody>
      <dsp:txXfrm>
        <a:off x="3615093" y="745379"/>
        <a:ext cx="617171" cy="414241"/>
      </dsp:txXfrm>
    </dsp:sp>
    <dsp:sp modelId="{48836EB9-59A7-4AC2-8A19-27383A093014}">
      <dsp:nvSpPr>
        <dsp:cNvPr id="0" name=""/>
        <dsp:cNvSpPr/>
      </dsp:nvSpPr>
      <dsp:spPr>
        <a:xfrm>
          <a:off x="4309448" y="872774"/>
          <a:ext cx="136304"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4309448" y="904664"/>
        <a:ext cx="95413" cy="95671"/>
      </dsp:txXfrm>
    </dsp:sp>
    <dsp:sp modelId="{0A8CB9B1-1904-4A45-B4F1-E88B9D524ECA}">
      <dsp:nvSpPr>
        <dsp:cNvPr id="0" name=""/>
        <dsp:cNvSpPr/>
      </dsp:nvSpPr>
      <dsp:spPr>
        <a:xfrm>
          <a:off x="4502332"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Freight Forwarders </a:t>
          </a:r>
        </a:p>
      </dsp:txBody>
      <dsp:txXfrm>
        <a:off x="4515220" y="745379"/>
        <a:ext cx="617171" cy="414241"/>
      </dsp:txXfrm>
    </dsp:sp>
    <dsp:sp modelId="{9D766B17-29B9-4904-9153-93C599A6BAA6}">
      <dsp:nvSpPr>
        <dsp:cNvPr id="0" name=""/>
        <dsp:cNvSpPr/>
      </dsp:nvSpPr>
      <dsp:spPr>
        <a:xfrm>
          <a:off x="5201175" y="872774"/>
          <a:ext cx="118498" cy="159451"/>
        </a:xfrm>
        <a:prstGeom prst="rightArrow">
          <a:avLst>
            <a:gd name="adj1" fmla="val 60000"/>
            <a:gd name="adj2" fmla="val 50000"/>
          </a:avLst>
        </a:prstGeom>
        <a:solidFill>
          <a:schemeClr val="tx1"/>
        </a:solidFill>
        <a:ln>
          <a:no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rial" panose="020B0604020202020204" pitchFamily="34" charset="0"/>
            <a:cs typeface="Arial" panose="020B0604020202020204" pitchFamily="34" charset="0"/>
          </a:endParaRPr>
        </a:p>
      </dsp:txBody>
      <dsp:txXfrm>
        <a:off x="5201175" y="904664"/>
        <a:ext cx="82949" cy="95671"/>
      </dsp:txXfrm>
    </dsp:sp>
    <dsp:sp modelId="{9D716B64-7A24-4DD7-983F-47A008D8B7A1}">
      <dsp:nvSpPr>
        <dsp:cNvPr id="0" name=""/>
        <dsp:cNvSpPr/>
      </dsp:nvSpPr>
      <dsp:spPr>
        <a:xfrm>
          <a:off x="5368861" y="732491"/>
          <a:ext cx="642947" cy="440017"/>
        </a:xfrm>
        <a:prstGeom prst="roundRect">
          <a:avLst>
            <a:gd name="adj" fmla="val 10000"/>
          </a:avLst>
        </a:prstGeom>
        <a:gradFill rotWithShape="0">
          <a:gsLst>
            <a:gs pos="0">
              <a:schemeClr val="bg1"/>
            </a:gs>
            <a:gs pos="50000">
              <a:schemeClr val="bg1"/>
            </a:gs>
            <a:gs pos="100000">
              <a:schemeClr val="bg1">
                <a:lumMod val="95000"/>
              </a:schemeClr>
            </a:gs>
          </a:gsLst>
          <a:lin ang="16200000" scaled="0"/>
        </a:gradFill>
        <a:ln>
          <a:solidFill>
            <a:schemeClr val="tx1"/>
          </a:solidFill>
        </a:ln>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377825">
            <a:lnSpc>
              <a:spcPct val="90000"/>
            </a:lnSpc>
            <a:spcBef>
              <a:spcPct val="0"/>
            </a:spcBef>
            <a:spcAft>
              <a:spcPct val="35000"/>
            </a:spcAft>
            <a:buNone/>
          </a:pPr>
          <a:r>
            <a:rPr lang="en-US" sz="850" kern="1200">
              <a:solidFill>
                <a:sysClr val="windowText" lastClr="000000"/>
              </a:solidFill>
              <a:latin typeface="Arial" panose="020B0604020202020204" pitchFamily="34" charset="0"/>
              <a:cs typeface="Arial" panose="020B0604020202020204" pitchFamily="34" charset="0"/>
            </a:rPr>
            <a:t>Consignee </a:t>
          </a:r>
        </a:p>
      </dsp:txBody>
      <dsp:txXfrm>
        <a:off x="5381749" y="745379"/>
        <a:ext cx="617171" cy="4142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C2998-DA25-437D-9BB4-69847F0A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6245</Words>
  <Characters>35601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2021-08-31T23:28:00Z</cp:lastPrinted>
  <dcterms:created xsi:type="dcterms:W3CDTF">2021-08-31T23:23:00Z</dcterms:created>
  <dcterms:modified xsi:type="dcterms:W3CDTF">2021-09-01T00:48:00Z</dcterms:modified>
</cp:coreProperties>
</file>