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96E7" w14:textId="77777777" w:rsidR="0028637B" w:rsidRDefault="0028637B" w:rsidP="0028637B">
      <w:pPr>
        <w:pBdr>
          <w:bottom w:val="single" w:sz="18" w:space="1" w:color="auto"/>
        </w:pBdr>
        <w:tabs>
          <w:tab w:val="left" w:pos="-1440"/>
          <w:tab w:val="left" w:pos="-720"/>
          <w:tab w:val="left" w:pos="1"/>
        </w:tabs>
        <w:jc w:val="both"/>
        <w:rPr>
          <w:rFonts w:ascii="Arial" w:hAnsi="Arial"/>
          <w:b/>
          <w:sz w:val="24"/>
        </w:rPr>
      </w:pPr>
      <w:bookmarkStart w:id="0" w:name="_Hlk75974827"/>
      <w:r w:rsidRPr="00A569EA">
        <w:rPr>
          <w:rFonts w:ascii="Arial" w:hAnsi="Arial"/>
          <w:b/>
          <w:noProof/>
          <w:sz w:val="24"/>
          <w:lang w:val="en-CA" w:eastAsia="en-CA"/>
        </w:rPr>
        <w:drawing>
          <wp:inline distT="0" distB="0" distL="0" distR="0" wp14:anchorId="1098E653" wp14:editId="54C8BFCA">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A887E03" w:rsidR="00C02410" w:rsidRPr="00E006A9" w:rsidRDefault="0028637B" w:rsidP="00C02410">
      <w:pPr>
        <w:pStyle w:val="ProductNumber"/>
        <w:rPr>
          <w:lang w:val="en-GB"/>
        </w:rPr>
      </w:pPr>
      <w:r>
        <w:rPr>
          <w:lang w:val="en-GB"/>
        </w:rPr>
        <w:t>9B21M075</w:t>
      </w:r>
    </w:p>
    <w:p w14:paraId="4E057522" w14:textId="7A113CB1" w:rsidR="00D75295" w:rsidRPr="00E006A9" w:rsidRDefault="00D75295" w:rsidP="00D75295">
      <w:pPr>
        <w:jc w:val="right"/>
        <w:rPr>
          <w:rFonts w:ascii="Arial" w:hAnsi="Arial"/>
          <w:b/>
          <w:lang w:val="en-GB"/>
        </w:rPr>
      </w:pPr>
    </w:p>
    <w:p w14:paraId="02524312" w14:textId="77777777" w:rsidR="001901C0" w:rsidRPr="00E006A9" w:rsidRDefault="001901C0" w:rsidP="00D75295">
      <w:pPr>
        <w:jc w:val="right"/>
        <w:rPr>
          <w:rFonts w:ascii="Arial" w:hAnsi="Arial"/>
          <w:b/>
          <w:lang w:val="en-GB"/>
        </w:rPr>
      </w:pPr>
    </w:p>
    <w:p w14:paraId="2F03D26A" w14:textId="51C418D2" w:rsidR="006A4508" w:rsidRPr="00E006A9" w:rsidRDefault="006A3820" w:rsidP="00013360">
      <w:pPr>
        <w:pStyle w:val="CaseTitle"/>
        <w:spacing w:after="0" w:line="240" w:lineRule="auto"/>
        <w:rPr>
          <w:sz w:val="20"/>
          <w:szCs w:val="20"/>
          <w:lang w:val="en-GB"/>
        </w:rPr>
      </w:pPr>
      <w:r w:rsidRPr="00E006A9">
        <w:rPr>
          <w:color w:val="000000" w:themeColor="text1"/>
          <w:lang w:val="en-GB"/>
        </w:rPr>
        <w:t>GOOGLE: TARGETING The HEALTH</w:t>
      </w:r>
      <w:r w:rsidR="00DC72F5" w:rsidRPr="00E006A9">
        <w:rPr>
          <w:color w:val="000000" w:themeColor="text1"/>
          <w:lang w:val="en-GB"/>
        </w:rPr>
        <w:t xml:space="preserve"> </w:t>
      </w:r>
      <w:r w:rsidRPr="00E006A9">
        <w:rPr>
          <w:color w:val="000000" w:themeColor="text1"/>
          <w:lang w:val="en-GB"/>
        </w:rPr>
        <w:t>CARE MARKET WITH FITBIT</w:t>
      </w:r>
      <w:r w:rsidR="006A4508" w:rsidRPr="00E006A9">
        <w:rPr>
          <w:rStyle w:val="EndnoteReference"/>
          <w:color w:val="000000" w:themeColor="text1"/>
          <w:lang w:val="en-GB"/>
        </w:rPr>
        <w:endnoteReference w:id="1"/>
      </w:r>
    </w:p>
    <w:p w14:paraId="40ABF6FD" w14:textId="77777777" w:rsidR="006A4508" w:rsidRPr="00E006A9" w:rsidRDefault="006A4508" w:rsidP="00013360">
      <w:pPr>
        <w:pStyle w:val="CaseTitle"/>
        <w:spacing w:after="0" w:line="240" w:lineRule="auto"/>
        <w:rPr>
          <w:sz w:val="20"/>
          <w:szCs w:val="20"/>
          <w:lang w:val="en-GB"/>
        </w:rPr>
      </w:pPr>
    </w:p>
    <w:p w14:paraId="202F1085" w14:textId="77777777" w:rsidR="006A4508" w:rsidRPr="00E006A9" w:rsidRDefault="006A4508" w:rsidP="00013360">
      <w:pPr>
        <w:pStyle w:val="CaseTitle"/>
        <w:spacing w:after="0" w:line="240" w:lineRule="auto"/>
        <w:rPr>
          <w:sz w:val="20"/>
          <w:szCs w:val="20"/>
          <w:lang w:val="en-GB"/>
        </w:rPr>
      </w:pPr>
    </w:p>
    <w:p w14:paraId="58B0C73F" w14:textId="79EBC488" w:rsidR="006A4508" w:rsidRPr="00E006A9" w:rsidRDefault="006A4508" w:rsidP="00086B26">
      <w:pPr>
        <w:pStyle w:val="StyleCopyrightStatementAfter0ptBottomSinglesolidline1"/>
        <w:rPr>
          <w:lang w:val="en-GB"/>
        </w:rPr>
      </w:pPr>
      <w:r w:rsidRPr="00E006A9">
        <w:rPr>
          <w:lang w:val="en-GB"/>
        </w:rPr>
        <w:t>Shamik Debnath, Sandeep Puri, Shalini Joshi, and Raul Rodriguez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6A4508" w:rsidRPr="00E006A9" w:rsidRDefault="006A4508" w:rsidP="00086B26">
      <w:pPr>
        <w:pStyle w:val="StyleCopyrightStatementAfter0ptBottomSinglesolidline1"/>
        <w:rPr>
          <w:lang w:val="en-GB"/>
        </w:rPr>
      </w:pPr>
    </w:p>
    <w:p w14:paraId="00973B01" w14:textId="77777777" w:rsidR="0028637B" w:rsidRPr="00A323B0" w:rsidRDefault="0028637B" w:rsidP="0028637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4BF3DF9" w14:textId="77777777" w:rsidR="0028637B" w:rsidRPr="00A323B0" w:rsidRDefault="0028637B" w:rsidP="0028637B">
      <w:pPr>
        <w:pStyle w:val="StyleStyleCopyrightStatementAfter0ptBottomSinglesolid"/>
        <w:rPr>
          <w:rFonts w:cs="Arial"/>
          <w:szCs w:val="16"/>
        </w:rPr>
      </w:pPr>
    </w:p>
    <w:p w14:paraId="3922E14F" w14:textId="27796266" w:rsidR="006A4508" w:rsidRPr="00E006A9" w:rsidRDefault="0028637B" w:rsidP="0028637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6A4508" w:rsidRPr="00E006A9">
        <w:rPr>
          <w:rFonts w:cs="Arial"/>
          <w:iCs w:val="0"/>
          <w:color w:val="auto"/>
          <w:szCs w:val="16"/>
          <w:lang w:val="en-GB"/>
        </w:rPr>
        <w:tab/>
        <w:t>Version: 2021-0</w:t>
      </w:r>
      <w:r w:rsidR="00C10C6D">
        <w:rPr>
          <w:rFonts w:cs="Arial"/>
          <w:iCs w:val="0"/>
          <w:color w:val="auto"/>
          <w:szCs w:val="16"/>
          <w:lang w:val="en-GB"/>
        </w:rPr>
        <w:t>7</w:t>
      </w:r>
      <w:r w:rsidR="006A4508" w:rsidRPr="00E006A9">
        <w:rPr>
          <w:rFonts w:cs="Arial"/>
          <w:iCs w:val="0"/>
          <w:color w:val="auto"/>
          <w:szCs w:val="16"/>
          <w:lang w:val="en-GB"/>
        </w:rPr>
        <w:t>-</w:t>
      </w:r>
      <w:r>
        <w:rPr>
          <w:rFonts w:cs="Arial"/>
          <w:iCs w:val="0"/>
          <w:color w:val="auto"/>
          <w:szCs w:val="16"/>
          <w:lang w:val="en-GB"/>
        </w:rPr>
        <w:t>26</w:t>
      </w:r>
    </w:p>
    <w:p w14:paraId="0A2A54E4" w14:textId="33CDFF88" w:rsidR="006A4508" w:rsidRDefault="006A4508" w:rsidP="00751E0B">
      <w:pPr>
        <w:pStyle w:val="StyleCopyrightStatementAfter0ptBottomSinglesolidline1"/>
        <w:rPr>
          <w:rFonts w:ascii="Times New Roman" w:hAnsi="Times New Roman"/>
          <w:sz w:val="20"/>
          <w:lang w:val="en-GB"/>
        </w:rPr>
      </w:pPr>
    </w:p>
    <w:p w14:paraId="00D0D1A9" w14:textId="77777777" w:rsidR="00C10C6D" w:rsidRPr="00E006A9" w:rsidRDefault="00C10C6D" w:rsidP="00751E0B">
      <w:pPr>
        <w:pStyle w:val="StyleCopyrightStatementAfter0ptBottomSinglesolidline1"/>
        <w:rPr>
          <w:rFonts w:ascii="Times New Roman" w:hAnsi="Times New Roman"/>
          <w:sz w:val="20"/>
          <w:lang w:val="en-GB"/>
        </w:rPr>
      </w:pPr>
    </w:p>
    <w:p w14:paraId="6117B543" w14:textId="6607FE49" w:rsidR="006A4508" w:rsidRPr="00E006A9" w:rsidRDefault="006A4508" w:rsidP="006A3820">
      <w:pPr>
        <w:pStyle w:val="BodyTextMain"/>
        <w:rPr>
          <w:lang w:val="en-GB"/>
        </w:rPr>
      </w:pPr>
      <w:r w:rsidRPr="00E006A9">
        <w:rPr>
          <w:color w:val="000000" w:themeColor="text1"/>
          <w:lang w:val="en-GB"/>
        </w:rPr>
        <w:t xml:space="preserve">In January 2021, amid the </w:t>
      </w:r>
      <w:r>
        <w:rPr>
          <w:color w:val="000000" w:themeColor="text1"/>
          <w:lang w:val="en-GB"/>
        </w:rPr>
        <w:t>US</w:t>
      </w:r>
      <w:r w:rsidRPr="00E006A9">
        <w:rPr>
          <w:color w:val="000000" w:themeColor="text1"/>
          <w:lang w:val="en-GB"/>
        </w:rPr>
        <w:t xml:space="preserve"> Department of Justice’s probe into the merger of Google </w:t>
      </w:r>
      <w:r>
        <w:rPr>
          <w:color w:val="000000" w:themeColor="text1"/>
          <w:lang w:val="en-GB"/>
        </w:rPr>
        <w:t xml:space="preserve">LLC (Google) </w:t>
      </w:r>
      <w:r w:rsidRPr="00E006A9">
        <w:rPr>
          <w:color w:val="000000" w:themeColor="text1"/>
          <w:lang w:val="en-GB"/>
        </w:rPr>
        <w:t>and Fitbit Inc. (Fitbit), Google officially completed the US$2.1</w:t>
      </w:r>
      <w:r>
        <w:rPr>
          <w:color w:val="000000" w:themeColor="text1"/>
          <w:lang w:val="en-GB"/>
        </w:rPr>
        <w:t xml:space="preserve"> </w:t>
      </w:r>
      <w:r w:rsidRPr="00E006A9">
        <w:rPr>
          <w:color w:val="000000" w:themeColor="text1"/>
          <w:lang w:val="en-GB"/>
        </w:rPr>
        <w:t>billion</w:t>
      </w:r>
      <w:r w:rsidRPr="00E006A9">
        <w:rPr>
          <w:rStyle w:val="EndnoteReference"/>
          <w:color w:val="000000" w:themeColor="text1"/>
          <w:lang w:val="en-GB"/>
        </w:rPr>
        <w:endnoteReference w:id="2"/>
      </w:r>
      <w:r w:rsidRPr="00E006A9">
        <w:rPr>
          <w:color w:val="000000" w:themeColor="text1"/>
          <w:lang w:val="en-GB"/>
        </w:rPr>
        <w:t xml:space="preserve"> deal to purchase Fitbit.</w:t>
      </w:r>
      <w:r w:rsidRPr="00E006A9">
        <w:rPr>
          <w:rStyle w:val="EndnoteReference"/>
          <w:color w:val="000000" w:themeColor="text1"/>
          <w:lang w:val="en-GB"/>
        </w:rPr>
        <w:endnoteReference w:id="3"/>
      </w:r>
      <w:r w:rsidRPr="00E006A9">
        <w:rPr>
          <w:color w:val="000000" w:themeColor="text1"/>
          <w:lang w:val="en-GB"/>
        </w:rPr>
        <w:t xml:space="preserve"> Things had started heating up in the wearable space in the winter of 2019, when</w:t>
      </w:r>
      <w:r>
        <w:rPr>
          <w:color w:val="000000" w:themeColor="text1"/>
          <w:lang w:val="en-GB"/>
        </w:rPr>
        <w:t>,</w:t>
      </w:r>
      <w:r w:rsidRPr="00E006A9">
        <w:rPr>
          <w:color w:val="000000" w:themeColor="text1"/>
          <w:lang w:val="en-GB"/>
        </w:rPr>
        <w:t xml:space="preserve"> on November </w:t>
      </w:r>
      <w:r w:rsidRPr="00E006A9">
        <w:rPr>
          <w:lang w:val="en-GB"/>
        </w:rPr>
        <w:t>1, Google announced</w:t>
      </w:r>
      <w:r w:rsidRPr="00E006A9">
        <w:rPr>
          <w:rStyle w:val="apple-converted-space"/>
          <w:color w:val="000000" w:themeColor="text1"/>
          <w:lang w:val="en-GB"/>
        </w:rPr>
        <w:t xml:space="preserve"> the </w:t>
      </w:r>
      <w:r w:rsidRPr="00E006A9">
        <w:rPr>
          <w:lang w:val="en-GB"/>
        </w:rPr>
        <w:t>acquisition of Fitbit, a pioneer in wearable technology. The response of Fitbit users to the buyout was not one of excitement</w:t>
      </w:r>
      <w:r w:rsidR="00C10C6D">
        <w:rPr>
          <w:lang w:val="en-GB"/>
        </w:rPr>
        <w:t>,</w:t>
      </w:r>
      <w:r w:rsidRPr="00E006A9">
        <w:rPr>
          <w:lang w:val="en-GB"/>
        </w:rPr>
        <w:t xml:space="preserve"> but rather one of skepticism and distrust. Following concerns regarding Google’s notorious privacy history, loyal Fitbit users stormed social media with declarations that they would leave the brand because of their distrust of Google and concerns about giving Google access to so much personal data.</w:t>
      </w:r>
      <w:r w:rsidRPr="00E006A9">
        <w:rPr>
          <w:rStyle w:val="EndnoteReference"/>
          <w:color w:val="000000" w:themeColor="text1"/>
          <w:lang w:val="en-GB"/>
        </w:rPr>
        <w:endnoteReference w:id="4"/>
      </w:r>
      <w:r w:rsidRPr="00E006A9">
        <w:rPr>
          <w:lang w:val="en-GB"/>
        </w:rPr>
        <w:t xml:space="preserve"> To allay these fears, Rick Osterloh, Google’s senior vice-president of devices and services, assured users on behalf of his company in a blog post that, as with its other products, Google would ensure clarity with regard to data collection and would neither sell any personal information to anyone nor use Fitbit’s health and wellness data for Google advertisements (ads). He also promised that the company would let Fitbit users “review, move, or delete their data.”</w:t>
      </w:r>
      <w:r w:rsidRPr="00E006A9">
        <w:rPr>
          <w:rStyle w:val="EndnoteReference"/>
          <w:color w:val="000000" w:themeColor="text1"/>
          <w:lang w:val="en-GB"/>
        </w:rPr>
        <w:endnoteReference w:id="5"/>
      </w:r>
      <w:r w:rsidRPr="00E006A9">
        <w:rPr>
          <w:lang w:val="en-GB"/>
        </w:rPr>
        <w:t xml:space="preserve"> Even though Osterloh stated that the goal of the deal was to help “spur innovation in wearables,”</w:t>
      </w:r>
      <w:r w:rsidRPr="00E006A9">
        <w:rPr>
          <w:rStyle w:val="EndnoteReference"/>
          <w:color w:val="000000" w:themeColor="text1"/>
          <w:lang w:val="en-GB"/>
        </w:rPr>
        <w:endnoteReference w:id="6"/>
      </w:r>
      <w:r w:rsidRPr="00E006A9">
        <w:rPr>
          <w:lang w:val="en-GB"/>
        </w:rPr>
        <w:t xml:space="preserve"> experts felt </w:t>
      </w:r>
      <w:r>
        <w:rPr>
          <w:lang w:val="en-GB"/>
        </w:rPr>
        <w:t xml:space="preserve">that </w:t>
      </w:r>
      <w:r w:rsidRPr="00E006A9">
        <w:rPr>
          <w:lang w:val="en-GB"/>
        </w:rPr>
        <w:t>this acquisition was expected to address Google’s hardware failures,</w:t>
      </w:r>
      <w:r w:rsidRPr="00E006A9">
        <w:rPr>
          <w:rStyle w:val="EndnoteReference"/>
          <w:color w:val="000000" w:themeColor="text1"/>
          <w:lang w:val="en-GB"/>
        </w:rPr>
        <w:endnoteReference w:id="7"/>
      </w:r>
      <w:r w:rsidRPr="00E006A9">
        <w:rPr>
          <w:lang w:val="en-GB"/>
        </w:rPr>
        <w:t xml:space="preserve"> give it an edge in software through giving it an instant foothold in the growing smartwatch market,</w:t>
      </w:r>
      <w:r w:rsidRPr="00E006A9">
        <w:rPr>
          <w:rStyle w:val="EndnoteReference"/>
          <w:color w:val="000000" w:themeColor="text1"/>
          <w:lang w:val="en-GB"/>
        </w:rPr>
        <w:endnoteReference w:id="8"/>
      </w:r>
      <w:r w:rsidRPr="00E006A9">
        <w:rPr>
          <w:lang w:val="en-GB"/>
        </w:rPr>
        <w:t xml:space="preserve"> and leverage </w:t>
      </w:r>
      <w:r w:rsidRPr="0028637B">
        <w:t>the business-to-business partnerships that Fitbit had with “health insurance companies and direct corporate wellness programming.”</w:t>
      </w:r>
      <w:r w:rsidRPr="0028637B">
        <w:rPr>
          <w:vertAlign w:val="superscript"/>
        </w:rPr>
        <w:endnoteReference w:id="9"/>
      </w:r>
      <w:r w:rsidRPr="0028637B">
        <w:t xml:space="preserve"> Although Fitbit’s dominance in the activity-tracking wearable space had declined during 2017–2019,</w:t>
      </w:r>
      <w:r w:rsidRPr="0028637B">
        <w:rPr>
          <w:vertAlign w:val="superscript"/>
        </w:rPr>
        <w:endnoteReference w:id="10"/>
      </w:r>
      <w:r w:rsidRPr="0028637B">
        <w:t xml:space="preserve"> and Google was capable of making and distributing its own smartwatch,</w:t>
      </w:r>
      <w:r w:rsidRPr="00E006A9">
        <w:rPr>
          <w:lang w:val="en-GB"/>
        </w:rPr>
        <w:t xml:space="preserve"> Google’s software skills and experience in developer support were expected to help Fitbit’s smartwatches become smarter with deeper software integration with Android.</w:t>
      </w:r>
      <w:r w:rsidRPr="00E006A9">
        <w:rPr>
          <w:rStyle w:val="EndnoteReference"/>
          <w:color w:val="000000" w:themeColor="text1"/>
          <w:lang w:val="en-GB"/>
        </w:rPr>
        <w:endnoteReference w:id="11"/>
      </w:r>
    </w:p>
    <w:p w14:paraId="6591A9AC" w14:textId="77777777" w:rsidR="006A4508" w:rsidRPr="00E006A9" w:rsidRDefault="006A4508" w:rsidP="006A3820">
      <w:pPr>
        <w:pStyle w:val="BodyTextMain"/>
        <w:rPr>
          <w:lang w:val="en-GB"/>
        </w:rPr>
      </w:pPr>
    </w:p>
    <w:p w14:paraId="20271FA0" w14:textId="5C827C29" w:rsidR="006A4508" w:rsidRPr="00E006A9" w:rsidRDefault="006A4508" w:rsidP="006A3820">
      <w:pPr>
        <w:pStyle w:val="BodyTextMain"/>
        <w:rPr>
          <w:color w:val="000000" w:themeColor="text1"/>
          <w:spacing w:val="8"/>
          <w:lang w:val="en-GB"/>
        </w:rPr>
      </w:pPr>
      <w:r w:rsidRPr="00E006A9">
        <w:rPr>
          <w:lang w:val="en-GB"/>
        </w:rPr>
        <w:t xml:space="preserve">With medical and health insurance companies and corporate wellness </w:t>
      </w:r>
      <w:r w:rsidRPr="00E006A9">
        <w:rPr>
          <w:lang w:val="en-GB"/>
        </w:rPr>
        <w:t xml:space="preserve">programs </w:t>
      </w:r>
      <w:r w:rsidR="0040359C">
        <w:rPr>
          <w:lang w:val="en-GB"/>
        </w:rPr>
        <w:t>attracting</w:t>
      </w:r>
      <w:r w:rsidRPr="00E006A9">
        <w:rPr>
          <w:lang w:val="en-GB"/>
        </w:rPr>
        <w:t xml:space="preserve"> m</w:t>
      </w:r>
      <w:r w:rsidRPr="00E006A9">
        <w:rPr>
          <w:lang w:val="en-GB"/>
        </w:rPr>
        <w:t>edical wearable device companies, would this acquisition be enough for Google to take on its big rivals and forge ahead as it tried to leverage Fitbit’s hardware strengths, its business-to-business partnerships, and its technical expertise in the medical wearable space?</w:t>
      </w:r>
      <w:r w:rsidRPr="00E006A9" w:rsidDel="000358F6">
        <w:rPr>
          <w:rStyle w:val="EndnoteReference"/>
          <w:color w:val="000000" w:themeColor="text1"/>
          <w:spacing w:val="8"/>
          <w:lang w:val="en-GB"/>
        </w:rPr>
        <w:t xml:space="preserve"> </w:t>
      </w:r>
      <w:r w:rsidRPr="00E006A9">
        <w:rPr>
          <w:lang w:val="en-GB"/>
        </w:rPr>
        <w:t>Besides this, with so much notoriety and user distrust in general with regard to data privacy,</w:t>
      </w:r>
      <w:r w:rsidRPr="00E006A9">
        <w:rPr>
          <w:rStyle w:val="EndnoteReference"/>
          <w:color w:val="000000" w:themeColor="text1"/>
          <w:lang w:val="en-GB"/>
        </w:rPr>
        <w:endnoteReference w:id="12"/>
      </w:r>
      <w:r w:rsidRPr="00E006A9">
        <w:rPr>
          <w:lang w:val="en-GB"/>
        </w:rPr>
        <w:t xml:space="preserve"> would Fitbit’s decision to merge stand validated? And as Google devised strategies to maximize the merger, would it realize its goal of revolutionizing the world of health care by riding the digitization wave and effecting a paradigm shift in the industry?</w:t>
      </w:r>
    </w:p>
    <w:p w14:paraId="5476CE97" w14:textId="77777777" w:rsidR="006A4508" w:rsidRPr="00E006A9" w:rsidRDefault="006A4508" w:rsidP="006A3820">
      <w:pPr>
        <w:pStyle w:val="BodyTextMain"/>
        <w:rPr>
          <w:lang w:val="en-GB"/>
        </w:rPr>
      </w:pPr>
    </w:p>
    <w:p w14:paraId="16908F92" w14:textId="77777777" w:rsidR="006A4508" w:rsidRPr="00E006A9" w:rsidRDefault="006A4508" w:rsidP="006A3820">
      <w:pPr>
        <w:pStyle w:val="BodyTextMain"/>
        <w:rPr>
          <w:lang w:val="en-GB"/>
        </w:rPr>
      </w:pPr>
    </w:p>
    <w:p w14:paraId="41AA5DEE" w14:textId="53DAA39E" w:rsidR="006A4508" w:rsidRPr="00E006A9" w:rsidRDefault="006A4508" w:rsidP="00F425D2">
      <w:pPr>
        <w:pStyle w:val="Casehead1"/>
        <w:keepNext/>
        <w:rPr>
          <w:color w:val="000000" w:themeColor="text1"/>
          <w:lang w:val="en-GB"/>
        </w:rPr>
      </w:pPr>
      <w:r w:rsidRPr="00E006A9">
        <w:rPr>
          <w:color w:val="000000" w:themeColor="text1"/>
          <w:lang w:val="en-GB"/>
        </w:rPr>
        <w:lastRenderedPageBreak/>
        <w:t>COMPANY BACKGROUND—GOOGLE</w:t>
      </w:r>
    </w:p>
    <w:p w14:paraId="3FE242BC" w14:textId="77777777" w:rsidR="006A4508" w:rsidRPr="00E006A9" w:rsidRDefault="006A4508" w:rsidP="00F425D2">
      <w:pPr>
        <w:pStyle w:val="BodyTextMain"/>
        <w:keepNext/>
        <w:rPr>
          <w:color w:val="000000" w:themeColor="text1"/>
          <w:lang w:val="en-GB"/>
        </w:rPr>
      </w:pPr>
    </w:p>
    <w:p w14:paraId="662706E1" w14:textId="4602C77A" w:rsidR="006A4508" w:rsidRPr="00DB6C01" w:rsidRDefault="006A4508" w:rsidP="00F425D2">
      <w:pPr>
        <w:keepNext/>
        <w:jc w:val="both"/>
        <w:rPr>
          <w:sz w:val="22"/>
          <w:szCs w:val="22"/>
          <w:lang w:val="en-GB"/>
        </w:rPr>
      </w:pPr>
      <w:r w:rsidRPr="00DB6C01">
        <w:rPr>
          <w:rStyle w:val="BodyTextMainChar"/>
          <w:sz w:val="22"/>
        </w:rPr>
        <w:t>Google was established in September 1998 by Larry Page and Sergey Brin in California.</w:t>
      </w:r>
      <w:r w:rsidRPr="00DB6C01">
        <w:rPr>
          <w:rStyle w:val="BodyTextMainChar"/>
          <w:sz w:val="22"/>
        </w:rPr>
        <w:endnoteReference w:id="13"/>
      </w:r>
      <w:r w:rsidRPr="00DB6C01">
        <w:rPr>
          <w:rStyle w:val="BodyTextMainChar"/>
          <w:sz w:val="22"/>
        </w:rPr>
        <w:t xml:space="preserve"> In 2015, Google reorganized its various interests under Alphabet Inc. (Alphabet) and became the major subsidiary for the company’s Internet interests. </w:t>
      </w:r>
      <w:proofErr w:type="gramStart"/>
      <w:r w:rsidRPr="00DB6C01">
        <w:rPr>
          <w:rStyle w:val="BodyTextMainChar"/>
          <w:sz w:val="22"/>
        </w:rPr>
        <w:t>Also</w:t>
      </w:r>
      <w:proofErr w:type="gramEnd"/>
      <w:r w:rsidRPr="00DB6C01">
        <w:rPr>
          <w:rStyle w:val="BodyTextMainChar"/>
          <w:sz w:val="22"/>
        </w:rPr>
        <w:t xml:space="preserve"> in 2015, Sundar Pichai was appointed chief executive officer (CEO) of Google. Pichai replaced Page, who moved on to become CEO of Alphabet.</w:t>
      </w:r>
      <w:r w:rsidRPr="00DB6C01">
        <w:rPr>
          <w:rStyle w:val="BodyTextMainChar"/>
          <w:sz w:val="22"/>
          <w:vertAlign w:val="superscript"/>
        </w:rPr>
        <w:endnoteReference w:id="14"/>
      </w:r>
      <w:r w:rsidRPr="00DB6C01">
        <w:rPr>
          <w:rStyle w:val="BodyTextMainChar"/>
          <w:sz w:val="22"/>
        </w:rPr>
        <w:t xml:space="preserve"> Alphabet’s revenue was $74.99 billion in 2015, and it reached $161.86 billion in 2019 with an increase of</w:t>
      </w:r>
      <w:r w:rsidRPr="00DB6C01">
        <w:rPr>
          <w:color w:val="000000" w:themeColor="text1"/>
          <w:sz w:val="24"/>
          <w:szCs w:val="22"/>
          <w:shd w:val="clear" w:color="auto" w:fill="FFFFFF"/>
          <w:lang w:val="en-GB"/>
        </w:rPr>
        <w:t xml:space="preserve"> </w:t>
      </w:r>
      <w:r w:rsidRPr="00E006A9">
        <w:rPr>
          <w:color w:val="000000" w:themeColor="text1"/>
          <w:sz w:val="22"/>
          <w:szCs w:val="22"/>
          <w:lang w:val="en-GB"/>
        </w:rPr>
        <w:t>18.3 per cent from 2018 (see Exhibit 1 and Exhibit 2).</w:t>
      </w:r>
      <w:r w:rsidRPr="00E006A9">
        <w:rPr>
          <w:rStyle w:val="EndnoteReference"/>
          <w:color w:val="000000" w:themeColor="text1"/>
          <w:sz w:val="22"/>
          <w:szCs w:val="22"/>
          <w:lang w:val="en-GB"/>
        </w:rPr>
        <w:endnoteReference w:id="15"/>
      </w:r>
      <w:r w:rsidRPr="00E006A9">
        <w:rPr>
          <w:color w:val="000000" w:themeColor="text1"/>
          <w:sz w:val="22"/>
          <w:szCs w:val="22"/>
          <w:shd w:val="clear" w:color="auto" w:fill="FFFFFF"/>
          <w:lang w:val="en-GB"/>
        </w:rPr>
        <w:t xml:space="preserve"> </w:t>
      </w:r>
      <w:r w:rsidRPr="00E006A9">
        <w:rPr>
          <w:sz w:val="22"/>
          <w:szCs w:val="22"/>
          <w:lang w:val="en-GB"/>
        </w:rPr>
        <w:t xml:space="preserve">In 2017, 97 per cent of Google employees </w:t>
      </w:r>
      <w:r w:rsidR="00C10C6D">
        <w:rPr>
          <w:sz w:val="22"/>
          <w:szCs w:val="22"/>
          <w:lang w:val="en-GB"/>
        </w:rPr>
        <w:t xml:space="preserve">had </w:t>
      </w:r>
      <w:r w:rsidRPr="00E006A9">
        <w:rPr>
          <w:sz w:val="22"/>
          <w:szCs w:val="22"/>
          <w:lang w:val="en-GB"/>
        </w:rPr>
        <w:t>rated it as a great place to work</w:t>
      </w:r>
      <w:r w:rsidR="005317CE" w:rsidRPr="00DB6C01">
        <w:rPr>
          <w:rStyle w:val="BodyTextMainChar"/>
          <w:sz w:val="22"/>
          <w:szCs w:val="22"/>
        </w:rPr>
        <w:t>,</w:t>
      </w:r>
      <w:r w:rsidRPr="00DB6C01">
        <w:rPr>
          <w:rStyle w:val="BodyTextMainChar"/>
          <w:sz w:val="22"/>
          <w:szCs w:val="22"/>
          <w:vertAlign w:val="superscript"/>
        </w:rPr>
        <w:endnoteReference w:id="16"/>
      </w:r>
      <w:r w:rsidRPr="00DB6C01">
        <w:rPr>
          <w:rStyle w:val="BodyTextMainChar"/>
          <w:sz w:val="22"/>
          <w:szCs w:val="22"/>
        </w:rPr>
        <w:t xml:space="preserve"> </w:t>
      </w:r>
      <w:r w:rsidR="005317CE" w:rsidRPr="00DB6C01">
        <w:rPr>
          <w:rStyle w:val="BodyTextMainChar"/>
          <w:sz w:val="22"/>
          <w:szCs w:val="22"/>
        </w:rPr>
        <w:t>and i</w:t>
      </w:r>
      <w:r w:rsidRPr="00DB6C01">
        <w:rPr>
          <w:rStyle w:val="BodyTextMainChar"/>
          <w:sz w:val="22"/>
          <w:szCs w:val="22"/>
        </w:rPr>
        <w:t>n 2019, Interbrand ranked Google second among the top global brands.</w:t>
      </w:r>
      <w:r w:rsidRPr="00DB6C01">
        <w:rPr>
          <w:rStyle w:val="EndnoteReference"/>
          <w:color w:val="000000" w:themeColor="text1"/>
          <w:sz w:val="22"/>
          <w:szCs w:val="22"/>
          <w:shd w:val="clear" w:color="auto" w:fill="FFFFFF"/>
          <w:lang w:val="en-GB"/>
        </w:rPr>
        <w:endnoteReference w:id="17"/>
      </w:r>
    </w:p>
    <w:p w14:paraId="45D48F1A" w14:textId="0682C073" w:rsidR="006A4508" w:rsidRPr="00DB6C01" w:rsidRDefault="006A4508" w:rsidP="00DB6C01">
      <w:pPr>
        <w:pStyle w:val="BodyTextMain"/>
      </w:pPr>
    </w:p>
    <w:p w14:paraId="023FC4C0" w14:textId="77777777" w:rsidR="006A4508" w:rsidRPr="00DB6C01" w:rsidRDefault="006A4508" w:rsidP="00DB6C01">
      <w:pPr>
        <w:pStyle w:val="BodyTextMain"/>
      </w:pPr>
    </w:p>
    <w:p w14:paraId="36B8C689" w14:textId="384E948E" w:rsidR="006A4508" w:rsidRPr="00E006A9" w:rsidRDefault="006A4508" w:rsidP="003A6C30">
      <w:pPr>
        <w:pStyle w:val="Casehead2"/>
        <w:rPr>
          <w:lang w:val="en-GB"/>
        </w:rPr>
      </w:pPr>
      <w:r w:rsidRPr="00E006A9">
        <w:rPr>
          <w:lang w:val="en-GB"/>
        </w:rPr>
        <w:t>Major Acquisitions by Google</w:t>
      </w:r>
    </w:p>
    <w:p w14:paraId="69A54E7B" w14:textId="77777777" w:rsidR="006A4508" w:rsidRPr="00DB6C01" w:rsidRDefault="006A4508" w:rsidP="00DB6C01">
      <w:pPr>
        <w:pStyle w:val="BodyTextMain"/>
      </w:pPr>
    </w:p>
    <w:p w14:paraId="05C0C74A" w14:textId="7739A6C5" w:rsidR="006A4508" w:rsidRPr="002E722F" w:rsidRDefault="006A4508" w:rsidP="00D4055D">
      <w:pPr>
        <w:pStyle w:val="BodyTextMain"/>
        <w:rPr>
          <w:color w:val="000000" w:themeColor="text1"/>
          <w:spacing w:val="-2"/>
          <w:lang w:val="en-GB"/>
        </w:rPr>
      </w:pPr>
      <w:r w:rsidRPr="002E722F">
        <w:rPr>
          <w:color w:val="000000" w:themeColor="text1"/>
          <w:spacing w:val="-2"/>
          <w:lang w:val="en-GB"/>
        </w:rPr>
        <w:t xml:space="preserve">Google had been spending billions </w:t>
      </w:r>
      <w:r w:rsidR="005317CE" w:rsidRPr="002E722F">
        <w:rPr>
          <w:color w:val="000000" w:themeColor="text1"/>
          <w:spacing w:val="-2"/>
          <w:lang w:val="en-GB"/>
        </w:rPr>
        <w:t xml:space="preserve">of dollars </w:t>
      </w:r>
      <w:r w:rsidRPr="002E722F">
        <w:rPr>
          <w:color w:val="000000" w:themeColor="text1"/>
          <w:spacing w:val="-2"/>
          <w:lang w:val="en-GB"/>
        </w:rPr>
        <w:t>in acquiring ideas and products almost from the outset (as early as 2001), but the first big and game-changing acquisition came in 2005 with the purchase of Android Inc. for $50 million.</w:t>
      </w:r>
      <w:r w:rsidRPr="002E722F">
        <w:rPr>
          <w:rStyle w:val="EndnoteReference"/>
          <w:color w:val="000000" w:themeColor="text1"/>
          <w:spacing w:val="-2"/>
          <w:lang w:val="en-GB"/>
        </w:rPr>
        <w:endnoteReference w:id="18"/>
      </w:r>
      <w:r w:rsidRPr="002E722F">
        <w:rPr>
          <w:color w:val="000000" w:themeColor="text1"/>
          <w:spacing w:val="-2"/>
          <w:lang w:val="en-GB"/>
        </w:rPr>
        <w:t xml:space="preserve"> In 2006, Google acquired YouTube for $1.65 billion, and the video-sharing website soon became a massive revenue driver for Alphabet. By 2019, YouTube was contributing 10 per cent to all Google revenue through ad revenue worth $15.1 billion.</w:t>
      </w:r>
      <w:r w:rsidRPr="002E722F">
        <w:rPr>
          <w:rStyle w:val="EndnoteReference"/>
          <w:color w:val="000000" w:themeColor="text1"/>
          <w:spacing w:val="-2"/>
          <w:lang w:val="en-GB"/>
        </w:rPr>
        <w:endnoteReference w:id="19"/>
      </w:r>
      <w:r w:rsidRPr="002E722F">
        <w:rPr>
          <w:color w:val="000000" w:themeColor="text1"/>
          <w:spacing w:val="-2"/>
          <w:lang w:val="en-GB"/>
        </w:rPr>
        <w:t xml:space="preserve"> In 2008, Google acquired DoubleClick Inc. (DoubleClick), a global leader in digital marketing, for $3.1 billion to leverage the ad firm’s expertise in targeting, analyzing, and serving ads. By 2018, Google had merged the DoubleClick ad platform with its Google Analytics 360 suite under the umbrella Google Marketing Platform,</w:t>
      </w:r>
      <w:r w:rsidRPr="002E722F">
        <w:rPr>
          <w:rStyle w:val="EndnoteReference"/>
          <w:color w:val="000000" w:themeColor="text1"/>
          <w:spacing w:val="-2"/>
          <w:lang w:val="en-GB"/>
        </w:rPr>
        <w:endnoteReference w:id="20"/>
      </w:r>
      <w:r w:rsidRPr="002E722F">
        <w:rPr>
          <w:color w:val="000000" w:themeColor="text1"/>
          <w:spacing w:val="-2"/>
          <w:lang w:val="en-GB"/>
        </w:rPr>
        <w:t xml:space="preserve"> which could be linked to its Google Ads account (earlier Google AdWords and Google AdWords Express).</w:t>
      </w:r>
      <w:r w:rsidRPr="002E722F">
        <w:rPr>
          <w:rStyle w:val="EndnoteReference"/>
          <w:color w:val="000000" w:themeColor="text1"/>
          <w:spacing w:val="-2"/>
          <w:lang w:val="en-GB"/>
        </w:rPr>
        <w:endnoteReference w:id="21"/>
      </w:r>
      <w:r w:rsidRPr="002E722F">
        <w:rPr>
          <w:color w:val="000000" w:themeColor="text1"/>
          <w:spacing w:val="-2"/>
          <w:lang w:val="en-GB"/>
        </w:rPr>
        <w:t xml:space="preserve"> In 2013, Google acquired Waze Mobile (Waze), a crowdsourced mobile traffic advisory device and navigation service, for $966 million—not only to add Waze’s traffic-updating features to its Google Maps but also to reduce competition. By 2018, the Global Positioning System navigation software had reached 100 million monthly active users.</w:t>
      </w:r>
      <w:r w:rsidRPr="002E722F">
        <w:rPr>
          <w:rStyle w:val="EndnoteReference"/>
          <w:color w:val="000000" w:themeColor="text1"/>
          <w:spacing w:val="-2"/>
          <w:lang w:val="en-GB"/>
        </w:rPr>
        <w:endnoteReference w:id="22"/>
      </w:r>
    </w:p>
    <w:p w14:paraId="4FAA05FF" w14:textId="77777777" w:rsidR="006A4508" w:rsidRPr="00E006A9" w:rsidRDefault="006A4508" w:rsidP="00D4055D">
      <w:pPr>
        <w:pStyle w:val="BodyTextMain"/>
        <w:rPr>
          <w:color w:val="000000" w:themeColor="text1"/>
          <w:lang w:val="en-GB"/>
        </w:rPr>
      </w:pPr>
    </w:p>
    <w:p w14:paraId="48B4F69B" w14:textId="2DB2F567" w:rsidR="006A4508" w:rsidRPr="00E006A9" w:rsidRDefault="006A4508" w:rsidP="00D4055D">
      <w:pPr>
        <w:pStyle w:val="BodyTextMain"/>
        <w:rPr>
          <w:color w:val="000000" w:themeColor="text1"/>
          <w:lang w:val="en-GB"/>
        </w:rPr>
      </w:pPr>
      <w:r w:rsidRPr="00E006A9">
        <w:rPr>
          <w:rStyle w:val="mntl-sc-block-headingtext"/>
          <w:color w:val="000000" w:themeColor="text1"/>
          <w:lang w:val="en-GB"/>
        </w:rPr>
        <w:t>In 2014, Google bought Nest</w:t>
      </w:r>
      <w:r w:rsidRPr="00E006A9">
        <w:rPr>
          <w:rStyle w:val="apple-converted-space"/>
          <w:i/>
          <w:color w:val="000000" w:themeColor="text1"/>
          <w:lang w:val="en-GB"/>
        </w:rPr>
        <w:t xml:space="preserve"> </w:t>
      </w:r>
      <w:r w:rsidRPr="00E006A9">
        <w:rPr>
          <w:rStyle w:val="apple-converted-space"/>
          <w:iCs/>
          <w:color w:val="000000" w:themeColor="text1"/>
          <w:lang w:val="en-GB"/>
        </w:rPr>
        <w:t>Labs</w:t>
      </w:r>
      <w:r w:rsidRPr="00E006A9">
        <w:rPr>
          <w:rStyle w:val="apple-converted-space"/>
          <w:i/>
          <w:color w:val="000000" w:themeColor="text1"/>
          <w:lang w:val="en-GB"/>
        </w:rPr>
        <w:t xml:space="preserve"> </w:t>
      </w:r>
      <w:r w:rsidRPr="00E006A9">
        <w:rPr>
          <w:rStyle w:val="apple-converted-space"/>
          <w:iCs/>
          <w:color w:val="000000" w:themeColor="text1"/>
          <w:lang w:val="en-GB"/>
        </w:rPr>
        <w:t>for</w:t>
      </w:r>
      <w:r w:rsidRPr="00E006A9">
        <w:rPr>
          <w:rStyle w:val="apple-converted-space"/>
          <w:i/>
          <w:color w:val="000000" w:themeColor="text1"/>
          <w:lang w:val="en-GB"/>
        </w:rPr>
        <w:t xml:space="preserve"> </w:t>
      </w:r>
      <w:r w:rsidRPr="00E006A9">
        <w:rPr>
          <w:color w:val="000000" w:themeColor="text1"/>
          <w:lang w:val="en-GB"/>
        </w:rPr>
        <w:t xml:space="preserve">$3.2 billion to create Google Nest, a range of </w:t>
      </w:r>
      <w:r>
        <w:rPr>
          <w:color w:val="000000" w:themeColor="text1"/>
          <w:lang w:val="en-GB"/>
        </w:rPr>
        <w:t>smart home</w:t>
      </w:r>
      <w:r w:rsidRPr="00E006A9">
        <w:rPr>
          <w:color w:val="000000" w:themeColor="text1"/>
          <w:lang w:val="en-GB"/>
        </w:rPr>
        <w:t xml:space="preserve"> products such as security alarm systems, security cameras, Wi-Fi routers, and home assistance devices.</w:t>
      </w:r>
      <w:r w:rsidRPr="00E006A9">
        <w:rPr>
          <w:rStyle w:val="EndnoteReference"/>
          <w:color w:val="000000" w:themeColor="text1"/>
          <w:lang w:val="en-GB"/>
        </w:rPr>
        <w:endnoteReference w:id="23"/>
      </w:r>
      <w:r w:rsidRPr="00E006A9">
        <w:rPr>
          <w:color w:val="000000" w:themeColor="text1"/>
          <w:lang w:val="en-GB"/>
        </w:rPr>
        <w:t xml:space="preserve"> In 2017, Google acquired part of smartphone maker HTC Corporation for $1.1 billion</w:t>
      </w:r>
      <w:r w:rsidRPr="00E006A9">
        <w:rPr>
          <w:rStyle w:val="Strong"/>
          <w:color w:val="000000" w:themeColor="text1"/>
          <w:lang w:val="en-GB"/>
        </w:rPr>
        <w:t xml:space="preserve"> </w:t>
      </w:r>
      <w:r w:rsidRPr="00E006A9">
        <w:rPr>
          <w:color w:val="000000" w:themeColor="text1"/>
          <w:lang w:val="en-GB"/>
        </w:rPr>
        <w:t>to make its Pixel smartphones, and</w:t>
      </w:r>
      <w:r>
        <w:rPr>
          <w:color w:val="000000" w:themeColor="text1"/>
          <w:lang w:val="en-GB"/>
        </w:rPr>
        <w:t>,</w:t>
      </w:r>
      <w:r w:rsidRPr="00E006A9">
        <w:rPr>
          <w:color w:val="000000" w:themeColor="text1"/>
          <w:lang w:val="en-GB"/>
        </w:rPr>
        <w:t xml:space="preserve"> in</w:t>
      </w:r>
      <w:r w:rsidRPr="00E006A9">
        <w:rPr>
          <w:rStyle w:val="Hyperlink"/>
          <w:color w:val="000000" w:themeColor="text1"/>
          <w:u w:val="none"/>
          <w:lang w:val="en-GB"/>
        </w:rPr>
        <w:t xml:space="preserve"> </w:t>
      </w:r>
      <w:r w:rsidRPr="00E006A9">
        <w:rPr>
          <w:color w:val="000000" w:themeColor="text1"/>
          <w:lang w:val="en-GB"/>
        </w:rPr>
        <w:t>2019, it paid watchmaker Fossil Group Inc. $40 million for wearable technology from its research and development (R&amp;D) team.</w:t>
      </w:r>
      <w:r w:rsidRPr="00E006A9">
        <w:rPr>
          <w:rStyle w:val="EndnoteReference"/>
          <w:color w:val="000000" w:themeColor="text1"/>
          <w:lang w:val="en-GB"/>
        </w:rPr>
        <w:endnoteReference w:id="24"/>
      </w:r>
    </w:p>
    <w:p w14:paraId="0BE74CD5" w14:textId="77777777" w:rsidR="006A4508" w:rsidRPr="00E006A9" w:rsidRDefault="006A4508" w:rsidP="00D4055D">
      <w:pPr>
        <w:pStyle w:val="BodyTextMain"/>
        <w:rPr>
          <w:rStyle w:val="apple-converted-space"/>
          <w:b/>
          <w:color w:val="000000" w:themeColor="text1"/>
          <w:lang w:val="en-GB"/>
        </w:rPr>
      </w:pPr>
    </w:p>
    <w:p w14:paraId="4F091E9C" w14:textId="77777777" w:rsidR="006A4508" w:rsidRPr="00E006A9" w:rsidRDefault="006A4508" w:rsidP="006A3820">
      <w:pPr>
        <w:pStyle w:val="NoSpacing"/>
        <w:jc w:val="both"/>
        <w:rPr>
          <w:color w:val="000000" w:themeColor="text1"/>
          <w:lang w:val="en-GB"/>
        </w:rPr>
      </w:pPr>
    </w:p>
    <w:p w14:paraId="2DDE31AA" w14:textId="1548CFF9" w:rsidR="006A4508" w:rsidRPr="00E006A9" w:rsidRDefault="006A4508" w:rsidP="006A3820">
      <w:pPr>
        <w:keepNext/>
        <w:jc w:val="both"/>
        <w:rPr>
          <w:rFonts w:ascii="Arial" w:hAnsi="Arial"/>
          <w:b/>
          <w:color w:val="000000" w:themeColor="text1"/>
          <w:lang w:val="en-GB"/>
        </w:rPr>
      </w:pPr>
      <w:r w:rsidRPr="00E006A9">
        <w:rPr>
          <w:rFonts w:ascii="Arial" w:hAnsi="Arial"/>
          <w:b/>
          <w:color w:val="000000" w:themeColor="text1"/>
          <w:lang w:val="en-GB"/>
        </w:rPr>
        <w:t>COMPANY BACKGROUND—FITBIT</w:t>
      </w:r>
    </w:p>
    <w:p w14:paraId="03AFADB4" w14:textId="77777777" w:rsidR="006A4508" w:rsidRPr="00E006A9" w:rsidRDefault="006A4508" w:rsidP="006A3820">
      <w:pPr>
        <w:keepNext/>
        <w:jc w:val="both"/>
        <w:rPr>
          <w:rFonts w:ascii="Arial" w:hAnsi="Arial"/>
          <w:b/>
          <w:color w:val="000000" w:themeColor="text1"/>
          <w:lang w:val="en-GB"/>
        </w:rPr>
      </w:pPr>
    </w:p>
    <w:p w14:paraId="40242564" w14:textId="692FD70C" w:rsidR="006A4508" w:rsidRPr="00E006A9" w:rsidRDefault="006A4508" w:rsidP="006A3820">
      <w:pPr>
        <w:pStyle w:val="BodyTextMain"/>
        <w:keepNext/>
        <w:rPr>
          <w:lang w:val="en-GB"/>
        </w:rPr>
      </w:pPr>
      <w:r w:rsidRPr="00E006A9">
        <w:rPr>
          <w:lang w:val="en-GB"/>
        </w:rPr>
        <w:t>Eric Friedman and James Park founded Fitbit in 2007 when they realized that sensors such as accelerometers could be used with small devices.</w:t>
      </w:r>
      <w:r w:rsidRPr="00E006A9">
        <w:rPr>
          <w:rStyle w:val="EndnoteReference"/>
          <w:color w:val="000000" w:themeColor="text1"/>
          <w:lang w:val="en-GB"/>
        </w:rPr>
        <w:endnoteReference w:id="25"/>
      </w:r>
      <w:r w:rsidRPr="00E006A9">
        <w:rPr>
          <w:lang w:val="en-GB"/>
        </w:rPr>
        <w:t xml:space="preserve"> Within two years, Fitbit became the first mover in the wearable technology space in 2009 by integrating sensors and wireless technology into a wearable device to change the health and fitness experience.</w:t>
      </w:r>
      <w:r w:rsidRPr="00E006A9">
        <w:rPr>
          <w:rStyle w:val="EndnoteReference"/>
          <w:color w:val="000000" w:themeColor="text1"/>
          <w:lang w:val="en-GB"/>
        </w:rPr>
        <w:endnoteReference w:id="26"/>
      </w:r>
      <w:r w:rsidRPr="00E006A9">
        <w:rPr>
          <w:lang w:val="en-GB"/>
        </w:rPr>
        <w:t xml:space="preserve"> In 2011, Fitbit launched Fitbit Ultra, the first wearable device to be integrated with iPhone, with features such as a built-in altimeter that measured vertical steps via a stair tracker, a digital clock, a stopwatch challenge for beating previous running times, and a motivational message system called Chatter. In 2012, it launched the Fitbit One and the Fitbit Zip, which were the first wireless fitness trackers to use Bluetooth Smart and Bluetooth 4.0, respectively. By 2014, Fitbit had become the top fitness app in </w:t>
      </w:r>
      <w:r>
        <w:rPr>
          <w:lang w:val="en-GB"/>
        </w:rPr>
        <w:t xml:space="preserve">the </w:t>
      </w:r>
      <w:r w:rsidRPr="00E006A9">
        <w:rPr>
          <w:lang w:val="en-GB"/>
        </w:rPr>
        <w:t>Apple Inc. (Apple) App Store.</w:t>
      </w:r>
      <w:r w:rsidRPr="00E006A9">
        <w:rPr>
          <w:rStyle w:val="EndnoteReference"/>
          <w:color w:val="000000" w:themeColor="text1"/>
          <w:lang w:val="en-GB"/>
        </w:rPr>
        <w:endnoteReference w:id="27"/>
      </w:r>
      <w:r w:rsidRPr="00E006A9">
        <w:rPr>
          <w:lang w:val="en-GB"/>
        </w:rPr>
        <w:t xml:space="preserve"> In 2015, a year that also saw the entry of Apple into the smartwatch market, Fitbit was the leading brand in the wearable category. That year, the company shipped more than 18 million fitness trackers all over the world. In 2016, Fitbit launched four new devices and led the wearables industry</w:t>
      </w:r>
      <w:r w:rsidRPr="00E006A9">
        <w:rPr>
          <w:lang w:val="en-GB"/>
        </w:rPr>
        <w:sym w:font="Symbol" w:char="F0BE"/>
      </w:r>
      <w:r w:rsidRPr="00E006A9">
        <w:rPr>
          <w:lang w:val="en-GB"/>
        </w:rPr>
        <w:t>ahead of Apple and Xiaomi Corporation (Xiaomi).</w:t>
      </w:r>
      <w:r w:rsidRPr="00E006A9">
        <w:rPr>
          <w:rStyle w:val="EndnoteReference"/>
          <w:color w:val="000000" w:themeColor="text1"/>
          <w:lang w:val="en-GB"/>
        </w:rPr>
        <w:endnoteReference w:id="28"/>
      </w:r>
      <w:r w:rsidRPr="00E006A9">
        <w:rPr>
          <w:lang w:val="en-GB"/>
        </w:rPr>
        <w:t xml:space="preserve"> While 2016 was Fitbit’s best year, between 2017 and 2019 other players such as Apple, Samsung Electronics Co. Ltd. (Samsung), and Xiaomi started catching up, and by the third quarter of 2019, ahead of the buyout, Fitbit </w:t>
      </w:r>
      <w:r w:rsidRPr="00E006A9">
        <w:rPr>
          <w:lang w:val="en-GB"/>
        </w:rPr>
        <w:lastRenderedPageBreak/>
        <w:t>had slipped to fifth position in the industry with only a shrunken 4.1 per cent market share of wearable device unit shipments worldwide and Apple leading with a 35 per cent share.</w:t>
      </w:r>
      <w:r w:rsidRPr="00E006A9">
        <w:rPr>
          <w:rStyle w:val="EndnoteReference"/>
          <w:color w:val="000000" w:themeColor="text1"/>
          <w:lang w:val="en-GB"/>
        </w:rPr>
        <w:endnoteReference w:id="29"/>
      </w:r>
    </w:p>
    <w:p w14:paraId="00597F43" w14:textId="77777777" w:rsidR="006A4508" w:rsidRPr="00E006A9" w:rsidRDefault="006A4508" w:rsidP="006A3820">
      <w:pPr>
        <w:pStyle w:val="BodyTextMain"/>
        <w:rPr>
          <w:lang w:val="en-GB"/>
        </w:rPr>
      </w:pPr>
    </w:p>
    <w:p w14:paraId="45BB56FA" w14:textId="6B59D7F9" w:rsidR="006A4508" w:rsidRPr="00930549" w:rsidRDefault="006A4508" w:rsidP="006A3820">
      <w:pPr>
        <w:pStyle w:val="BodyTextMain"/>
        <w:rPr>
          <w:spacing w:val="-4"/>
          <w:lang w:val="en-GB"/>
        </w:rPr>
      </w:pPr>
      <w:r w:rsidRPr="00930549">
        <w:rPr>
          <w:spacing w:val="-4"/>
          <w:lang w:val="en-GB"/>
        </w:rPr>
        <w:t>Fitbit’s revenue had declined consistently during 2016</w:t>
      </w:r>
      <w:r w:rsidRPr="00930549">
        <w:rPr>
          <w:spacing w:val="-4"/>
          <w:lang w:val="en-GB"/>
        </w:rPr>
        <w:sym w:font="Symbol" w:char="F02D"/>
      </w:r>
      <w:r w:rsidRPr="00930549">
        <w:rPr>
          <w:spacing w:val="-4"/>
          <w:lang w:val="en-GB"/>
        </w:rPr>
        <w:t>2019 (see Exhibit 3 and Exhibit 4).</w:t>
      </w:r>
      <w:r w:rsidRPr="00930549">
        <w:rPr>
          <w:rStyle w:val="EndnoteReference"/>
          <w:color w:val="000000" w:themeColor="text1"/>
          <w:spacing w:val="-4"/>
          <w:lang w:val="en-GB"/>
        </w:rPr>
        <w:endnoteReference w:id="30"/>
      </w:r>
      <w:r w:rsidRPr="00930549">
        <w:rPr>
          <w:spacing w:val="-4"/>
          <w:lang w:val="en-GB"/>
        </w:rPr>
        <w:t xml:space="preserve"> In 2019, the average selling price decreased to $87 per device as the company decided to introduce more accessible and affordable devices. Active users of the company’s products grew by 7 per cent to 29.6 million in 2019, up from 27.6 million in 2018. In 2019, the company maintained its position as second in the United States for smartwatches.</w:t>
      </w:r>
      <w:r w:rsidRPr="00930549">
        <w:rPr>
          <w:rStyle w:val="EndnoteReference"/>
          <w:color w:val="000000" w:themeColor="text1"/>
          <w:spacing w:val="-4"/>
          <w:lang w:val="en-GB"/>
        </w:rPr>
        <w:endnoteReference w:id="31"/>
      </w:r>
    </w:p>
    <w:p w14:paraId="3F049301" w14:textId="77777777" w:rsidR="006A4508" w:rsidRPr="00E006A9" w:rsidRDefault="006A4508" w:rsidP="006A3820">
      <w:pPr>
        <w:pStyle w:val="BodyTextMain"/>
        <w:rPr>
          <w:lang w:val="en-GB"/>
        </w:rPr>
      </w:pPr>
    </w:p>
    <w:p w14:paraId="2D887391" w14:textId="77777777" w:rsidR="006A4508" w:rsidRPr="00E006A9" w:rsidRDefault="006A4508" w:rsidP="006A3820">
      <w:pPr>
        <w:pStyle w:val="BodyTextMain"/>
        <w:rPr>
          <w:lang w:val="en-GB"/>
        </w:rPr>
      </w:pPr>
    </w:p>
    <w:p w14:paraId="6DE66382" w14:textId="0E9D1EE0" w:rsidR="006A4508" w:rsidRPr="00E006A9" w:rsidRDefault="006A4508" w:rsidP="006A3820">
      <w:pPr>
        <w:jc w:val="both"/>
        <w:rPr>
          <w:rFonts w:ascii="Arial" w:hAnsi="Arial"/>
          <w:b/>
          <w:color w:val="000000" w:themeColor="text1"/>
          <w:lang w:val="en-GB"/>
        </w:rPr>
      </w:pPr>
      <w:r w:rsidRPr="00E006A9">
        <w:rPr>
          <w:rFonts w:ascii="Arial" w:hAnsi="Arial"/>
          <w:b/>
          <w:color w:val="000000" w:themeColor="text1"/>
          <w:lang w:val="en-GB"/>
        </w:rPr>
        <w:t>FITBIT AND GOOGLE</w:t>
      </w:r>
    </w:p>
    <w:p w14:paraId="3CB6303F" w14:textId="77777777" w:rsidR="006A4508" w:rsidRPr="00E006A9" w:rsidRDefault="006A4508" w:rsidP="006A3820">
      <w:pPr>
        <w:jc w:val="both"/>
        <w:rPr>
          <w:rFonts w:ascii="Arial" w:hAnsi="Arial"/>
          <w:b/>
          <w:color w:val="000000" w:themeColor="text1"/>
          <w:lang w:val="en-GB"/>
        </w:rPr>
      </w:pPr>
    </w:p>
    <w:p w14:paraId="3A84592E" w14:textId="198BD70E" w:rsidR="006A4508" w:rsidRPr="00930549" w:rsidRDefault="006A4508" w:rsidP="006A3820">
      <w:pPr>
        <w:jc w:val="both"/>
        <w:rPr>
          <w:color w:val="000000" w:themeColor="text1"/>
          <w:spacing w:val="-2"/>
          <w:sz w:val="22"/>
          <w:lang w:val="en-GB"/>
        </w:rPr>
      </w:pPr>
      <w:r w:rsidRPr="00930549">
        <w:rPr>
          <w:color w:val="000000" w:themeColor="text1"/>
          <w:spacing w:val="-2"/>
          <w:sz w:val="22"/>
          <w:lang w:val="en-GB"/>
        </w:rPr>
        <w:t>By 2016, which turned out to be Fitbit’s best year, the smartwatch industry was packed, with Apple, Xiaomi, and Samsung entering the fray with Apple Watch, Mi Band, and Galaxy smartwatches, respectively. These companies, with their superior hardware and deep market reach, started to puncture Fitbit’s success bubble,</w:t>
      </w:r>
      <w:r w:rsidRPr="00930549">
        <w:rPr>
          <w:rStyle w:val="EndnoteReference"/>
          <w:color w:val="000000" w:themeColor="text1"/>
          <w:spacing w:val="-2"/>
          <w:sz w:val="22"/>
          <w:lang w:val="en-GB"/>
        </w:rPr>
        <w:endnoteReference w:id="32"/>
      </w:r>
      <w:r w:rsidRPr="00930549">
        <w:rPr>
          <w:color w:val="000000" w:themeColor="text1"/>
          <w:spacing w:val="-2"/>
          <w:sz w:val="22"/>
          <w:lang w:val="en-GB"/>
        </w:rPr>
        <w:t xml:space="preserve"> and Fitbit’s revenue declined consistently from 2016 to 2019.</w:t>
      </w:r>
      <w:r w:rsidRPr="00930549">
        <w:rPr>
          <w:rStyle w:val="EndnoteReference"/>
          <w:color w:val="000000" w:themeColor="text1"/>
          <w:spacing w:val="-2"/>
          <w:sz w:val="22"/>
          <w:lang w:val="en-GB"/>
        </w:rPr>
        <w:endnoteReference w:id="33"/>
      </w:r>
      <w:r w:rsidRPr="00930549">
        <w:rPr>
          <w:color w:val="000000" w:themeColor="text1"/>
          <w:spacing w:val="-2"/>
          <w:sz w:val="22"/>
          <w:lang w:val="en-GB"/>
        </w:rPr>
        <w:t xml:space="preserve"> In the fitness tracker market, Chinese players Xiaomi and Huawei Technologies Co. Ltd. (Huawei) were the aggressive challengers. Fitbit struggled in the smartwatch segment and found it difficult to resist competition from Apple Watch, with its advanced features and tight integration with the Apple ecosystem. While Google was successful in the smartphone market, its wearable devices had failed to attract customers; hence, the Fitbit buyout was of immense importance to Google. It would give it access to an established wearables business, intellectual property (via Fitbit’s multiple health-care-related acquisitions), and an immense store of health-related data.</w:t>
      </w:r>
      <w:r w:rsidRPr="00930549">
        <w:rPr>
          <w:rStyle w:val="EndnoteReference"/>
          <w:color w:val="000000" w:themeColor="text1"/>
          <w:spacing w:val="-2"/>
          <w:sz w:val="22"/>
          <w:lang w:val="en-GB"/>
        </w:rPr>
        <w:endnoteReference w:id="34"/>
      </w:r>
    </w:p>
    <w:p w14:paraId="3CF2EC2B" w14:textId="77777777" w:rsidR="006A4508" w:rsidRPr="00E006A9" w:rsidRDefault="006A4508" w:rsidP="006A3820">
      <w:pPr>
        <w:jc w:val="both"/>
        <w:rPr>
          <w:color w:val="000000" w:themeColor="text1"/>
          <w:sz w:val="22"/>
          <w:lang w:val="en-GB"/>
        </w:rPr>
      </w:pPr>
    </w:p>
    <w:p w14:paraId="025E035F" w14:textId="79926EE4" w:rsidR="006A4508" w:rsidRPr="00E006A9" w:rsidRDefault="006A4508" w:rsidP="006A3820">
      <w:pPr>
        <w:jc w:val="both"/>
        <w:rPr>
          <w:color w:val="000000" w:themeColor="text1"/>
          <w:sz w:val="22"/>
          <w:lang w:val="en-GB"/>
        </w:rPr>
      </w:pPr>
      <w:r w:rsidRPr="00E006A9">
        <w:rPr>
          <w:color w:val="000000" w:themeColor="text1"/>
          <w:sz w:val="22"/>
          <w:lang w:val="en-GB"/>
        </w:rPr>
        <w:t>Fitbit’s previous collaboration with Google to increase competence with regard to data sharing with medical professionals was believed to have sped up the 2021 buyout. In 2018, Fitbit had adopted Google Cloud Healthcare</w:t>
      </w:r>
      <w:r w:rsidR="00F825D9">
        <w:rPr>
          <w:color w:val="000000" w:themeColor="text1"/>
          <w:sz w:val="22"/>
          <w:lang w:val="en-GB"/>
        </w:rPr>
        <w:t xml:space="preserve"> API</w:t>
      </w:r>
      <w:r w:rsidRPr="00E006A9">
        <w:rPr>
          <w:color w:val="000000" w:themeColor="text1"/>
          <w:sz w:val="22"/>
          <w:lang w:val="en-GB"/>
        </w:rPr>
        <w:t xml:space="preserve"> to enable users to rapidly share information about their well-being with medical professionals, indicating its need for a partner to penetrate the </w:t>
      </w:r>
      <w:r>
        <w:rPr>
          <w:color w:val="000000" w:themeColor="text1"/>
          <w:sz w:val="22"/>
          <w:lang w:val="en-GB"/>
        </w:rPr>
        <w:t>health care</w:t>
      </w:r>
      <w:r w:rsidRPr="00E006A9">
        <w:rPr>
          <w:color w:val="000000" w:themeColor="text1"/>
          <w:sz w:val="22"/>
          <w:lang w:val="en-GB"/>
        </w:rPr>
        <w:t xml:space="preserve"> services market, and Google’s buyout came at an opportune time.</w:t>
      </w:r>
      <w:r w:rsidRPr="00E006A9">
        <w:rPr>
          <w:rStyle w:val="EndnoteReference"/>
          <w:color w:val="000000" w:themeColor="text1"/>
          <w:sz w:val="22"/>
          <w:lang w:val="en-GB"/>
        </w:rPr>
        <w:endnoteReference w:id="35"/>
      </w:r>
      <w:r w:rsidRPr="00E006A9">
        <w:rPr>
          <w:color w:val="000000" w:themeColor="text1"/>
          <w:sz w:val="22"/>
          <w:lang w:val="en-GB"/>
        </w:rPr>
        <w:t xml:space="preserve"> While Fitbit brought its large user base and health and fitness expertise to the table, Google provided the financial support needed to progress to the next level.</w:t>
      </w:r>
      <w:r w:rsidRPr="00E006A9">
        <w:rPr>
          <w:rStyle w:val="EndnoteReference"/>
          <w:color w:val="000000" w:themeColor="text1"/>
          <w:sz w:val="22"/>
          <w:lang w:val="en-GB"/>
        </w:rPr>
        <w:endnoteReference w:id="36"/>
      </w:r>
      <w:r w:rsidRPr="00E006A9">
        <w:rPr>
          <w:color w:val="000000" w:themeColor="text1"/>
          <w:sz w:val="22"/>
          <w:lang w:val="en-GB"/>
        </w:rPr>
        <w:t xml:space="preserve"> This acquisition was seen by industry observers as Google’s entry into a ready wearables business, </w:t>
      </w:r>
      <w:r>
        <w:rPr>
          <w:color w:val="000000" w:themeColor="text1"/>
          <w:sz w:val="22"/>
          <w:lang w:val="en-GB"/>
        </w:rPr>
        <w:t xml:space="preserve">with Google </w:t>
      </w:r>
      <w:r w:rsidRPr="00E006A9">
        <w:rPr>
          <w:color w:val="000000" w:themeColor="text1"/>
          <w:sz w:val="22"/>
          <w:lang w:val="en-GB"/>
        </w:rPr>
        <w:t>gaining Fitbit’s enviable health-care-related partnerships and data, as well as its hardware capabilities.</w:t>
      </w:r>
      <w:r w:rsidRPr="00E006A9">
        <w:rPr>
          <w:rStyle w:val="EndnoteReference"/>
          <w:color w:val="000000" w:themeColor="text1"/>
          <w:sz w:val="22"/>
          <w:lang w:val="en-GB"/>
        </w:rPr>
        <w:endnoteReference w:id="37"/>
      </w:r>
    </w:p>
    <w:p w14:paraId="6BB3F5D4" w14:textId="4E5AF075" w:rsidR="006A4508" w:rsidRPr="00E006A9" w:rsidRDefault="006A4508" w:rsidP="006A3820">
      <w:pPr>
        <w:jc w:val="both"/>
        <w:rPr>
          <w:rFonts w:ascii="Arial" w:hAnsi="Arial"/>
          <w:b/>
          <w:color w:val="000000" w:themeColor="text1"/>
          <w:lang w:val="en-GB"/>
        </w:rPr>
      </w:pPr>
    </w:p>
    <w:p w14:paraId="11C7933F" w14:textId="77777777" w:rsidR="006A4508" w:rsidRPr="00E006A9" w:rsidRDefault="006A4508" w:rsidP="006A3820">
      <w:pPr>
        <w:jc w:val="both"/>
        <w:rPr>
          <w:rFonts w:ascii="Arial" w:hAnsi="Arial"/>
          <w:b/>
          <w:color w:val="000000" w:themeColor="text1"/>
          <w:lang w:val="en-GB"/>
        </w:rPr>
      </w:pPr>
    </w:p>
    <w:p w14:paraId="19D28C2F" w14:textId="5CC2C999" w:rsidR="006A4508" w:rsidRPr="00E006A9" w:rsidRDefault="006A4508" w:rsidP="004A7682">
      <w:pPr>
        <w:pStyle w:val="CommentText"/>
        <w:rPr>
          <w:rFonts w:ascii="Arial" w:hAnsi="Arial" w:cs="Arial"/>
          <w:b/>
          <w:bCs/>
          <w:lang w:val="en-GB"/>
        </w:rPr>
      </w:pPr>
      <w:r w:rsidRPr="00E006A9">
        <w:rPr>
          <w:rFonts w:ascii="Arial" w:hAnsi="Arial" w:cs="Arial"/>
          <w:b/>
          <w:bCs/>
          <w:lang w:val="en-GB"/>
        </w:rPr>
        <w:t>WEARABLES AND HEALTH CARE</w:t>
      </w:r>
    </w:p>
    <w:p w14:paraId="3D589F1F" w14:textId="77777777" w:rsidR="006A4508" w:rsidRPr="00E006A9" w:rsidRDefault="006A4508" w:rsidP="004A7682">
      <w:pPr>
        <w:pStyle w:val="CommentText"/>
        <w:rPr>
          <w:lang w:val="en-GB"/>
        </w:rPr>
      </w:pPr>
    </w:p>
    <w:p w14:paraId="0BDD3D02" w14:textId="0213B7C3" w:rsidR="006A4508" w:rsidRPr="00E006A9" w:rsidRDefault="006A4508" w:rsidP="009202EB">
      <w:pPr>
        <w:jc w:val="both"/>
        <w:rPr>
          <w:sz w:val="22"/>
          <w:szCs w:val="22"/>
          <w:lang w:val="en-GB" w:bidi="hi-IN"/>
        </w:rPr>
      </w:pPr>
      <w:r w:rsidRPr="00E006A9">
        <w:rPr>
          <w:sz w:val="22"/>
          <w:szCs w:val="22"/>
          <w:lang w:val="en-GB" w:bidi="hi-IN"/>
        </w:rPr>
        <w:t xml:space="preserve">In a data-driven world, it was only a matter of time before Internet connectivity, mobility, and digitization </w:t>
      </w:r>
      <w:r w:rsidRPr="00E006A9">
        <w:rPr>
          <w:sz w:val="22"/>
          <w:szCs w:val="22"/>
          <w:lang w:val="en-GB"/>
        </w:rPr>
        <w:t>would lead health care to look at opportunities in wearable technology</w:t>
      </w:r>
      <w:r w:rsidRPr="00E006A9">
        <w:rPr>
          <w:sz w:val="22"/>
          <w:szCs w:val="22"/>
          <w:lang w:val="en-GB" w:bidi="hi-IN"/>
        </w:rPr>
        <w:t xml:space="preserve">. With digital health care and wearable technology both booming, </w:t>
      </w:r>
      <w:r w:rsidRPr="00E006A9">
        <w:rPr>
          <w:sz w:val="22"/>
          <w:szCs w:val="22"/>
          <w:lang w:val="en-GB"/>
        </w:rPr>
        <w:t>a coming together of the two</w:t>
      </w:r>
      <w:r w:rsidRPr="00E006A9" w:rsidDel="00FD1238">
        <w:rPr>
          <w:sz w:val="22"/>
          <w:szCs w:val="22"/>
          <w:lang w:val="en-GB" w:bidi="hi-IN"/>
        </w:rPr>
        <w:t xml:space="preserve"> </w:t>
      </w:r>
      <w:r w:rsidRPr="00E006A9">
        <w:rPr>
          <w:sz w:val="22"/>
          <w:szCs w:val="22"/>
          <w:lang w:val="en-GB" w:bidi="hi-IN"/>
        </w:rPr>
        <w:t xml:space="preserve">was expected to have considerable impact not only on the health care services and wearable </w:t>
      </w:r>
      <w:r>
        <w:rPr>
          <w:sz w:val="22"/>
          <w:szCs w:val="22"/>
          <w:lang w:val="en-GB" w:bidi="hi-IN"/>
        </w:rPr>
        <w:t>technology</w:t>
      </w:r>
      <w:r w:rsidRPr="00E006A9">
        <w:rPr>
          <w:sz w:val="22"/>
          <w:szCs w:val="22"/>
          <w:lang w:val="en-GB" w:bidi="hi-IN"/>
        </w:rPr>
        <w:t xml:space="preserve"> markets</w:t>
      </w:r>
      <w:r w:rsidR="00F91430">
        <w:rPr>
          <w:sz w:val="22"/>
          <w:szCs w:val="22"/>
          <w:lang w:val="en-GB" w:bidi="hi-IN"/>
        </w:rPr>
        <w:t>,</w:t>
      </w:r>
      <w:r w:rsidRPr="00E006A9">
        <w:rPr>
          <w:sz w:val="22"/>
          <w:szCs w:val="22"/>
          <w:lang w:val="en-GB" w:bidi="hi-IN"/>
        </w:rPr>
        <w:t xml:space="preserve"> but also on decision-making across users and industries, including </w:t>
      </w:r>
      <w:r w:rsidRPr="00E006A9">
        <w:rPr>
          <w:sz w:val="22"/>
          <w:szCs w:val="22"/>
          <w:lang w:val="en-GB"/>
        </w:rPr>
        <w:t>the medical sector, insurers, network providers, and technology companies.</w:t>
      </w:r>
    </w:p>
    <w:p w14:paraId="417A39E9" w14:textId="77777777" w:rsidR="006A4508" w:rsidRPr="00E006A9" w:rsidRDefault="006A4508" w:rsidP="00FB1470">
      <w:pPr>
        <w:pStyle w:val="BodyTextMain"/>
        <w:rPr>
          <w:lang w:val="en-GB"/>
        </w:rPr>
      </w:pPr>
    </w:p>
    <w:p w14:paraId="096872BE" w14:textId="77777777" w:rsidR="006A4508" w:rsidRPr="00E006A9" w:rsidRDefault="006A4508" w:rsidP="00FB1470">
      <w:pPr>
        <w:pStyle w:val="BodyTextMain"/>
        <w:rPr>
          <w:lang w:val="en-GB"/>
        </w:rPr>
      </w:pPr>
    </w:p>
    <w:p w14:paraId="71EAA732" w14:textId="4ACE0229" w:rsidR="006A4508" w:rsidRPr="00E006A9" w:rsidRDefault="006A4508" w:rsidP="00FB1470">
      <w:pPr>
        <w:pStyle w:val="Casehead2"/>
        <w:rPr>
          <w:lang w:val="en-GB"/>
        </w:rPr>
      </w:pPr>
      <w:r w:rsidRPr="00E006A9">
        <w:rPr>
          <w:lang w:val="en-GB"/>
        </w:rPr>
        <w:t>Wearable Devices and Smartwatches Market and Trends</w:t>
      </w:r>
    </w:p>
    <w:p w14:paraId="358662A8" w14:textId="77777777" w:rsidR="006A4508" w:rsidRPr="00E006A9" w:rsidRDefault="006A4508" w:rsidP="00C75D9F">
      <w:pPr>
        <w:pStyle w:val="BodyTextMain"/>
        <w:rPr>
          <w:lang w:val="en-GB"/>
        </w:rPr>
      </w:pPr>
    </w:p>
    <w:p w14:paraId="521D308F" w14:textId="72BDEBCB" w:rsidR="006A4508" w:rsidRPr="00E006A9" w:rsidRDefault="006A4508" w:rsidP="00C75D9F">
      <w:pPr>
        <w:pStyle w:val="BodyTextMain"/>
        <w:rPr>
          <w:lang w:val="en-GB"/>
        </w:rPr>
      </w:pPr>
      <w:r w:rsidRPr="00E006A9">
        <w:rPr>
          <w:lang w:val="en-GB"/>
        </w:rPr>
        <w:t>According to data analysis firm International Data Corporation,</w:t>
      </w:r>
      <w:r w:rsidRPr="00E006A9">
        <w:rPr>
          <w:rStyle w:val="apple-converted-space"/>
          <w:color w:val="000000" w:themeColor="text1"/>
          <w:lang w:val="en-GB"/>
        </w:rPr>
        <w:t xml:space="preserve"> </w:t>
      </w:r>
      <w:r w:rsidRPr="00E006A9">
        <w:rPr>
          <w:lang w:val="en-GB"/>
        </w:rPr>
        <w:t>wearable devices sales reached 336.5 million units in 2019, with Apple leading the market at 106.5 million shipments, followed by Xiaomi, Samsung, Huawei, and Fitbit (see Exhibit 5 and Exhibit 6). In 2019, Fitbit’s worldwide shipments of smart wearables stood at 15.9 million units.</w:t>
      </w:r>
      <w:r w:rsidRPr="00E006A9">
        <w:rPr>
          <w:rStyle w:val="EndnoteReference"/>
          <w:color w:val="000000" w:themeColor="text1"/>
          <w:lang w:val="en-GB"/>
        </w:rPr>
        <w:endnoteReference w:id="38"/>
      </w:r>
      <w:r w:rsidRPr="00E006A9">
        <w:rPr>
          <w:lang w:val="en-GB"/>
        </w:rPr>
        <w:t xml:space="preserve"> The worldwide smartwatch market was $20.64 billion in 2019 and was expected to reach $96.31 billion by 2027, registering a compound annual growth rate (CAGR) of 19.6 per cent from 2020 to 2027.</w:t>
      </w:r>
      <w:r w:rsidRPr="00E006A9">
        <w:rPr>
          <w:rStyle w:val="EndnoteReference"/>
          <w:color w:val="000000" w:themeColor="text1"/>
          <w:lang w:val="en-GB"/>
        </w:rPr>
        <w:endnoteReference w:id="39"/>
      </w:r>
    </w:p>
    <w:p w14:paraId="44DCC07B" w14:textId="77777777" w:rsidR="006A4508" w:rsidRPr="00E006A9" w:rsidRDefault="006A4508" w:rsidP="00C75D9F">
      <w:pPr>
        <w:pStyle w:val="BodyTextMain"/>
        <w:rPr>
          <w:lang w:val="en-GB"/>
        </w:rPr>
      </w:pPr>
    </w:p>
    <w:p w14:paraId="269A5948" w14:textId="2A6E14D8" w:rsidR="006A4508" w:rsidRPr="00E006A9" w:rsidRDefault="006A4508" w:rsidP="00A26B58">
      <w:pPr>
        <w:pStyle w:val="BodyTextMain"/>
        <w:rPr>
          <w:lang w:val="en-GB"/>
        </w:rPr>
      </w:pPr>
      <w:r w:rsidRPr="00E006A9">
        <w:rPr>
          <w:lang w:val="en-GB"/>
        </w:rPr>
        <w:lastRenderedPageBreak/>
        <w:t xml:space="preserve">In the holiday quarter of 2018, both Samsung and Fitbit quadrupled the delivery of smartwatch units against a similar period the previous year—a development that led to Apple’s market share dropping by over 15 per cent over a similar period, though it continued to dominate a large portion of the market. Sales were expanding for players in the industry, with the exception of Google. Although </w:t>
      </w:r>
      <w:r>
        <w:rPr>
          <w:lang w:val="en-GB"/>
        </w:rPr>
        <w:t>Google</w:t>
      </w:r>
      <w:r w:rsidRPr="00E006A9">
        <w:rPr>
          <w:lang w:val="en-GB"/>
        </w:rPr>
        <w:t xml:space="preserve"> did not have smartwatches of its own, Wear OS was a version of its Android operating system and was compatible with all Android devices. However, most well-known smartwatch brands used their own software.</w:t>
      </w:r>
      <w:r w:rsidRPr="00E006A9">
        <w:rPr>
          <w:rStyle w:val="EndnoteReference"/>
          <w:color w:val="000000" w:themeColor="text1"/>
          <w:lang w:val="en-GB"/>
        </w:rPr>
        <w:endnoteReference w:id="40"/>
      </w:r>
    </w:p>
    <w:p w14:paraId="1CC09BFC" w14:textId="77777777" w:rsidR="006A4508" w:rsidRPr="00E006A9" w:rsidRDefault="006A4508" w:rsidP="00C75D9F">
      <w:pPr>
        <w:pStyle w:val="BodyTextMain"/>
        <w:rPr>
          <w:lang w:val="en-GB"/>
        </w:rPr>
      </w:pPr>
    </w:p>
    <w:p w14:paraId="63D1030D" w14:textId="27580121" w:rsidR="006A4508" w:rsidRPr="00930549" w:rsidRDefault="006A4508" w:rsidP="00C75D9F">
      <w:pPr>
        <w:pStyle w:val="BodyTextMain"/>
        <w:rPr>
          <w:spacing w:val="-2"/>
          <w:lang w:val="en-GB"/>
        </w:rPr>
      </w:pPr>
      <w:r w:rsidRPr="00930549">
        <w:rPr>
          <w:spacing w:val="-2"/>
          <w:lang w:val="en-GB"/>
        </w:rPr>
        <w:t>Factors influencing the smartwatch market included a demand surge for wearable fitness devices, higher health awareness, and rapid technological advancements. As part of their strategy, players such as Samsung, Sony Corporation (Sony), Pebble Technology Corporation, and Garmin Limited (Garmin) invested in R&amp;D to encourage constant innovations and increase their market share. Besides investing in R&amp;D, the top players partnered with suppliers and resellers to choose the right channels, regions, and target customers for increasing their market reach.</w:t>
      </w:r>
      <w:r w:rsidRPr="00930549">
        <w:rPr>
          <w:rStyle w:val="EndnoteReference"/>
          <w:color w:val="000000" w:themeColor="text1"/>
          <w:spacing w:val="-2"/>
          <w:lang w:val="en-GB"/>
        </w:rPr>
        <w:endnoteReference w:id="41"/>
      </w:r>
      <w:r w:rsidRPr="00930549">
        <w:rPr>
          <w:spacing w:val="-2"/>
          <w:lang w:val="en-GB"/>
        </w:rPr>
        <w:t xml:space="preserve"> Moreover</w:t>
      </w:r>
      <w:r w:rsidRPr="00930549">
        <w:rPr>
          <w:spacing w:val="-2"/>
        </w:rPr>
        <w:t>, consumers had become more health conscious, especially younger consumers, making wearables extremely attractive. The compact wearables were convenient and user-friendly, which encouraged effortless adoption of the technology.</w:t>
      </w:r>
      <w:r w:rsidRPr="00930549">
        <w:rPr>
          <w:spacing w:val="-2"/>
          <w:shd w:val="clear" w:color="auto" w:fill="FFFFFF"/>
          <w:lang w:val="en-GB"/>
        </w:rPr>
        <w:t xml:space="preserve"> </w:t>
      </w:r>
      <w:r w:rsidRPr="00930549">
        <w:rPr>
          <w:spacing w:val="-2"/>
          <w:lang w:val="en-GB"/>
        </w:rPr>
        <w:t>Besides this, although wearables were simple to use, they could provide users with an experience that could have a significant positive effect on their lifestyle.</w:t>
      </w:r>
      <w:r w:rsidRPr="00930549">
        <w:rPr>
          <w:rStyle w:val="EndnoteReference"/>
          <w:color w:val="000000" w:themeColor="text1"/>
          <w:spacing w:val="-2"/>
          <w:shd w:val="clear" w:color="auto" w:fill="FFFFFF"/>
          <w:lang w:val="en-GB"/>
        </w:rPr>
        <w:endnoteReference w:id="42"/>
      </w:r>
    </w:p>
    <w:p w14:paraId="3CAF933D" w14:textId="77777777" w:rsidR="006A4508" w:rsidRPr="00E006A9" w:rsidRDefault="006A4508" w:rsidP="00C75D9F">
      <w:pPr>
        <w:pStyle w:val="BodyTextMain"/>
        <w:rPr>
          <w:lang w:val="en-GB"/>
        </w:rPr>
      </w:pPr>
    </w:p>
    <w:p w14:paraId="646EF7CA" w14:textId="380AE4A3" w:rsidR="006A4508" w:rsidRPr="00E006A9" w:rsidRDefault="006A4508" w:rsidP="00C75D9F">
      <w:pPr>
        <w:pStyle w:val="BodyTextMain"/>
        <w:rPr>
          <w:lang w:val="en-GB"/>
        </w:rPr>
      </w:pPr>
      <w:r w:rsidRPr="00E006A9">
        <w:rPr>
          <w:lang w:val="en-GB"/>
        </w:rPr>
        <w:t>The smartwatch market was continually evolving because of consumers’ desire</w:t>
      </w:r>
      <w:r w:rsidR="00B921CE">
        <w:rPr>
          <w:lang w:val="en-GB"/>
        </w:rPr>
        <w:t>s</w:t>
      </w:r>
      <w:r w:rsidRPr="00E006A9">
        <w:rPr>
          <w:lang w:val="en-GB"/>
        </w:rPr>
        <w:t xml:space="preserve"> to accessorize their smartphones with fitness and health wearables linked via Bluetooth or Wi-Fi, owing to various lifestyle diseases.</w:t>
      </w:r>
      <w:r w:rsidRPr="00E006A9">
        <w:rPr>
          <w:rStyle w:val="EndnoteReference"/>
          <w:color w:val="000000" w:themeColor="text1"/>
          <w:lang w:val="en-GB"/>
        </w:rPr>
        <w:endnoteReference w:id="43"/>
      </w:r>
      <w:r w:rsidRPr="00E006A9">
        <w:rPr>
          <w:lang w:val="en-GB"/>
        </w:rPr>
        <w:t xml:space="preserve"> Smart wearable devices had features that included monitoring and measuring motor and physical activity (i.e., step count, calorie expenditure, distance, sleep duration, etc.), environment sensors, real-time data collection, communication, and daily task assistance and alerts. As technology advanced, smartwatch makers enabled the devices with artificial intelligence (AI) to ensure smart diagnostics to help doctors monitor patients’ health. Technology innovations and the need for and importance of connected devices and connected ecosystems across industries were expected to propel demand for smartwatches and growth of the smartwatch market globally.</w:t>
      </w:r>
      <w:r w:rsidRPr="00E006A9">
        <w:rPr>
          <w:rStyle w:val="EndnoteReference"/>
          <w:color w:val="000000" w:themeColor="text1"/>
          <w:lang w:val="en-GB"/>
        </w:rPr>
        <w:endnoteReference w:id="44"/>
      </w:r>
    </w:p>
    <w:p w14:paraId="6FCA8C04" w14:textId="035DAEA0" w:rsidR="006A4508" w:rsidRPr="00E006A9" w:rsidRDefault="006A4508" w:rsidP="00C75D9F">
      <w:pPr>
        <w:pStyle w:val="BodyTextMain"/>
        <w:rPr>
          <w:lang w:val="en-GB"/>
        </w:rPr>
      </w:pPr>
    </w:p>
    <w:p w14:paraId="3C00E267" w14:textId="73E21F77" w:rsidR="006A4508" w:rsidRPr="00E006A9" w:rsidRDefault="006A4508" w:rsidP="00C75D9F">
      <w:pPr>
        <w:pStyle w:val="BodyTextMain"/>
        <w:rPr>
          <w:color w:val="000000" w:themeColor="text1"/>
          <w:lang w:val="en-GB"/>
        </w:rPr>
      </w:pPr>
      <w:bookmarkStart w:id="2" w:name="_Hlk69674363"/>
      <w:r w:rsidRPr="00E006A9">
        <w:rPr>
          <w:color w:val="000000" w:themeColor="text1"/>
          <w:lang w:val="en-GB"/>
        </w:rPr>
        <w:t xml:space="preserve">Technology progression, the diminishing expense of assembling wearable devices, elevated levels of health awareness, ease of use, and the entry of large organizations into this segment were the most essential variables driving the development of wearable technology. It had been seen that wearables were popular among individuals over the age of 25. Additionally, </w:t>
      </w:r>
      <w:r w:rsidRPr="00E006A9">
        <w:rPr>
          <w:lang w:val="en-GB"/>
        </w:rPr>
        <w:t>owing to the rise in various lifestyle-related diseases and an increase in consumers’ adoption of lifestyle changes to combat these</w:t>
      </w:r>
      <w:r w:rsidRPr="00E006A9">
        <w:rPr>
          <w:color w:val="000000" w:themeColor="text1"/>
          <w:lang w:val="en-GB"/>
        </w:rPr>
        <w:t>, individuals were choosing wearable technology to monitor their well-being and keep track of fitness-related information. Style, design, and convenience were some of the key factors that guided user preferences. Various original equipment manufacturers had understood this perspective and were coming out with a range of devices in different price segments, as per the requirements in the market.</w:t>
      </w:r>
      <w:r w:rsidRPr="00E006A9">
        <w:rPr>
          <w:rStyle w:val="EndnoteReference"/>
          <w:color w:val="000000" w:themeColor="text1"/>
          <w:lang w:val="en-GB"/>
        </w:rPr>
        <w:endnoteReference w:id="45"/>
      </w:r>
    </w:p>
    <w:bookmarkEnd w:id="2"/>
    <w:p w14:paraId="039D48C1" w14:textId="77777777" w:rsidR="006A4508" w:rsidRPr="00E006A9" w:rsidRDefault="006A4508" w:rsidP="00C75D9F">
      <w:pPr>
        <w:pStyle w:val="BodyTextMain"/>
        <w:rPr>
          <w:lang w:val="en-GB"/>
        </w:rPr>
      </w:pPr>
    </w:p>
    <w:p w14:paraId="548751C2" w14:textId="6658617B" w:rsidR="006A4508" w:rsidRPr="00E006A9" w:rsidRDefault="006A4508" w:rsidP="00C75D9F">
      <w:pPr>
        <w:pStyle w:val="BodyTextMain"/>
        <w:rPr>
          <w:lang w:val="en-GB"/>
        </w:rPr>
      </w:pPr>
    </w:p>
    <w:p w14:paraId="5C210F15" w14:textId="79886ACD" w:rsidR="006A4508" w:rsidRPr="00E006A9" w:rsidRDefault="006A4508" w:rsidP="00E5357F">
      <w:pPr>
        <w:rPr>
          <w:lang w:val="en-GB" w:eastAsia="en-IN"/>
        </w:rPr>
      </w:pPr>
      <w:r w:rsidRPr="00E006A9">
        <w:rPr>
          <w:rFonts w:ascii="Arial" w:hAnsi="Arial" w:cs="Arial"/>
          <w:b/>
          <w:lang w:val="en-GB" w:eastAsia="en-IN"/>
        </w:rPr>
        <w:t>Health Care Market Trends</w:t>
      </w:r>
    </w:p>
    <w:p w14:paraId="7B4C78C2" w14:textId="77777777" w:rsidR="006A4508" w:rsidRPr="00E006A9" w:rsidRDefault="006A4508" w:rsidP="009B719F">
      <w:pPr>
        <w:pStyle w:val="Casehead1"/>
        <w:rPr>
          <w:lang w:val="en-GB" w:eastAsia="en-IN"/>
        </w:rPr>
      </w:pPr>
    </w:p>
    <w:p w14:paraId="1CE209A1" w14:textId="5638A6BA" w:rsidR="006A4508" w:rsidRPr="00930549" w:rsidRDefault="006A4508" w:rsidP="009B719F">
      <w:pPr>
        <w:pStyle w:val="BodyTextMain"/>
        <w:keepNext/>
        <w:rPr>
          <w:color w:val="000000" w:themeColor="text1"/>
          <w:spacing w:val="-2"/>
          <w:lang w:val="en-GB"/>
        </w:rPr>
      </w:pPr>
      <w:r w:rsidRPr="00930549">
        <w:rPr>
          <w:spacing w:val="-2"/>
          <w:shd w:val="clear" w:color="auto" w:fill="FFFFFF"/>
          <w:lang w:val="en-GB"/>
        </w:rPr>
        <w:t xml:space="preserve">The health care industry was key not only to people’s health and well-being globally but also to the economy. </w:t>
      </w:r>
      <w:r w:rsidRPr="00930549">
        <w:rPr>
          <w:spacing w:val="-2"/>
          <w:lang w:val="en-GB"/>
        </w:rPr>
        <w:t>While the wearable technology industry was expected to more than double, from $23 billion in 2018 to $54 billion by 2023, growing at a CAGR of 19 per cent,</w:t>
      </w:r>
      <w:r w:rsidRPr="00930549">
        <w:rPr>
          <w:rStyle w:val="EndnoteReference"/>
          <w:color w:val="000000" w:themeColor="text1"/>
          <w:spacing w:val="-2"/>
          <w:lang w:val="en-GB"/>
        </w:rPr>
        <w:endnoteReference w:id="46"/>
      </w:r>
      <w:r w:rsidRPr="00930549">
        <w:rPr>
          <w:spacing w:val="-2"/>
          <w:lang w:val="en-GB"/>
        </w:rPr>
        <w:t xml:space="preserve"> the global digital health market was slated to grow six times</w:t>
      </w:r>
      <w:r w:rsidRPr="00930549">
        <w:rPr>
          <w:spacing w:val="-2"/>
          <w:lang w:val="en-GB"/>
        </w:rPr>
        <w:sym w:font="Symbol" w:char="F0BE"/>
      </w:r>
      <w:r w:rsidRPr="00930549">
        <w:rPr>
          <w:spacing w:val="-2"/>
          <w:lang w:val="en-GB"/>
        </w:rPr>
        <w:t>to almost $640 billion by 2026, at a CAGR of 28.5 per cent.</w:t>
      </w:r>
      <w:r w:rsidRPr="00930549">
        <w:rPr>
          <w:rStyle w:val="EndnoteReference"/>
          <w:color w:val="000000" w:themeColor="text1"/>
          <w:spacing w:val="-2"/>
          <w:lang w:val="en-GB"/>
        </w:rPr>
        <w:endnoteReference w:id="47"/>
      </w:r>
      <w:r w:rsidRPr="00930549">
        <w:rPr>
          <w:spacing w:val="-2"/>
          <w:lang w:val="en-GB"/>
        </w:rPr>
        <w:t xml:space="preserve"> </w:t>
      </w:r>
      <w:r w:rsidRPr="00930549">
        <w:rPr>
          <w:color w:val="000000" w:themeColor="text1"/>
          <w:spacing w:val="-2"/>
          <w:lang w:val="en-GB"/>
        </w:rPr>
        <w:t xml:space="preserve">The global health industry, valued at $8.45 trillion in 2018, was expected to reach more than $10 trillion by 2022. Health care was expected to boom over the next 20 years. Among the major players in the health care industry were McKesson Corporation, UnitedHealth Group Incorporated, CVS Health Corporation, AmerisourceBergen Corporation, and Cardinal Health Inc. </w:t>
      </w:r>
      <w:r w:rsidRPr="00930549">
        <w:rPr>
          <w:spacing w:val="-2"/>
          <w:lang w:val="en-GB"/>
        </w:rPr>
        <w:t>(see Exhibit 7)</w:t>
      </w:r>
      <w:r w:rsidRPr="00930549">
        <w:rPr>
          <w:color w:val="000000" w:themeColor="text1"/>
          <w:spacing w:val="-2"/>
          <w:lang w:val="en-GB"/>
        </w:rPr>
        <w:t>.</w:t>
      </w:r>
      <w:r w:rsidRPr="00930549">
        <w:rPr>
          <w:rStyle w:val="EndnoteReference"/>
          <w:color w:val="000000" w:themeColor="text1"/>
          <w:spacing w:val="-2"/>
          <w:lang w:val="en-GB"/>
        </w:rPr>
        <w:endnoteReference w:id="48"/>
      </w:r>
      <w:r w:rsidRPr="00930549">
        <w:rPr>
          <w:color w:val="000000" w:themeColor="text1"/>
          <w:spacing w:val="-2"/>
          <w:lang w:val="en-GB"/>
        </w:rPr>
        <w:t xml:space="preserve"> Health spending in the United States was around 17 per cent of the financial pie, and this was almost double that of other countries. With the last of the baby boomer generation </w:t>
      </w:r>
      <w:r w:rsidRPr="00930549">
        <w:rPr>
          <w:color w:val="000000" w:themeColor="text1"/>
          <w:spacing w:val="-2"/>
          <w:lang w:val="en-GB"/>
        </w:rPr>
        <w:lastRenderedPageBreak/>
        <w:t xml:space="preserve">expected to retire by 2030, those figures were expected to rise by at least half or even twofold by 2040 with the addition of social care. The Internet of things (IoT) was expected to lower operational costs </w:t>
      </w:r>
      <w:r w:rsidRPr="00930549">
        <w:rPr>
          <w:spacing w:val="-2"/>
          <w:lang w:val="en-GB"/>
        </w:rPr>
        <w:t>in health care</w:t>
      </w:r>
      <w:r w:rsidRPr="00930549">
        <w:rPr>
          <w:color w:val="000000" w:themeColor="text1"/>
          <w:spacing w:val="-2"/>
          <w:lang w:val="en-GB"/>
        </w:rPr>
        <w:t xml:space="preserve"> by $100 billion every year.</w:t>
      </w:r>
      <w:r w:rsidRPr="00930549">
        <w:rPr>
          <w:rStyle w:val="EndnoteReference"/>
          <w:color w:val="000000" w:themeColor="text1"/>
          <w:spacing w:val="-2"/>
          <w:lang w:val="en-GB"/>
        </w:rPr>
        <w:endnoteReference w:id="49"/>
      </w:r>
      <w:r w:rsidRPr="00930549">
        <w:rPr>
          <w:color w:val="000000" w:themeColor="text1"/>
          <w:spacing w:val="-2"/>
          <w:lang w:val="en-GB"/>
        </w:rPr>
        <w:t xml:space="preserve"> Meanwhile, the global medical wearables market was expected to touch $37.67 billion by 2025, growing from $12.78 billion in 2019 at a CAGR of 19.73 per cent.</w:t>
      </w:r>
      <w:r w:rsidRPr="00930549">
        <w:rPr>
          <w:rStyle w:val="EndnoteReference"/>
          <w:color w:val="000000" w:themeColor="text1"/>
          <w:spacing w:val="-2"/>
          <w:lang w:val="en-GB"/>
        </w:rPr>
        <w:endnoteReference w:id="50"/>
      </w:r>
    </w:p>
    <w:p w14:paraId="03FFC3EA" w14:textId="77777777" w:rsidR="006A4508" w:rsidRPr="00E006A9" w:rsidRDefault="006A4508" w:rsidP="009B719F">
      <w:pPr>
        <w:pStyle w:val="Casehead1"/>
        <w:rPr>
          <w:color w:val="000000" w:themeColor="text1"/>
          <w:lang w:val="en-GB" w:eastAsia="en-IN"/>
        </w:rPr>
      </w:pPr>
    </w:p>
    <w:p w14:paraId="060B88FB" w14:textId="2B1090A0" w:rsidR="006A4508" w:rsidRPr="00E006A9" w:rsidRDefault="006A4508" w:rsidP="009B719F">
      <w:pPr>
        <w:pStyle w:val="BodyTextMain"/>
        <w:rPr>
          <w:lang w:val="en-GB" w:bidi="hi-IN"/>
        </w:rPr>
      </w:pPr>
      <w:r w:rsidRPr="00D11A34">
        <w:t xml:space="preserve">A study by Deloitte </w:t>
      </w:r>
      <w:proofErr w:type="spellStart"/>
      <w:r w:rsidRPr="00D11A34">
        <w:t>Touche</w:t>
      </w:r>
      <w:proofErr w:type="spellEnd"/>
      <w:r w:rsidRPr="00D11A34">
        <w:t xml:space="preserve"> Tohmatsu Limited reported that factors such as high expenses related to traditional health care</w:t>
      </w:r>
      <w:r w:rsidRPr="00E006A9">
        <w:rPr>
          <w:shd w:val="clear" w:color="auto" w:fill="FFFFFF"/>
          <w:lang w:val="en-GB"/>
        </w:rPr>
        <w:t xml:space="preserve"> </w:t>
      </w:r>
      <w:r w:rsidRPr="00E006A9">
        <w:rPr>
          <w:lang w:val="en-GB" w:bidi="hi-IN"/>
        </w:rPr>
        <w:t>models; a move toward disease prevention and well-being; customer demand for openness, accessibility, and personalization; and consumers’ access to and control over personal health data were all driving innovation in health care delivery. At the same time, the need for predictive and preventive care; cheaper, precise, and less invasive treatments and therapies; and consumer</w:t>
      </w:r>
      <w:r>
        <w:rPr>
          <w:lang w:val="en-GB" w:bidi="hi-IN"/>
        </w:rPr>
        <w:t xml:space="preserve"> and </w:t>
      </w:r>
      <w:r w:rsidRPr="00E006A9">
        <w:rPr>
          <w:lang w:val="en-GB" w:bidi="hi-IN"/>
        </w:rPr>
        <w:t xml:space="preserve">patient demand were driving digital health. The steady digital transformation of health care was expected through 2020 and into the future, and a shift from merely storing data to analyzing and utilizing data for gaining a deeper understanding </w:t>
      </w:r>
      <w:r w:rsidRPr="00E006A9">
        <w:rPr>
          <w:lang w:val="en-GB"/>
        </w:rPr>
        <w:t>of how to both monetize and provide</w:t>
      </w:r>
      <w:r w:rsidRPr="00E006A9" w:rsidDel="003555FC">
        <w:rPr>
          <w:lang w:val="en-GB" w:bidi="hi-IN"/>
        </w:rPr>
        <w:t xml:space="preserve"> </w:t>
      </w:r>
      <w:r w:rsidRPr="00E006A9">
        <w:rPr>
          <w:lang w:val="en-GB" w:bidi="hi-IN"/>
        </w:rPr>
        <w:t xml:space="preserve">more accurate and value-based care was anticipated. A digital health ecosystem that included </w:t>
      </w:r>
      <w:r w:rsidRPr="00E006A9">
        <w:rPr>
          <w:lang w:val="en-GB"/>
        </w:rPr>
        <w:t>cloud computing, fifth generation (5G) technology, AI, natural language processing</w:t>
      </w:r>
      <w:r w:rsidRPr="00E006A9">
        <w:rPr>
          <w:szCs w:val="20"/>
          <w:lang w:val="en-GB"/>
        </w:rPr>
        <w:t xml:space="preserve">, and the Internet of </w:t>
      </w:r>
      <w:r>
        <w:rPr>
          <w:szCs w:val="20"/>
          <w:lang w:val="en-GB"/>
        </w:rPr>
        <w:t>medical things</w:t>
      </w:r>
      <w:r w:rsidRPr="00E006A9">
        <w:rPr>
          <w:szCs w:val="20"/>
          <w:lang w:val="en-GB"/>
        </w:rPr>
        <w:t xml:space="preserve"> was already transforming health care to be more in line with consumer preferences. </w:t>
      </w:r>
      <w:r w:rsidRPr="00E006A9">
        <w:rPr>
          <w:lang w:val="en-GB"/>
        </w:rPr>
        <w:t xml:space="preserve">Despite challenges such as cybersecurity issues and technology costs, it was expected that efforts would be directed </w:t>
      </w:r>
      <w:r>
        <w:rPr>
          <w:lang w:val="en-GB"/>
        </w:rPr>
        <w:t xml:space="preserve">toward </w:t>
      </w:r>
      <w:r w:rsidRPr="00E006A9">
        <w:rPr>
          <w:lang w:val="en-GB"/>
        </w:rPr>
        <w:t>smart health communities, both traditional and non-traditional groups, corporates, and state and private entities focused on addressing disease prevention and well-being, and that all would work together on a sustained basis while operating largely outside of the traditional health care system</w:t>
      </w:r>
      <w:r w:rsidRPr="00E006A9">
        <w:rPr>
          <w:lang w:val="en-GB" w:bidi="hi-IN"/>
        </w:rPr>
        <w:t>.</w:t>
      </w:r>
      <w:r w:rsidRPr="00E006A9">
        <w:rPr>
          <w:rStyle w:val="EndnoteReference"/>
          <w:color w:val="000000"/>
          <w:lang w:val="en-GB"/>
        </w:rPr>
        <w:endnoteReference w:id="51"/>
      </w:r>
    </w:p>
    <w:p w14:paraId="455692BE" w14:textId="4716E89F" w:rsidR="006A4508" w:rsidRPr="00E006A9" w:rsidRDefault="006A4508" w:rsidP="009B719F">
      <w:pPr>
        <w:pStyle w:val="BodyTextMain"/>
        <w:rPr>
          <w:lang w:val="en-GB" w:bidi="hi-IN"/>
        </w:rPr>
      </w:pPr>
    </w:p>
    <w:p w14:paraId="54E700EA" w14:textId="77777777" w:rsidR="006A4508" w:rsidRPr="00E006A9" w:rsidRDefault="006A4508" w:rsidP="009B719F">
      <w:pPr>
        <w:pStyle w:val="BodyTextMain"/>
        <w:rPr>
          <w:lang w:val="en-GB" w:bidi="hi-IN"/>
        </w:rPr>
      </w:pPr>
    </w:p>
    <w:p w14:paraId="1C168285" w14:textId="442DD3C5" w:rsidR="006A4508" w:rsidRPr="00E006A9" w:rsidRDefault="006A4508" w:rsidP="00E5357F">
      <w:pPr>
        <w:pStyle w:val="Casehead2"/>
        <w:rPr>
          <w:lang w:val="en-GB"/>
        </w:rPr>
      </w:pPr>
      <w:r w:rsidRPr="00E006A9">
        <w:rPr>
          <w:lang w:val="en-GB"/>
        </w:rPr>
        <w:t>Innovation and Reduced Costs</w:t>
      </w:r>
    </w:p>
    <w:p w14:paraId="2699DE0B" w14:textId="77777777" w:rsidR="006A4508" w:rsidRPr="00E006A9" w:rsidRDefault="006A4508" w:rsidP="00254A04">
      <w:pPr>
        <w:pStyle w:val="BodyTextMain"/>
        <w:rPr>
          <w:lang w:val="en-GB"/>
        </w:rPr>
      </w:pPr>
    </w:p>
    <w:p w14:paraId="77E80889" w14:textId="1DF5279C" w:rsidR="006A4508" w:rsidRPr="00E006A9" w:rsidRDefault="006A4508" w:rsidP="00254A04">
      <w:pPr>
        <w:pStyle w:val="BodyTextMain"/>
        <w:rPr>
          <w:lang w:val="en-GB"/>
        </w:rPr>
      </w:pPr>
      <w:r w:rsidRPr="00E006A9">
        <w:rPr>
          <w:lang w:val="en-GB"/>
        </w:rPr>
        <w:t>The innovations in wearable</w:t>
      </w:r>
      <w:r w:rsidRPr="00E006A9">
        <w:rPr>
          <w:rStyle w:val="apple-converted-space"/>
          <w:color w:val="000000" w:themeColor="text1"/>
          <w:lang w:val="en-GB"/>
        </w:rPr>
        <w:t xml:space="preserve"> </w:t>
      </w:r>
      <w:r w:rsidRPr="00E006A9">
        <w:rPr>
          <w:lang w:val="en-GB"/>
        </w:rPr>
        <w:t xml:space="preserve">fitness device technology were expected to attract insurers, health providers, and companies wishing to maximize the benefits of wearable health monitoring devices. While insurance companies could help increase the life value of a consumer using a wearable device and ensure that the rising cost per patient was reduced, the wearable device could help consumers better engage with their health and then incentivize customer behaviour with the promise of fewer hospital visits and readmissions. As many as 75 per cent of wearable fitness device users felt </w:t>
      </w:r>
      <w:r>
        <w:rPr>
          <w:lang w:val="en-GB"/>
        </w:rPr>
        <w:t xml:space="preserve">that </w:t>
      </w:r>
      <w:r w:rsidRPr="00E006A9">
        <w:rPr>
          <w:lang w:val="en-GB"/>
        </w:rPr>
        <w:t>they were better able to manage their health. Therefore, many firms offered wearable health care devices to their employees to lower employee turnover and absences</w:t>
      </w:r>
      <w:r w:rsidRPr="00E006A9">
        <w:rPr>
          <w:rStyle w:val="apple-converted-space"/>
          <w:color w:val="000000" w:themeColor="text1"/>
          <w:lang w:val="en-GB"/>
        </w:rPr>
        <w:t xml:space="preserve">. </w:t>
      </w:r>
      <w:r w:rsidRPr="00E006A9">
        <w:rPr>
          <w:lang w:val="en-GB"/>
        </w:rPr>
        <w:t>Moreover, further development of accurate wearable sensors was expected to increase device connectivity, which enticed insurers and employers to promote healthy lifestyles and boost profitability.</w:t>
      </w:r>
      <w:r w:rsidRPr="00E006A9">
        <w:rPr>
          <w:rStyle w:val="EndnoteReference"/>
          <w:color w:val="000000" w:themeColor="text1"/>
          <w:lang w:val="en-GB"/>
        </w:rPr>
        <w:endnoteReference w:id="52"/>
      </w:r>
      <w:r w:rsidRPr="00E006A9">
        <w:rPr>
          <w:lang w:val="en-GB"/>
        </w:rPr>
        <w:t xml:space="preserve"> One white paper claimed that wearable devices could be used to decrease costs across clinical trial phases by almost 50 per cent.</w:t>
      </w:r>
      <w:r w:rsidRPr="00E006A9">
        <w:rPr>
          <w:rStyle w:val="EndnoteReference"/>
          <w:lang w:val="en-GB"/>
        </w:rPr>
        <w:endnoteReference w:id="53"/>
      </w:r>
    </w:p>
    <w:p w14:paraId="1B9C66FC" w14:textId="3D1AF317" w:rsidR="006A4508" w:rsidRPr="00E006A9" w:rsidRDefault="006A4508" w:rsidP="00254A04">
      <w:pPr>
        <w:pStyle w:val="BodyTextMain"/>
        <w:rPr>
          <w:highlight w:val="red"/>
          <w:shd w:val="clear" w:color="auto" w:fill="FFFFFF"/>
          <w:lang w:val="en-GB"/>
        </w:rPr>
      </w:pPr>
    </w:p>
    <w:p w14:paraId="4DEC8A47" w14:textId="77777777" w:rsidR="006A4508" w:rsidRPr="00E006A9" w:rsidRDefault="006A4508" w:rsidP="00254A04">
      <w:pPr>
        <w:pStyle w:val="BodyTextMain"/>
        <w:rPr>
          <w:highlight w:val="red"/>
          <w:shd w:val="clear" w:color="auto" w:fill="FFFFFF"/>
          <w:lang w:val="en-GB"/>
        </w:rPr>
      </w:pPr>
    </w:p>
    <w:p w14:paraId="5A2784B9" w14:textId="09F53733" w:rsidR="006A4508" w:rsidRPr="00E006A9" w:rsidRDefault="006A4508" w:rsidP="00E5357F">
      <w:pPr>
        <w:pStyle w:val="Casehead2"/>
        <w:rPr>
          <w:lang w:val="en-GB"/>
        </w:rPr>
      </w:pPr>
      <w:r w:rsidRPr="00E006A9">
        <w:rPr>
          <w:lang w:val="en-GB"/>
        </w:rPr>
        <w:t>Privacy and Data Regulation</w:t>
      </w:r>
    </w:p>
    <w:p w14:paraId="391B895F" w14:textId="77777777" w:rsidR="006A4508" w:rsidRPr="00E006A9" w:rsidRDefault="006A4508" w:rsidP="00254A04">
      <w:pPr>
        <w:pStyle w:val="BodyTextMain"/>
        <w:rPr>
          <w:color w:val="000000" w:themeColor="text1"/>
          <w:lang w:val="en-GB"/>
        </w:rPr>
      </w:pPr>
    </w:p>
    <w:p w14:paraId="7071C505" w14:textId="670225C0" w:rsidR="006A4508" w:rsidRPr="00930549" w:rsidRDefault="006A4508" w:rsidP="00254A04">
      <w:pPr>
        <w:pStyle w:val="BodyTextMain"/>
        <w:rPr>
          <w:color w:val="000000" w:themeColor="text1"/>
          <w:spacing w:val="-4"/>
          <w:lang w:val="en-GB"/>
        </w:rPr>
      </w:pPr>
      <w:r w:rsidRPr="00930549">
        <w:rPr>
          <w:color w:val="000000" w:themeColor="text1"/>
          <w:spacing w:val="-4"/>
          <w:lang w:val="en-GB"/>
        </w:rPr>
        <w:t xml:space="preserve">The beginning of 2021 had seen </w:t>
      </w:r>
      <w:r w:rsidRPr="00930549">
        <w:rPr>
          <w:spacing w:val="-4"/>
          <w:lang w:val="en-GB"/>
        </w:rPr>
        <w:t>unprecedented</w:t>
      </w:r>
      <w:r w:rsidRPr="00930549">
        <w:rPr>
          <w:color w:val="000000" w:themeColor="text1"/>
          <w:spacing w:val="-4"/>
          <w:lang w:val="en-GB"/>
        </w:rPr>
        <w:t xml:space="preserve"> development in data- and privacy-related regulations in the United States, with 22 states introducing comprehensive privacy legislation. One-of-a-kind components of this act among US proposals was that it required data security appraisals for certain handling exercises, suggestive of necessities under the European Union General Data Protection Regulation. With many states presenting a mixed bag of exhaustive legislation and legislation focused on genetic data, biometric data, data breaches, and so on, compliance regulations were rapidly getting considerably unmanageable for organizations.</w:t>
      </w:r>
      <w:r w:rsidRPr="00930549">
        <w:rPr>
          <w:rStyle w:val="EndnoteReference"/>
          <w:color w:val="000000" w:themeColor="text1"/>
          <w:spacing w:val="-4"/>
          <w:lang w:val="en-GB"/>
        </w:rPr>
        <w:endnoteReference w:id="54"/>
      </w:r>
    </w:p>
    <w:p w14:paraId="6230F233" w14:textId="77777777" w:rsidR="006A4508" w:rsidRPr="00E006A9" w:rsidRDefault="006A4508" w:rsidP="009B719F">
      <w:pPr>
        <w:pStyle w:val="BodyTextMain"/>
        <w:rPr>
          <w:color w:val="000000"/>
          <w:lang w:val="en-GB"/>
        </w:rPr>
      </w:pPr>
    </w:p>
    <w:p w14:paraId="3C2E121E" w14:textId="675E5AF0" w:rsidR="006A4508" w:rsidRPr="00E006A9" w:rsidRDefault="006A4508" w:rsidP="00D660FD">
      <w:pPr>
        <w:pStyle w:val="BodyTextMain"/>
        <w:rPr>
          <w:lang w:val="en-GB"/>
        </w:rPr>
      </w:pPr>
      <w:r w:rsidRPr="00D11A34">
        <w:t xml:space="preserve">With the wearables market expected to reach 233 million units by 2022, big players such as Samsung, Sony, LG Electronics Inc., Motorola Solutions Inc., and Garmin, along with Chinese companies such as Huawei and Xiaomi, were competing to displace Apple from the top position. Smartwatches had perhaps “started off as somewhat of an eye-catching novelty,” but they had turned into a key business, offering more than </w:t>
      </w:r>
      <w:r w:rsidRPr="00D11A34">
        <w:lastRenderedPageBreak/>
        <w:t>just the usual options (making phone calls, reading notifications, sending texts, etc.) and including features that helped track and monitor both physical and fiscal health.</w:t>
      </w:r>
      <w:r w:rsidRPr="00D11A34">
        <w:rPr>
          <w:vertAlign w:val="superscript"/>
        </w:rPr>
        <w:endnoteReference w:id="55"/>
      </w:r>
      <w:r w:rsidRPr="00E006A9">
        <w:rPr>
          <w:rStyle w:val="apple-converted-space"/>
          <w:rFonts w:ascii="Georgia" w:hAnsi="Georgia"/>
          <w:color w:val="000000" w:themeColor="text1"/>
          <w:shd w:val="clear" w:color="auto" w:fill="FFFFFF"/>
          <w:lang w:val="en-GB"/>
        </w:rPr>
        <w:t xml:space="preserve"> </w:t>
      </w:r>
      <w:r w:rsidRPr="00E006A9">
        <w:rPr>
          <w:lang w:val="en-GB"/>
        </w:rPr>
        <w:t xml:space="preserve">Consumers’ growing demand to monitor their health had driven the purchase and use of wearable products, which had more than tripled during 2016–2019, with more than 80 per cent of consumers who </w:t>
      </w:r>
      <w:r>
        <w:rPr>
          <w:lang w:val="en-GB"/>
        </w:rPr>
        <w:t>monitored</w:t>
      </w:r>
      <w:r w:rsidRPr="00E006A9">
        <w:rPr>
          <w:lang w:val="en-GB"/>
        </w:rPr>
        <w:t xml:space="preserve"> their health willing to wear fitness devices</w:t>
      </w:r>
      <w:r w:rsidRPr="00BB6011">
        <w:t>. Moreover, innovations in wearable technology and rising demand from consumers to be able to access and control their health was propelling the medical industry, medical insurers, service providers, and technology companies to innovate better wearable devices</w:t>
      </w:r>
      <w:r w:rsidRPr="00E006A9">
        <w:rPr>
          <w:shd w:val="clear" w:color="auto" w:fill="FFFFFF"/>
          <w:lang w:val="en-GB"/>
        </w:rPr>
        <w:t>.</w:t>
      </w:r>
      <w:r w:rsidRPr="00E006A9">
        <w:rPr>
          <w:rStyle w:val="EndnoteReference"/>
          <w:color w:val="000000" w:themeColor="text1"/>
          <w:lang w:val="en-GB"/>
        </w:rPr>
        <w:endnoteReference w:id="56"/>
      </w:r>
    </w:p>
    <w:p w14:paraId="5A0093CA" w14:textId="0681A63B" w:rsidR="006A4508" w:rsidRPr="00E006A9" w:rsidRDefault="006A4508" w:rsidP="00D660FD">
      <w:pPr>
        <w:pStyle w:val="BodyTextMain"/>
        <w:rPr>
          <w:color w:val="000000" w:themeColor="text1"/>
          <w:lang w:val="en-GB"/>
        </w:rPr>
      </w:pPr>
    </w:p>
    <w:p w14:paraId="36D2D025" w14:textId="77777777" w:rsidR="006A4508" w:rsidRPr="00E006A9" w:rsidRDefault="006A4508" w:rsidP="00D660FD">
      <w:pPr>
        <w:pStyle w:val="BodyTextMain"/>
        <w:rPr>
          <w:color w:val="000000" w:themeColor="text1"/>
          <w:lang w:val="en-GB"/>
        </w:rPr>
      </w:pPr>
    </w:p>
    <w:p w14:paraId="759A376A" w14:textId="2E315596" w:rsidR="006A4508" w:rsidRPr="00E006A9" w:rsidRDefault="006A4508" w:rsidP="006A3820">
      <w:pPr>
        <w:jc w:val="both"/>
        <w:rPr>
          <w:rFonts w:ascii="Arial" w:hAnsi="Arial"/>
          <w:b/>
          <w:color w:val="000000" w:themeColor="text1"/>
          <w:lang w:val="en-GB"/>
        </w:rPr>
      </w:pPr>
      <w:r w:rsidRPr="00E006A9">
        <w:rPr>
          <w:rFonts w:ascii="Arial" w:hAnsi="Arial"/>
          <w:b/>
          <w:color w:val="000000" w:themeColor="text1"/>
          <w:lang w:val="en-GB"/>
        </w:rPr>
        <w:t>MAJOR PLAYERS</w:t>
      </w:r>
    </w:p>
    <w:p w14:paraId="2CEF6849" w14:textId="77777777" w:rsidR="006A4508" w:rsidRPr="00E006A9" w:rsidRDefault="006A4508" w:rsidP="006A3820">
      <w:pPr>
        <w:jc w:val="both"/>
        <w:rPr>
          <w:rFonts w:ascii="Arial" w:hAnsi="Arial"/>
          <w:b/>
          <w:color w:val="000000" w:themeColor="text1"/>
          <w:lang w:val="en-GB"/>
        </w:rPr>
      </w:pPr>
    </w:p>
    <w:p w14:paraId="384CC429" w14:textId="4FE27149" w:rsidR="006A4508" w:rsidRPr="00E006A9" w:rsidRDefault="006A4508" w:rsidP="003A6C30">
      <w:pPr>
        <w:pStyle w:val="Casehead2"/>
        <w:rPr>
          <w:lang w:val="en-GB"/>
        </w:rPr>
      </w:pPr>
      <w:r w:rsidRPr="00E006A9">
        <w:rPr>
          <w:lang w:val="en-GB"/>
        </w:rPr>
        <w:t>Apple</w:t>
      </w:r>
    </w:p>
    <w:p w14:paraId="18569DCC" w14:textId="77777777" w:rsidR="006A4508" w:rsidRPr="00E006A9" w:rsidRDefault="006A4508" w:rsidP="00C75D9F">
      <w:pPr>
        <w:pStyle w:val="BodyTextMain"/>
        <w:rPr>
          <w:lang w:val="en-GB"/>
        </w:rPr>
      </w:pPr>
    </w:p>
    <w:p w14:paraId="5EE2B1CC" w14:textId="35446E07" w:rsidR="006A4508" w:rsidRPr="00930549" w:rsidRDefault="006A4508" w:rsidP="00BB6011">
      <w:pPr>
        <w:pStyle w:val="BodyTextMain"/>
        <w:rPr>
          <w:spacing w:val="-2"/>
        </w:rPr>
      </w:pPr>
      <w:r w:rsidRPr="00930549">
        <w:rPr>
          <w:spacing w:val="-2"/>
          <w:lang w:val="en-GB"/>
        </w:rPr>
        <w:t xml:space="preserve">Apple, one of </w:t>
      </w:r>
      <w:r w:rsidR="00B62FAC" w:rsidRPr="00930549">
        <w:rPr>
          <w:spacing w:val="-2"/>
          <w:lang w:val="en-GB"/>
        </w:rPr>
        <w:t xml:space="preserve">the </w:t>
      </w:r>
      <w:r w:rsidRPr="00930549">
        <w:rPr>
          <w:spacing w:val="-2"/>
          <w:lang w:val="en-GB"/>
        </w:rPr>
        <w:t xml:space="preserve">world’s most valuable companies, was founded by Steve Jobs and Steve Wozniak in 1976. A trendsetting company, it had given the world some of the most popular and most-copied digital gadgets, including the personal computers Apple II, Macintosh, and iMac; the music player iPod; the </w:t>
      </w:r>
      <w:proofErr w:type="spellStart"/>
      <w:r w:rsidRPr="00930549">
        <w:rPr>
          <w:spacing w:val="-2"/>
          <w:lang w:val="en-GB"/>
        </w:rPr>
        <w:t>groundbreaking</w:t>
      </w:r>
      <w:proofErr w:type="spellEnd"/>
      <w:r w:rsidRPr="00930549">
        <w:rPr>
          <w:spacing w:val="-2"/>
          <w:lang w:val="en-GB"/>
        </w:rPr>
        <w:t xml:space="preserve"> touch-screen mobile phone iPhone; and the tablet iPad.</w:t>
      </w:r>
      <w:r w:rsidRPr="00930549">
        <w:rPr>
          <w:rStyle w:val="EndnoteReference"/>
          <w:color w:val="000000" w:themeColor="text1"/>
          <w:spacing w:val="-2"/>
          <w:lang w:val="en-GB"/>
        </w:rPr>
        <w:endnoteReference w:id="57"/>
      </w:r>
      <w:r w:rsidRPr="00930549">
        <w:rPr>
          <w:spacing w:val="-2"/>
          <w:lang w:val="en-GB"/>
        </w:rPr>
        <w:t xml:space="preserve"> Riding on the back of innovative designs, seamless hardware and software, astute marketing, and user-friendly products, Apple was able to capture the market and earn big profits,</w:t>
      </w:r>
      <w:r w:rsidRPr="00930549">
        <w:rPr>
          <w:rStyle w:val="EndnoteReference"/>
          <w:color w:val="000000" w:themeColor="text1"/>
          <w:spacing w:val="-2"/>
          <w:lang w:val="en-GB"/>
        </w:rPr>
        <w:endnoteReference w:id="58"/>
      </w:r>
      <w:r w:rsidRPr="00930549">
        <w:rPr>
          <w:spacing w:val="-2"/>
          <w:lang w:val="en-GB"/>
        </w:rPr>
        <w:t xml:space="preserve"> and by 2018 it had reported revenue </w:t>
      </w:r>
      <w:r w:rsidRPr="00930549">
        <w:rPr>
          <w:spacing w:val="-2"/>
        </w:rPr>
        <w:t>of $265.6 billion.</w:t>
      </w:r>
      <w:r w:rsidRPr="00930549">
        <w:rPr>
          <w:spacing w:val="-2"/>
          <w:shd w:val="clear" w:color="auto" w:fill="FFFFFF"/>
          <w:lang w:val="en-GB"/>
        </w:rPr>
        <w:t xml:space="preserve"> </w:t>
      </w:r>
      <w:r w:rsidRPr="00930549">
        <w:rPr>
          <w:spacing w:val="-2"/>
          <w:lang w:val="en-GB"/>
        </w:rPr>
        <w:t>In 2019, however, that figure dipped slightly to $260 billion</w:t>
      </w:r>
      <w:r w:rsidRPr="00930549">
        <w:rPr>
          <w:spacing w:val="-2"/>
          <w:shd w:val="clear" w:color="auto" w:fill="FFFFFF"/>
          <w:lang w:val="en-GB"/>
        </w:rPr>
        <w:t>.</w:t>
      </w:r>
      <w:r w:rsidRPr="00930549">
        <w:rPr>
          <w:spacing w:val="-2"/>
          <w:vertAlign w:val="superscript"/>
        </w:rPr>
        <w:endnoteReference w:id="59"/>
      </w:r>
      <w:r w:rsidRPr="00930549">
        <w:rPr>
          <w:spacing w:val="-2"/>
          <w:shd w:val="clear" w:color="auto" w:fill="FFFFFF"/>
          <w:lang w:val="en-GB"/>
        </w:rPr>
        <w:t xml:space="preserve"> </w:t>
      </w:r>
      <w:r w:rsidRPr="00930549">
        <w:rPr>
          <w:spacing w:val="-2"/>
          <w:lang w:val="en-GB"/>
        </w:rPr>
        <w:t>The Apple Watch, which was introduced as a value-added extension of the iPhone,</w:t>
      </w:r>
      <w:r w:rsidRPr="00930549">
        <w:rPr>
          <w:rStyle w:val="EndnoteReference"/>
          <w:color w:val="000000" w:themeColor="text1"/>
          <w:spacing w:val="-2"/>
          <w:lang w:val="en-GB"/>
        </w:rPr>
        <w:endnoteReference w:id="60"/>
      </w:r>
      <w:r w:rsidRPr="00930549">
        <w:rPr>
          <w:spacing w:val="-2"/>
          <w:lang w:val="en-GB"/>
        </w:rPr>
        <w:t xml:space="preserve"> was leagues ahead of competitors’ smartwatches with its sleek features, a soft-edged square shape, a customizable watch face, and user-friendly and user-specific data inputs. Besides these features, users could change the watchband to coordinate with their outfits and activity.</w:t>
      </w:r>
      <w:r w:rsidRPr="00930549">
        <w:rPr>
          <w:rStyle w:val="EndnoteReference"/>
          <w:color w:val="000000" w:themeColor="text1"/>
          <w:spacing w:val="-2"/>
          <w:lang w:val="en-GB"/>
        </w:rPr>
        <w:endnoteReference w:id="61"/>
      </w:r>
      <w:r w:rsidRPr="00930549">
        <w:rPr>
          <w:spacing w:val="-2"/>
          <w:lang w:val="en-GB"/>
        </w:rPr>
        <w:t xml:space="preserve"> Apple foresaw the gradual stagnation and decline of the smartphone market and realized the need to invest in wearable technology development to compensate for any lost income. This strategy helped the company, as Apple Watch became its fastest-growing division, and as the iPhone began to lose ground as a major revenue generator for Apple, Apple Watch began to gain ground consistently.</w:t>
      </w:r>
      <w:r w:rsidRPr="00930549">
        <w:rPr>
          <w:rStyle w:val="EndnoteReference"/>
          <w:color w:val="000000" w:themeColor="text1"/>
          <w:spacing w:val="-2"/>
          <w:lang w:val="en-GB"/>
        </w:rPr>
        <w:endnoteReference w:id="62"/>
      </w:r>
      <w:r w:rsidRPr="00930549">
        <w:rPr>
          <w:spacing w:val="-2"/>
          <w:lang w:val="en-GB"/>
        </w:rPr>
        <w:t xml:space="preserve"> In 2019, Apple reported 106.5 million shipments of wearable devices with year-over-year (YoY) growth of 121.7 per cent over 2018.</w:t>
      </w:r>
      <w:r w:rsidRPr="00930549">
        <w:rPr>
          <w:rStyle w:val="EndnoteReference"/>
          <w:color w:val="000000" w:themeColor="text1"/>
          <w:spacing w:val="-2"/>
          <w:lang w:val="en-GB"/>
        </w:rPr>
        <w:endnoteReference w:id="63"/>
      </w:r>
    </w:p>
    <w:p w14:paraId="40676940" w14:textId="77777777" w:rsidR="006A4508" w:rsidRPr="00BB6011" w:rsidRDefault="006A4508" w:rsidP="00BB6011">
      <w:pPr>
        <w:pStyle w:val="BodyTextMain"/>
      </w:pPr>
    </w:p>
    <w:p w14:paraId="07DC308A" w14:textId="77777777" w:rsidR="006A4508" w:rsidRPr="00BB6011" w:rsidRDefault="006A4508" w:rsidP="00BB6011">
      <w:pPr>
        <w:pStyle w:val="BodyTextMain"/>
      </w:pPr>
    </w:p>
    <w:p w14:paraId="39CBBEF2" w14:textId="65FBB98D" w:rsidR="006A4508" w:rsidRPr="00E006A9" w:rsidRDefault="006A4508" w:rsidP="003A6C30">
      <w:pPr>
        <w:pStyle w:val="Casehead2"/>
        <w:rPr>
          <w:lang w:val="en-GB"/>
        </w:rPr>
      </w:pPr>
      <w:r w:rsidRPr="00E006A9">
        <w:rPr>
          <w:lang w:val="en-GB"/>
        </w:rPr>
        <w:t>Xiaomi</w:t>
      </w:r>
    </w:p>
    <w:p w14:paraId="065ADD04" w14:textId="77777777" w:rsidR="006A4508" w:rsidRPr="00E006A9" w:rsidRDefault="006A4508" w:rsidP="00C75D9F">
      <w:pPr>
        <w:pStyle w:val="BodyTextMain"/>
        <w:rPr>
          <w:lang w:val="en-GB"/>
        </w:rPr>
      </w:pPr>
    </w:p>
    <w:p w14:paraId="50A241EB" w14:textId="0BA6E5C9" w:rsidR="006A4508" w:rsidRPr="00E006A9" w:rsidRDefault="006A4508" w:rsidP="00C75D9F">
      <w:pPr>
        <w:pStyle w:val="BodyTextMain"/>
        <w:rPr>
          <w:color w:val="000000" w:themeColor="text1"/>
          <w:shd w:val="clear" w:color="auto" w:fill="FFFFFF"/>
          <w:lang w:val="en-GB"/>
        </w:rPr>
      </w:pPr>
      <w:r w:rsidRPr="00E006A9">
        <w:rPr>
          <w:lang w:val="en-GB"/>
        </w:rPr>
        <w:t>Chinese investor, serial entrepreneur, and billionaire Lei Jun co-founded Xiaomi in 2010 with seven other co-founders</w:t>
      </w:r>
      <w:r w:rsidRPr="00E006A9">
        <w:rPr>
          <w:rStyle w:val="EndnoteReference"/>
          <w:color w:val="000000" w:themeColor="text1"/>
          <w:lang w:val="en-GB"/>
        </w:rPr>
        <w:endnoteReference w:id="64"/>
      </w:r>
      <w:r w:rsidRPr="00E006A9">
        <w:rPr>
          <w:lang w:val="en-GB"/>
        </w:rPr>
        <w:t xml:space="preserve"> and investors.</w:t>
      </w:r>
      <w:r w:rsidRPr="00E006A9">
        <w:rPr>
          <w:rStyle w:val="EndnoteReference"/>
          <w:color w:val="000000" w:themeColor="text1"/>
          <w:lang w:val="en-GB"/>
        </w:rPr>
        <w:endnoteReference w:id="65"/>
      </w:r>
      <w:r w:rsidRPr="00E006A9">
        <w:rPr>
          <w:lang w:val="en-GB"/>
        </w:rPr>
        <w:t xml:space="preserve"> By the second quarter of 2017, Xiaomi had outperformed Apple and Fitbit to lead the global wearable market in terms of shipments. Xiaomi’s Mi Band fitness trackers were highly popular in China because of their high quality and features such as pulse sensors, step counters, and calendar alarms provided at affordable prices.</w:t>
      </w:r>
      <w:r w:rsidRPr="00E006A9">
        <w:rPr>
          <w:rStyle w:val="EndnoteReference"/>
          <w:color w:val="000000" w:themeColor="text1"/>
          <w:lang w:val="en-GB"/>
        </w:rPr>
        <w:endnoteReference w:id="66"/>
      </w:r>
      <w:r w:rsidRPr="00E006A9">
        <w:rPr>
          <w:lang w:val="en-GB"/>
        </w:rPr>
        <w:t xml:space="preserve"> By 2018, Xiaomi had changed its strategy to focus more on durables, and</w:t>
      </w:r>
      <w:r>
        <w:rPr>
          <w:lang w:val="en-GB"/>
        </w:rPr>
        <w:t>,</w:t>
      </w:r>
      <w:r w:rsidRPr="00E006A9">
        <w:rPr>
          <w:lang w:val="en-GB"/>
        </w:rPr>
        <w:t xml:space="preserve"> as a result, in 2019</w:t>
      </w:r>
      <w:r>
        <w:rPr>
          <w:lang w:val="en-GB"/>
        </w:rPr>
        <w:t>,</w:t>
      </w:r>
      <w:r w:rsidRPr="00E006A9">
        <w:rPr>
          <w:lang w:val="en-GB"/>
        </w:rPr>
        <w:t xml:space="preserve"> Internet services contributed 9.6 per cent of Xiaomi’s income, with the company reporting $9 billion in deals from IoT and lifestyle products, which was a 41.7 per cent jump from the previous year and the biggest growth among its business units. The IoT and lifestyle items business, which included smart home devices and wearables, comprised 30.2 per cent of </w:t>
      </w:r>
      <w:r w:rsidR="00F825D9">
        <w:rPr>
          <w:lang w:val="en-GB"/>
        </w:rPr>
        <w:t xml:space="preserve">Xiaomi’s </w:t>
      </w:r>
      <w:r w:rsidRPr="00E006A9">
        <w:rPr>
          <w:lang w:val="en-GB"/>
        </w:rPr>
        <w:t>revenue, whereas its core smartphones business comprised 59.3 per cent. Xiaomi’s intent was to repeat its smartphone success in the fast-developing smart home and wearables space.</w:t>
      </w:r>
      <w:r w:rsidRPr="00E006A9">
        <w:rPr>
          <w:rStyle w:val="EndnoteReference"/>
          <w:color w:val="000000" w:themeColor="text1"/>
          <w:lang w:val="en-GB"/>
        </w:rPr>
        <w:endnoteReference w:id="67"/>
      </w:r>
      <w:r w:rsidRPr="00E006A9">
        <w:rPr>
          <w:lang w:val="en-GB"/>
        </w:rPr>
        <w:t xml:space="preserve"> In 2019, Xiaomi reported 41.7 million shipments of wearable devices</w:t>
      </w:r>
      <w:r>
        <w:rPr>
          <w:lang w:val="en-GB"/>
        </w:rPr>
        <w:t>,</w:t>
      </w:r>
      <w:r w:rsidRPr="00E006A9">
        <w:rPr>
          <w:lang w:val="en-GB"/>
        </w:rPr>
        <w:t xml:space="preserve"> with YoY growth of 78.8 per cent over 2018.</w:t>
      </w:r>
      <w:r w:rsidRPr="00E006A9">
        <w:rPr>
          <w:rStyle w:val="EndnoteReference"/>
          <w:color w:val="000000" w:themeColor="text1"/>
          <w:lang w:val="en-GB"/>
        </w:rPr>
        <w:endnoteReference w:id="68"/>
      </w:r>
    </w:p>
    <w:p w14:paraId="1871FD55" w14:textId="799FA772" w:rsidR="006A4508" w:rsidRDefault="006A4508" w:rsidP="003A6C30">
      <w:pPr>
        <w:pStyle w:val="Casehead2"/>
        <w:rPr>
          <w:lang w:val="en-GB"/>
        </w:rPr>
      </w:pPr>
    </w:p>
    <w:p w14:paraId="7CE7C183" w14:textId="77777777" w:rsidR="006A4508" w:rsidRPr="00E006A9" w:rsidRDefault="006A4508" w:rsidP="003A6C30">
      <w:pPr>
        <w:pStyle w:val="Casehead2"/>
        <w:rPr>
          <w:lang w:val="en-GB"/>
        </w:rPr>
      </w:pPr>
    </w:p>
    <w:p w14:paraId="7BC7C090" w14:textId="4DE655AF" w:rsidR="006A4508" w:rsidRPr="00E006A9" w:rsidRDefault="006A4508" w:rsidP="003A6C30">
      <w:pPr>
        <w:pStyle w:val="Casehead2"/>
        <w:rPr>
          <w:lang w:val="en-GB"/>
        </w:rPr>
      </w:pPr>
      <w:r w:rsidRPr="00E006A9">
        <w:rPr>
          <w:lang w:val="en-GB"/>
        </w:rPr>
        <w:t>Samsung</w:t>
      </w:r>
    </w:p>
    <w:p w14:paraId="2EF5DD8B" w14:textId="77777777" w:rsidR="006A4508" w:rsidRPr="00E006A9" w:rsidRDefault="006A4508" w:rsidP="00C75D9F">
      <w:pPr>
        <w:pStyle w:val="BodyTextMain"/>
        <w:rPr>
          <w:lang w:val="en-GB"/>
        </w:rPr>
      </w:pPr>
    </w:p>
    <w:p w14:paraId="3B7D3A01" w14:textId="0E829202" w:rsidR="006A4508" w:rsidRPr="00E006A9" w:rsidRDefault="006A4508" w:rsidP="00C75D9F">
      <w:pPr>
        <w:pStyle w:val="BodyTextMain"/>
        <w:rPr>
          <w:lang w:val="en-GB"/>
        </w:rPr>
      </w:pPr>
      <w:r w:rsidRPr="00E006A9">
        <w:rPr>
          <w:lang w:val="en-GB"/>
        </w:rPr>
        <w:t xml:space="preserve">The Samsung Group was known for Samsung Electronics Co. Ltd. and a wide-ranging and diverse business portfolio spanning several industries, including financial services, information technology services, </w:t>
      </w:r>
      <w:r w:rsidRPr="00E006A9">
        <w:rPr>
          <w:lang w:val="en-GB"/>
        </w:rPr>
        <w:lastRenderedPageBreak/>
        <w:t>machinery, shipbuilding, and chemicals.</w:t>
      </w:r>
      <w:r w:rsidRPr="00E006A9">
        <w:rPr>
          <w:rStyle w:val="EndnoteReference"/>
          <w:color w:val="000000" w:themeColor="text1"/>
          <w:lang w:val="en-GB"/>
        </w:rPr>
        <w:endnoteReference w:id="69"/>
      </w:r>
      <w:r w:rsidRPr="00E006A9">
        <w:rPr>
          <w:lang w:val="en-GB"/>
        </w:rPr>
        <w:t xml:space="preserve"> After dominating the mobile and consumer durables market, Samsung aimed to lead the foray into wearable devices. Within six months into the 2013 launch of its first smartwatch, Galaxy Gear, Samsung launched the second generation of wearables—the Gear 2, the Gear Neo, and the Gear Fit. With the wearable devices designed and targeted for different market segments, Samsung tested out a nascent market with a strategy that had worked well for the company in smartphones.</w:t>
      </w:r>
      <w:r w:rsidRPr="00E006A9">
        <w:rPr>
          <w:rStyle w:val="EndnoteReference"/>
          <w:color w:val="000000" w:themeColor="text1"/>
          <w:lang w:val="en-GB"/>
        </w:rPr>
        <w:endnoteReference w:id="70"/>
      </w:r>
      <w:r w:rsidRPr="00E006A9">
        <w:rPr>
          <w:lang w:val="en-GB"/>
        </w:rPr>
        <w:t xml:space="preserve"> In 2019, Samsung recorded revenue of approximately $206 billion</w:t>
      </w:r>
      <w:r>
        <w:rPr>
          <w:lang w:val="en-GB"/>
        </w:rPr>
        <w:t>.</w:t>
      </w:r>
      <w:r w:rsidRPr="00E006A9">
        <w:rPr>
          <w:rStyle w:val="EndnoteReference"/>
          <w:color w:val="000000" w:themeColor="text1"/>
          <w:lang w:val="en-GB"/>
        </w:rPr>
        <w:endnoteReference w:id="71"/>
      </w:r>
      <w:r w:rsidRPr="00E006A9">
        <w:rPr>
          <w:lang w:val="en-GB"/>
        </w:rPr>
        <w:t xml:space="preserve"> </w:t>
      </w:r>
      <w:r>
        <w:rPr>
          <w:lang w:val="en-GB"/>
        </w:rPr>
        <w:t>According</w:t>
      </w:r>
      <w:r w:rsidRPr="00E006A9">
        <w:rPr>
          <w:lang w:val="en-GB"/>
        </w:rPr>
        <w:t xml:space="preserve"> to an International Data Corporation report, the company’s global shipment volume of wearable devices was 30.9 million for the same year, with YoY growth of 153.3 per cent over 2018.</w:t>
      </w:r>
      <w:r w:rsidRPr="00E006A9">
        <w:rPr>
          <w:rStyle w:val="EndnoteReference"/>
          <w:color w:val="000000" w:themeColor="text1"/>
          <w:lang w:val="en-GB"/>
        </w:rPr>
        <w:endnoteReference w:id="72"/>
      </w:r>
    </w:p>
    <w:p w14:paraId="484ED077" w14:textId="77777777" w:rsidR="006A4508" w:rsidRPr="00E006A9" w:rsidRDefault="006A4508" w:rsidP="00C75D9F">
      <w:pPr>
        <w:pStyle w:val="BodyTextMain"/>
        <w:rPr>
          <w:lang w:val="en-GB"/>
        </w:rPr>
      </w:pPr>
    </w:p>
    <w:p w14:paraId="381DAC89" w14:textId="77777777" w:rsidR="006A4508" w:rsidRPr="00E006A9" w:rsidRDefault="006A4508" w:rsidP="00C75D9F">
      <w:pPr>
        <w:pStyle w:val="BodyTextMain"/>
        <w:rPr>
          <w:lang w:val="en-GB"/>
        </w:rPr>
      </w:pPr>
    </w:p>
    <w:p w14:paraId="02E78A90" w14:textId="12A03721" w:rsidR="006A4508" w:rsidRPr="00E006A9" w:rsidRDefault="006A4508" w:rsidP="003A6C30">
      <w:pPr>
        <w:pStyle w:val="Casehead2"/>
        <w:rPr>
          <w:lang w:val="en-GB"/>
        </w:rPr>
      </w:pPr>
      <w:r w:rsidRPr="00E006A9">
        <w:rPr>
          <w:lang w:val="en-GB"/>
        </w:rPr>
        <w:t>Huawei</w:t>
      </w:r>
    </w:p>
    <w:p w14:paraId="276FB4EC" w14:textId="77777777" w:rsidR="006A4508" w:rsidRPr="00E006A9" w:rsidRDefault="006A4508" w:rsidP="00C75D9F">
      <w:pPr>
        <w:pStyle w:val="BodyTextMain"/>
        <w:rPr>
          <w:lang w:val="en-GB"/>
        </w:rPr>
      </w:pPr>
    </w:p>
    <w:p w14:paraId="31A86492" w14:textId="0E20A6E5" w:rsidR="006A4508" w:rsidRPr="00930549" w:rsidRDefault="006A4508" w:rsidP="00C75D9F">
      <w:pPr>
        <w:pStyle w:val="BodyTextMain"/>
        <w:rPr>
          <w:spacing w:val="-2"/>
          <w:lang w:val="en-GB"/>
        </w:rPr>
      </w:pPr>
      <w:r w:rsidRPr="00930549">
        <w:rPr>
          <w:spacing w:val="-2"/>
          <w:lang w:val="en-GB"/>
        </w:rPr>
        <w:t xml:space="preserve">Ren Zhengfeien, a former Chinese military officer, founded Huawei in 1987. Although the ownership structure was unknown, the privately held company was based in China’s technology hub, Shenzhen. Huawei started as a national supplier of telecommunications network equipment and began competing globally in the 1990s at </w:t>
      </w:r>
      <w:r w:rsidR="00260181" w:rsidRPr="00930549">
        <w:rPr>
          <w:spacing w:val="-2"/>
          <w:lang w:val="en-GB"/>
        </w:rPr>
        <w:t xml:space="preserve">heavily discounted </w:t>
      </w:r>
      <w:r w:rsidRPr="00930549">
        <w:rPr>
          <w:spacing w:val="-2"/>
          <w:lang w:val="en-GB"/>
        </w:rPr>
        <w:t>prices.</w:t>
      </w:r>
      <w:r w:rsidRPr="00930549">
        <w:rPr>
          <w:rStyle w:val="EndnoteReference"/>
          <w:color w:val="000000" w:themeColor="text1"/>
          <w:spacing w:val="-2"/>
          <w:lang w:val="en-GB"/>
        </w:rPr>
        <w:endnoteReference w:id="73"/>
      </w:r>
      <w:r w:rsidRPr="00930549">
        <w:rPr>
          <w:spacing w:val="-2"/>
          <w:lang w:val="en-GB"/>
        </w:rPr>
        <w:t xml:space="preserve"> After receiving the contract to build a fourth-generation wireless network for the Swedish company Telia Company AB in 2009, the supposedly Chin</w:t>
      </w:r>
      <w:r w:rsidR="00F825D9" w:rsidRPr="00930549">
        <w:rPr>
          <w:spacing w:val="-2"/>
          <w:lang w:val="en-GB"/>
        </w:rPr>
        <w:t>ese</w:t>
      </w:r>
      <w:r w:rsidRPr="00930549">
        <w:rPr>
          <w:spacing w:val="-2"/>
          <w:lang w:val="en-GB"/>
        </w:rPr>
        <w:t xml:space="preserve"> government-backed company increased its global footprint exponentially, and within a decade, in 2018, it became the largest telecom equipment company in the world, operating in around 170 countries and earning more than $107 billion in revenue. By 2019, Huawei had raced ahead of its competitors to not only become the world’s second-largest maker of smartphones after South Korea’s Samsung but also build every component of the revolutionary 5G technology from scratch, including the smartphone. The 5G wireless network technology was expected to offer a faster data speed and change the face of a global economy.</w:t>
      </w:r>
      <w:r w:rsidRPr="00930549">
        <w:rPr>
          <w:rStyle w:val="EndnoteReference"/>
          <w:color w:val="000000" w:themeColor="text1"/>
          <w:spacing w:val="-2"/>
          <w:lang w:val="en-GB"/>
        </w:rPr>
        <w:endnoteReference w:id="74"/>
      </w:r>
      <w:r w:rsidRPr="00930549">
        <w:rPr>
          <w:spacing w:val="-2"/>
          <w:lang w:val="en-GB"/>
        </w:rPr>
        <w:t xml:space="preserve"> Huawei first ventured into the wearable segment by introducing its Android-based smartwatch, Huawei Watch, in 2015 at the Mobile World Congress in Barcelona</w:t>
      </w:r>
      <w:r w:rsidRPr="00930549">
        <w:rPr>
          <w:rStyle w:val="EndnoteReference"/>
          <w:color w:val="000000" w:themeColor="text1"/>
          <w:spacing w:val="-2"/>
          <w:lang w:val="en-GB"/>
        </w:rPr>
        <w:endnoteReference w:id="75"/>
      </w:r>
      <w:r w:rsidRPr="00930549">
        <w:rPr>
          <w:spacing w:val="-2"/>
          <w:lang w:val="en-GB"/>
        </w:rPr>
        <w:t xml:space="preserve"> and had witnessed tremendous growth since then. By 2019, Huawei claimed the company had witnessed 170 per cent growth in the segment. The company started investing more in wearables, as these were no longer restricted to smartwatches and trackers</w:t>
      </w:r>
      <w:r w:rsidR="001C73EF" w:rsidRPr="00930549">
        <w:rPr>
          <w:spacing w:val="-2"/>
          <w:lang w:val="en-GB"/>
        </w:rPr>
        <w:t>,</w:t>
      </w:r>
      <w:r w:rsidRPr="00930549">
        <w:rPr>
          <w:spacing w:val="-2"/>
          <w:lang w:val="en-GB"/>
        </w:rPr>
        <w:t xml:space="preserve"> but had become essential to a smarter living strategy.</w:t>
      </w:r>
      <w:r w:rsidRPr="00930549">
        <w:rPr>
          <w:rStyle w:val="EndnoteReference"/>
          <w:color w:val="000000" w:themeColor="text1"/>
          <w:spacing w:val="-2"/>
          <w:lang w:val="en-GB"/>
        </w:rPr>
        <w:endnoteReference w:id="76"/>
      </w:r>
      <w:r w:rsidRPr="00930549">
        <w:rPr>
          <w:spacing w:val="-2"/>
          <w:lang w:val="en-GB"/>
        </w:rPr>
        <w:t xml:space="preserve"> In 2019, Huawei reported revenue of around $123 billion</w:t>
      </w:r>
      <w:r w:rsidRPr="00930549">
        <w:rPr>
          <w:rStyle w:val="EndnoteReference"/>
          <w:color w:val="000000" w:themeColor="text1"/>
          <w:spacing w:val="-2"/>
          <w:lang w:val="en-GB"/>
        </w:rPr>
        <w:endnoteReference w:id="77"/>
      </w:r>
      <w:r w:rsidRPr="00930549">
        <w:rPr>
          <w:spacing w:val="-2"/>
          <w:lang w:val="en-GB"/>
        </w:rPr>
        <w:t xml:space="preserve"> </w:t>
      </w:r>
      <w:r w:rsidRPr="00930549">
        <w:rPr>
          <w:spacing w:val="-2"/>
          <w:lang w:val="en-GB" w:eastAsia="en-IN"/>
        </w:rPr>
        <w:t>and</w:t>
      </w:r>
      <w:r w:rsidRPr="00930549">
        <w:rPr>
          <w:spacing w:val="-2"/>
          <w:lang w:val="en-GB"/>
        </w:rPr>
        <w:t xml:space="preserve"> 27.9 million shipments of wearable devices with YoY growth of 148.8 per cent over 2018.</w:t>
      </w:r>
      <w:r w:rsidRPr="00930549">
        <w:rPr>
          <w:rStyle w:val="EndnoteReference"/>
          <w:color w:val="000000" w:themeColor="text1"/>
          <w:spacing w:val="-2"/>
          <w:lang w:val="en-GB"/>
        </w:rPr>
        <w:endnoteReference w:id="78"/>
      </w:r>
    </w:p>
    <w:p w14:paraId="5835AB5E" w14:textId="77777777" w:rsidR="006A4508" w:rsidRPr="00E006A9" w:rsidRDefault="006A4508" w:rsidP="00C75D9F">
      <w:pPr>
        <w:pStyle w:val="BodyTextMain"/>
        <w:rPr>
          <w:lang w:val="en-GB"/>
        </w:rPr>
      </w:pPr>
    </w:p>
    <w:p w14:paraId="6CA6BCD0" w14:textId="77777777" w:rsidR="006A4508" w:rsidRPr="00E006A9" w:rsidRDefault="006A4508" w:rsidP="00C75D9F">
      <w:pPr>
        <w:pStyle w:val="BodyTextMain"/>
        <w:rPr>
          <w:lang w:val="en-GB"/>
        </w:rPr>
      </w:pPr>
    </w:p>
    <w:p w14:paraId="332F00AC" w14:textId="71D7192D" w:rsidR="006A4508" w:rsidRPr="00E006A9" w:rsidRDefault="006A4508" w:rsidP="006A3820">
      <w:pPr>
        <w:jc w:val="both"/>
        <w:rPr>
          <w:rFonts w:ascii="Arial" w:hAnsi="Arial" w:cs="Arial"/>
          <w:b/>
          <w:color w:val="000000" w:themeColor="text1"/>
          <w:lang w:val="en-GB"/>
        </w:rPr>
      </w:pPr>
      <w:r w:rsidRPr="00E006A9">
        <w:rPr>
          <w:rFonts w:ascii="Arial" w:hAnsi="Arial" w:cs="Arial"/>
          <w:b/>
          <w:color w:val="000000" w:themeColor="text1"/>
          <w:lang w:val="en-GB"/>
        </w:rPr>
        <w:t>GOOGLE’S FORAY INTO HEALTH CARE</w:t>
      </w:r>
    </w:p>
    <w:p w14:paraId="52FE13F6" w14:textId="77777777" w:rsidR="006A4508" w:rsidRPr="00E006A9" w:rsidRDefault="006A4508" w:rsidP="006A3820">
      <w:pPr>
        <w:jc w:val="both"/>
        <w:rPr>
          <w:rFonts w:ascii="Arial" w:hAnsi="Arial" w:cs="Arial"/>
          <w:b/>
          <w:color w:val="000000" w:themeColor="text1"/>
          <w:lang w:val="en-GB"/>
        </w:rPr>
      </w:pPr>
    </w:p>
    <w:p w14:paraId="2D39941D" w14:textId="5594215B" w:rsidR="006A4508" w:rsidRPr="00E006A9" w:rsidRDefault="006A4508" w:rsidP="00C75D9F">
      <w:pPr>
        <w:pStyle w:val="BodyTextMain"/>
        <w:rPr>
          <w:lang w:val="en-GB"/>
        </w:rPr>
      </w:pPr>
      <w:r w:rsidRPr="00E006A9">
        <w:rPr>
          <w:lang w:val="en-GB"/>
        </w:rPr>
        <w:t>Google’s initial health care initiative was Google Health, a patient portal introduced in 2008</w:t>
      </w:r>
      <w:r w:rsidR="0008510F">
        <w:rPr>
          <w:lang w:val="en-GB"/>
        </w:rPr>
        <w:t>,</w:t>
      </w:r>
      <w:r w:rsidRPr="00E006A9">
        <w:rPr>
          <w:lang w:val="en-GB"/>
        </w:rPr>
        <w:t xml:space="preserve"> and shut down by 2011. Learning from that mistake, Google began to direct its health care goals </w:t>
      </w:r>
      <w:r>
        <w:rPr>
          <w:lang w:val="en-GB"/>
        </w:rPr>
        <w:t>toward</w:t>
      </w:r>
      <w:r w:rsidRPr="00E006A9">
        <w:rPr>
          <w:lang w:val="en-GB"/>
        </w:rPr>
        <w:t xml:space="preserve"> designing AI to address </w:t>
      </w:r>
      <w:r>
        <w:rPr>
          <w:lang w:val="en-GB"/>
        </w:rPr>
        <w:t>health care</w:t>
      </w:r>
      <w:r w:rsidRPr="00E006A9">
        <w:rPr>
          <w:lang w:val="en-GB"/>
        </w:rPr>
        <w:t xml:space="preserve"> business issues without directly engaging with patients. Google’s acquisition of Fitbit was pertinent, decisive, and opportune, considering it was impossible for the company to be of any consequence in the health care sector without a consumer-engagement strategy. Health care organizations, on the other hand, saw this as an opportunity to have Google as “a one-stop-shop for consumer data capture and AI-generated health and wellness insights.”</w:t>
      </w:r>
      <w:r w:rsidRPr="00E006A9">
        <w:rPr>
          <w:rStyle w:val="EndnoteReference"/>
          <w:color w:val="000000" w:themeColor="text1"/>
          <w:lang w:val="en-GB"/>
        </w:rPr>
        <w:endnoteReference w:id="79"/>
      </w:r>
    </w:p>
    <w:p w14:paraId="49D791A6" w14:textId="77777777" w:rsidR="006A4508" w:rsidRPr="00E006A9" w:rsidRDefault="006A4508" w:rsidP="00C75D9F">
      <w:pPr>
        <w:pStyle w:val="BodyTextMain"/>
        <w:rPr>
          <w:lang w:val="en-GB"/>
        </w:rPr>
      </w:pPr>
    </w:p>
    <w:p w14:paraId="698848DD" w14:textId="580FA24C" w:rsidR="006A4508" w:rsidRPr="00930549" w:rsidRDefault="006A4508" w:rsidP="00C75D9F">
      <w:pPr>
        <w:pStyle w:val="BodyTextMain"/>
        <w:rPr>
          <w:spacing w:val="-4"/>
          <w:lang w:val="en-GB"/>
        </w:rPr>
      </w:pPr>
      <w:r w:rsidRPr="00930549">
        <w:rPr>
          <w:spacing w:val="-4"/>
          <w:lang w:val="en-GB"/>
        </w:rPr>
        <w:t xml:space="preserve">For Google, the acquisition was a watershed moment that promised to give the company a huge advantage in the analytics game. It meant that Google could harvest and explore data from the 28 million consumers using Fitbit every single day, and use this </w:t>
      </w:r>
      <w:r w:rsidR="00F825D9" w:rsidRPr="00930549">
        <w:rPr>
          <w:spacing w:val="-4"/>
          <w:lang w:val="en-GB"/>
        </w:rPr>
        <w:t xml:space="preserve">data </w:t>
      </w:r>
      <w:r w:rsidRPr="00930549">
        <w:rPr>
          <w:spacing w:val="-4"/>
          <w:lang w:val="en-GB"/>
        </w:rPr>
        <w:t>as a specific scientific advantage to push for customized health proposals. Google was expected to revolutionize the health care industry with its state-of-the-art AI technology and data platforms by triggering a shift from mere disease detection to recasting the health care payer system and making AI-powered bots for health care professionals. For Fitbit, the acquisition was an opportunity to realize its goal of making health care benefits accessible and available to more and more people in a very complex system that required partnering with major industry players to make a sizable impact. Fitbit CEO James Park felt that this goal could only be achieved by collaborating with “the largest players in health care.”</w:t>
      </w:r>
      <w:r w:rsidRPr="00930549">
        <w:rPr>
          <w:rStyle w:val="EndnoteReference"/>
          <w:color w:val="000000" w:themeColor="text1"/>
          <w:spacing w:val="-4"/>
          <w:lang w:val="en-GB"/>
        </w:rPr>
        <w:endnoteReference w:id="80"/>
      </w:r>
    </w:p>
    <w:p w14:paraId="6B54EB39" w14:textId="44DD294D" w:rsidR="006A4508" w:rsidRPr="00E006A9" w:rsidRDefault="006A4508" w:rsidP="001C2E8D">
      <w:pPr>
        <w:keepNext/>
        <w:jc w:val="both"/>
        <w:rPr>
          <w:rFonts w:ascii="Arial" w:hAnsi="Arial" w:cs="Arial"/>
          <w:b/>
          <w:color w:val="000000" w:themeColor="text1"/>
          <w:lang w:val="en-GB"/>
        </w:rPr>
      </w:pPr>
      <w:r>
        <w:rPr>
          <w:rFonts w:ascii="Arial" w:hAnsi="Arial" w:cs="Arial"/>
          <w:b/>
          <w:color w:val="000000" w:themeColor="text1"/>
          <w:lang w:val="en-GB"/>
        </w:rPr>
        <w:lastRenderedPageBreak/>
        <w:t>Anti-</w:t>
      </w:r>
      <w:r w:rsidR="001C73EF">
        <w:rPr>
          <w:rFonts w:ascii="Arial" w:hAnsi="Arial" w:cs="Arial"/>
          <w:b/>
          <w:color w:val="000000" w:themeColor="text1"/>
          <w:lang w:val="en-GB"/>
        </w:rPr>
        <w:t>C</w:t>
      </w:r>
      <w:r>
        <w:rPr>
          <w:rFonts w:ascii="Arial" w:hAnsi="Arial" w:cs="Arial"/>
          <w:b/>
          <w:color w:val="000000" w:themeColor="text1"/>
          <w:lang w:val="en-GB"/>
        </w:rPr>
        <w:t>ompetitive</w:t>
      </w:r>
      <w:r w:rsidRPr="00E006A9">
        <w:rPr>
          <w:rFonts w:ascii="Arial" w:hAnsi="Arial" w:cs="Arial"/>
          <w:b/>
          <w:color w:val="000000" w:themeColor="text1"/>
          <w:lang w:val="en-GB"/>
        </w:rPr>
        <w:t xml:space="preserve"> Practices and Privacy Concerns with Google</w:t>
      </w:r>
    </w:p>
    <w:p w14:paraId="33D0DFDF" w14:textId="77777777" w:rsidR="006A4508" w:rsidRPr="00E006A9" w:rsidRDefault="006A4508" w:rsidP="001C2E8D">
      <w:pPr>
        <w:pStyle w:val="BodyTextMain"/>
        <w:keepNext/>
        <w:rPr>
          <w:color w:val="000000" w:themeColor="text1"/>
          <w:lang w:val="en-GB"/>
        </w:rPr>
      </w:pPr>
    </w:p>
    <w:p w14:paraId="6F2932B8" w14:textId="5BB1E7C8" w:rsidR="006A4508" w:rsidRPr="00930549" w:rsidRDefault="006A4508" w:rsidP="001C2E8D">
      <w:pPr>
        <w:keepNext/>
        <w:jc w:val="both"/>
        <w:rPr>
          <w:color w:val="000000" w:themeColor="text1"/>
          <w:spacing w:val="-2"/>
          <w:sz w:val="22"/>
          <w:szCs w:val="22"/>
          <w:lang w:val="en-GB"/>
        </w:rPr>
      </w:pPr>
      <w:r w:rsidRPr="00930549">
        <w:rPr>
          <w:color w:val="000000" w:themeColor="text1"/>
          <w:spacing w:val="-2"/>
          <w:sz w:val="22"/>
          <w:szCs w:val="22"/>
          <w:lang w:val="en-GB"/>
        </w:rPr>
        <w:t xml:space="preserve">Google led around 90 per cent of all online searches in the United States. Its huge online advertising business accounted for almost $160 billion in annual sales. While the technology giant enjoyed a monopoly in business, it had been accused by the competition of favouring its own products and services over those of its rivals. </w:t>
      </w:r>
      <w:r w:rsidRPr="00930549">
        <w:rPr>
          <w:rStyle w:val="NoSpacingChar"/>
          <w:rFonts w:ascii="Times New Roman" w:hAnsi="Times New Roman"/>
          <w:color w:val="000000" w:themeColor="text1"/>
          <w:spacing w:val="-2"/>
          <w:sz w:val="22"/>
          <w:szCs w:val="22"/>
          <w:lang w:val="en-GB"/>
        </w:rPr>
        <w:t xml:space="preserve">In 2020, the company received three antitrust cases from the US Department of Justice and more than three dozen US states. </w:t>
      </w:r>
      <w:r w:rsidRPr="00930549">
        <w:rPr>
          <w:color w:val="000000" w:themeColor="text1"/>
          <w:spacing w:val="-2"/>
          <w:sz w:val="22"/>
          <w:szCs w:val="22"/>
          <w:lang w:val="en-GB"/>
        </w:rPr>
        <w:t>Two of the lawsuits were over Google’s monopoly in search and search-related activities, and the third accused Google of anti-competitive practices related to its advertising technology.</w:t>
      </w:r>
      <w:r w:rsidRPr="00930549">
        <w:rPr>
          <w:rStyle w:val="EndnoteReference"/>
          <w:color w:val="000000" w:themeColor="text1"/>
          <w:spacing w:val="-2"/>
          <w:sz w:val="22"/>
          <w:szCs w:val="22"/>
          <w:lang w:val="en-GB"/>
        </w:rPr>
        <w:endnoteReference w:id="81"/>
      </w:r>
    </w:p>
    <w:p w14:paraId="1A8BAC57" w14:textId="77777777" w:rsidR="006A4508" w:rsidRPr="00E006A9" w:rsidRDefault="006A4508" w:rsidP="00D660FD">
      <w:pPr>
        <w:jc w:val="both"/>
        <w:rPr>
          <w:color w:val="000000" w:themeColor="text1"/>
          <w:sz w:val="22"/>
          <w:szCs w:val="22"/>
          <w:lang w:val="en-GB"/>
        </w:rPr>
      </w:pPr>
    </w:p>
    <w:p w14:paraId="7B5F43DE" w14:textId="054FB496" w:rsidR="006A4508" w:rsidRPr="00E006A9" w:rsidRDefault="006A4508" w:rsidP="00D660FD">
      <w:pPr>
        <w:jc w:val="both"/>
        <w:rPr>
          <w:color w:val="000000" w:themeColor="text1"/>
          <w:sz w:val="22"/>
          <w:szCs w:val="22"/>
          <w:lang w:val="en-GB"/>
        </w:rPr>
      </w:pPr>
      <w:r w:rsidRPr="00E006A9">
        <w:rPr>
          <w:color w:val="000000" w:themeColor="text1"/>
          <w:sz w:val="22"/>
          <w:szCs w:val="22"/>
          <w:lang w:val="en-GB"/>
        </w:rPr>
        <w:t xml:space="preserve">In October 2020, the </w:t>
      </w:r>
      <w:r>
        <w:rPr>
          <w:color w:val="000000" w:themeColor="text1"/>
          <w:sz w:val="22"/>
          <w:szCs w:val="22"/>
          <w:lang w:val="en-GB"/>
        </w:rPr>
        <w:t>US</w:t>
      </w:r>
      <w:r w:rsidRPr="00E006A9">
        <w:rPr>
          <w:color w:val="000000" w:themeColor="text1"/>
          <w:sz w:val="22"/>
          <w:szCs w:val="22"/>
          <w:lang w:val="en-GB"/>
        </w:rPr>
        <w:t xml:space="preserve"> Department of Justice documented a milestone claim that accused the company of unlawfully blocking or gaining advantage over the competition by using its “massive financial resources” to pay mobile phone manufacturers such as Apple and Samsung to make Google the default browser on their devices, a move that blocked competitors from getting access to key distribution channels.</w:t>
      </w:r>
      <w:r w:rsidRPr="00E006A9">
        <w:rPr>
          <w:rStyle w:val="EndnoteReference"/>
          <w:color w:val="000000" w:themeColor="text1"/>
          <w:sz w:val="22"/>
          <w:szCs w:val="22"/>
          <w:lang w:val="en-GB"/>
        </w:rPr>
        <w:endnoteReference w:id="82"/>
      </w:r>
    </w:p>
    <w:p w14:paraId="10BB99AE" w14:textId="77777777" w:rsidR="006A4508" w:rsidRPr="00E006A9" w:rsidRDefault="006A4508" w:rsidP="00D660FD">
      <w:pPr>
        <w:jc w:val="both"/>
        <w:rPr>
          <w:color w:val="000000" w:themeColor="text1"/>
          <w:sz w:val="22"/>
          <w:szCs w:val="22"/>
          <w:lang w:val="en-GB"/>
        </w:rPr>
      </w:pPr>
    </w:p>
    <w:p w14:paraId="08036F9F" w14:textId="17DEED0D" w:rsidR="006A4508" w:rsidRPr="00E006A9" w:rsidRDefault="006A4508" w:rsidP="00D660FD">
      <w:pPr>
        <w:jc w:val="both"/>
        <w:rPr>
          <w:color w:val="000000" w:themeColor="text1"/>
          <w:sz w:val="22"/>
          <w:szCs w:val="22"/>
          <w:lang w:val="en-GB"/>
        </w:rPr>
      </w:pPr>
      <w:r w:rsidRPr="00E006A9">
        <w:rPr>
          <w:color w:val="000000" w:themeColor="text1"/>
          <w:sz w:val="22"/>
          <w:szCs w:val="22"/>
          <w:lang w:val="en-GB"/>
        </w:rPr>
        <w:t>In December 2020, 38 states filed a lawsuit accusing Google of “illegally maintaining ‘untrammelled’ power in general search services and search advertising,” claiming that the company had used its position to become the default search engine not only on web browsers and smartphones</w:t>
      </w:r>
      <w:r w:rsidR="00F91430">
        <w:rPr>
          <w:color w:val="000000" w:themeColor="text1"/>
          <w:sz w:val="22"/>
          <w:szCs w:val="22"/>
          <w:lang w:val="en-GB"/>
        </w:rPr>
        <w:t>,</w:t>
      </w:r>
      <w:r w:rsidRPr="00E006A9">
        <w:rPr>
          <w:color w:val="000000" w:themeColor="text1"/>
          <w:sz w:val="22"/>
          <w:szCs w:val="22"/>
          <w:lang w:val="en-GB"/>
        </w:rPr>
        <w:t xml:space="preserve"> but also in newer technologies such as smart speakers and Internet-connected cars. Google was also accused of cutting a deal with Facebook Inc., its largest potential online threat, where the social media giant would curb its advertising to make room for Google </w:t>
      </w:r>
      <w:r>
        <w:rPr>
          <w:color w:val="000000" w:themeColor="text1"/>
          <w:sz w:val="22"/>
          <w:szCs w:val="22"/>
          <w:lang w:val="en-GB"/>
        </w:rPr>
        <w:t>Ads</w:t>
      </w:r>
      <w:r w:rsidRPr="00E006A9">
        <w:rPr>
          <w:color w:val="000000" w:themeColor="text1"/>
          <w:sz w:val="22"/>
          <w:szCs w:val="22"/>
          <w:lang w:val="en-GB"/>
        </w:rPr>
        <w:t xml:space="preserve"> auctions as a means to </w:t>
      </w:r>
      <w:r>
        <w:rPr>
          <w:color w:val="000000" w:themeColor="text1"/>
          <w:sz w:val="22"/>
          <w:szCs w:val="22"/>
          <w:lang w:val="en-GB"/>
        </w:rPr>
        <w:t>pre-empt</w:t>
      </w:r>
      <w:r w:rsidRPr="00E006A9">
        <w:rPr>
          <w:color w:val="000000" w:themeColor="text1"/>
          <w:sz w:val="22"/>
          <w:szCs w:val="22"/>
          <w:lang w:val="en-GB"/>
        </w:rPr>
        <w:t xml:space="preserve"> and kill the competition.</w:t>
      </w:r>
      <w:r w:rsidRPr="00E006A9">
        <w:rPr>
          <w:rStyle w:val="EndnoteReference"/>
          <w:color w:val="000000" w:themeColor="text1"/>
          <w:sz w:val="22"/>
          <w:szCs w:val="22"/>
          <w:lang w:val="en-GB"/>
        </w:rPr>
        <w:endnoteReference w:id="83"/>
      </w:r>
    </w:p>
    <w:p w14:paraId="06DDDE36" w14:textId="77777777" w:rsidR="006A4508" w:rsidRPr="00E006A9" w:rsidRDefault="006A4508" w:rsidP="00D660FD">
      <w:pPr>
        <w:pStyle w:val="BodyTextMain"/>
        <w:rPr>
          <w:lang w:val="en-GB"/>
        </w:rPr>
      </w:pPr>
    </w:p>
    <w:p w14:paraId="08A280FB" w14:textId="7CCF5905" w:rsidR="006A4508" w:rsidRPr="00E006A9" w:rsidRDefault="006A4508" w:rsidP="00D660FD">
      <w:pPr>
        <w:jc w:val="both"/>
        <w:rPr>
          <w:sz w:val="22"/>
          <w:szCs w:val="22"/>
          <w:lang w:val="en-GB"/>
        </w:rPr>
      </w:pPr>
      <w:r>
        <w:rPr>
          <w:sz w:val="22"/>
          <w:szCs w:val="22"/>
          <w:lang w:val="en-GB"/>
        </w:rPr>
        <w:t>The lawsuit against Google</w:t>
      </w:r>
      <w:r w:rsidRPr="00E006A9">
        <w:rPr>
          <w:sz w:val="22"/>
          <w:szCs w:val="22"/>
          <w:lang w:val="en-GB"/>
        </w:rPr>
        <w:t xml:space="preserve"> was presented in a blog post by Kent Walker, the company’s senior vice-president for global affairs and chief legal officer, as one that was “deeply flawed.” He asserted that it was not wrong to pay phone makers to gain “eye-level” shelf space and that rivals could do the same. He stated that people chose rather than were coerced to use Google. In another response, the company’s director of economic policy, Adam Cohen, echoed Walker’s sentiments and added that people could always turn to search results provided on Amazon.com, Expedia, or Tripadvisor if they did not find Google results convincing enough. He also opposed the lawsuits’ suggestion to change Google’s search design from direct links with businesses to one that included intermediaries. He considered this to be detrimental to retailers, restaurants, repair shops, airlines, and hotels, who would struggle to reach new clients if big commerce and travel platforms and other aggregators and intermediaries were involved. Google maintained that it was prepared to counter all allegations and work through the issues.</w:t>
      </w:r>
      <w:r w:rsidRPr="00E006A9">
        <w:rPr>
          <w:rStyle w:val="EndnoteReference"/>
          <w:sz w:val="22"/>
          <w:szCs w:val="22"/>
          <w:lang w:val="en-GB"/>
        </w:rPr>
        <w:endnoteReference w:id="84"/>
      </w:r>
    </w:p>
    <w:p w14:paraId="2DFD4629" w14:textId="77777777" w:rsidR="006A4508" w:rsidRPr="00E006A9" w:rsidRDefault="006A4508" w:rsidP="00D660FD">
      <w:pPr>
        <w:jc w:val="both"/>
        <w:rPr>
          <w:sz w:val="22"/>
          <w:szCs w:val="22"/>
          <w:lang w:val="en-GB"/>
        </w:rPr>
      </w:pPr>
    </w:p>
    <w:p w14:paraId="3615C18A" w14:textId="757B4236" w:rsidR="006A4508" w:rsidRPr="00E006A9" w:rsidRDefault="006A4508" w:rsidP="00D660FD">
      <w:pPr>
        <w:pStyle w:val="BodyTextMain"/>
        <w:rPr>
          <w:lang w:val="en-GB"/>
        </w:rPr>
      </w:pPr>
      <w:r w:rsidRPr="00E006A9">
        <w:rPr>
          <w:lang w:val="en-GB"/>
        </w:rPr>
        <w:t xml:space="preserve">In June 2020, an article on the media website CNET claimed that Google automatically gathered and deleted a considerable amount of personal data about users even though users could manage it on their own and limit its access to it. Google Maps tracked users’ whereabouts even when the app was not opened, irrespective of whether it was an Apple or Android device, and Google recorded </w:t>
      </w:r>
      <w:r>
        <w:rPr>
          <w:lang w:val="en-GB"/>
        </w:rPr>
        <w:t>users’</w:t>
      </w:r>
      <w:r w:rsidRPr="00E006A9">
        <w:rPr>
          <w:lang w:val="en-GB"/>
        </w:rPr>
        <w:t xml:space="preserve"> every search and every video watched on YouTube.</w:t>
      </w:r>
      <w:r w:rsidRPr="00E006A9">
        <w:rPr>
          <w:rStyle w:val="EndnoteReference"/>
          <w:lang w:val="en-GB"/>
        </w:rPr>
        <w:endnoteReference w:id="85"/>
      </w:r>
      <w:r w:rsidRPr="00E006A9">
        <w:rPr>
          <w:lang w:val="en-GB"/>
        </w:rPr>
        <w:t xml:space="preserve"> Such deep tracking methods and access to user data validated Fitbit users’ concerns about the acquisition.</w:t>
      </w:r>
    </w:p>
    <w:p w14:paraId="7BAE9C0D" w14:textId="77777777" w:rsidR="006A4508" w:rsidRPr="00E006A9" w:rsidRDefault="006A4508" w:rsidP="00D660FD">
      <w:pPr>
        <w:pStyle w:val="BodyTextMain"/>
        <w:rPr>
          <w:lang w:val="en-GB"/>
        </w:rPr>
      </w:pPr>
    </w:p>
    <w:p w14:paraId="74A5A584" w14:textId="4043BF01" w:rsidR="006A4508" w:rsidRPr="0008510F" w:rsidRDefault="006A4508" w:rsidP="00D660FD">
      <w:pPr>
        <w:pStyle w:val="BodyTextMain"/>
        <w:rPr>
          <w:color w:val="000000" w:themeColor="text1"/>
          <w:spacing w:val="-2"/>
          <w:lang w:val="en-GB"/>
        </w:rPr>
      </w:pPr>
      <w:r w:rsidRPr="0008510F">
        <w:rPr>
          <w:color w:val="000000" w:themeColor="text1"/>
          <w:spacing w:val="-2"/>
          <w:lang w:val="en-GB"/>
        </w:rPr>
        <w:t>The apprehension over personal data gathering was that companies with access to such data could deliberately or inadvertently misuse it. For example, data from fitness tracking devices could be used to establish that a person had a particular health condition that the user may or may not be aware of and categorize the user as a client, or slot the person into the high-risk, high-budget category. The concern stemmed from the fact that businesses or insurance agencies on the lookout for clients for wellness and incentive programs would most likely disregard data protection laws when gathering and using health data, unlike doctors or clinics. Besides this, such data was susceptible to being sold or hacked, considering these were held in databases that did not have security guidelines as stringent as those for electronic health records.</w:t>
      </w:r>
      <w:r w:rsidRPr="0008510F">
        <w:rPr>
          <w:rStyle w:val="EndnoteReference"/>
          <w:rFonts w:eastAsiaTheme="majorEastAsia"/>
          <w:color w:val="000000" w:themeColor="text1"/>
          <w:spacing w:val="-2"/>
          <w:lang w:val="en-GB"/>
        </w:rPr>
        <w:endnoteReference w:id="86"/>
      </w:r>
    </w:p>
    <w:p w14:paraId="11CBB078" w14:textId="77777777" w:rsidR="006A4508" w:rsidRPr="00E006A9" w:rsidRDefault="006A4508" w:rsidP="00D660FD">
      <w:pPr>
        <w:pStyle w:val="BodyTextMain"/>
        <w:rPr>
          <w:color w:val="000000" w:themeColor="text1"/>
          <w:lang w:val="en-GB"/>
        </w:rPr>
      </w:pPr>
    </w:p>
    <w:p w14:paraId="43792BC0" w14:textId="2F75D7E3" w:rsidR="006A4508" w:rsidRPr="00E006A9" w:rsidRDefault="006A4508" w:rsidP="00D660FD">
      <w:pPr>
        <w:pStyle w:val="BodyTextMain"/>
        <w:rPr>
          <w:lang w:val="en-GB"/>
        </w:rPr>
      </w:pPr>
      <w:r w:rsidRPr="00E006A9">
        <w:rPr>
          <w:color w:val="000000" w:themeColor="text1"/>
          <w:lang w:val="en-GB"/>
        </w:rPr>
        <w:lastRenderedPageBreak/>
        <w:t xml:space="preserve">Further, employers could utilize data from fitness devices to terminate employees with long-term lifestyle diseases who might be a drain on their resources. Also, if employers were to establish fitness groups, it could lead to less-fit employees being </w:t>
      </w:r>
      <w:r w:rsidR="0008510F">
        <w:rPr>
          <w:color w:val="000000" w:themeColor="text1"/>
          <w:lang w:val="en-GB"/>
        </w:rPr>
        <w:t>body-</w:t>
      </w:r>
      <w:r w:rsidRPr="00E006A9">
        <w:rPr>
          <w:color w:val="000000" w:themeColor="text1"/>
          <w:lang w:val="en-GB"/>
        </w:rPr>
        <w:t>shamed or discriminated against, likely adding to emotional pressure and perhaps forcing some people to adopt unhealthier lifestyle choices to be perceived as fit.</w:t>
      </w:r>
      <w:r w:rsidRPr="00E006A9">
        <w:rPr>
          <w:rStyle w:val="EndnoteReference"/>
          <w:rFonts w:eastAsiaTheme="majorEastAsia"/>
          <w:color w:val="000000" w:themeColor="text1"/>
          <w:lang w:val="en-GB"/>
        </w:rPr>
        <w:endnoteReference w:id="87"/>
      </w:r>
    </w:p>
    <w:p w14:paraId="5FB8C360" w14:textId="77777777" w:rsidR="006A4508" w:rsidRPr="00E006A9" w:rsidRDefault="006A4508" w:rsidP="00C75D9F">
      <w:pPr>
        <w:pStyle w:val="BodyTextMain"/>
        <w:rPr>
          <w:lang w:val="en-GB"/>
        </w:rPr>
      </w:pPr>
    </w:p>
    <w:p w14:paraId="676103A8" w14:textId="77777777" w:rsidR="006A4508" w:rsidRPr="00E006A9" w:rsidRDefault="006A4508" w:rsidP="00C75D9F">
      <w:pPr>
        <w:pStyle w:val="BodyTextMain"/>
        <w:rPr>
          <w:lang w:val="en-GB"/>
        </w:rPr>
      </w:pPr>
    </w:p>
    <w:p w14:paraId="2C60242C" w14:textId="14A806A8" w:rsidR="006A4508" w:rsidRPr="00E006A9" w:rsidRDefault="006A4508" w:rsidP="00C75D9F">
      <w:pPr>
        <w:pStyle w:val="Casehead1"/>
        <w:rPr>
          <w:lang w:val="en-GB"/>
        </w:rPr>
      </w:pPr>
      <w:r w:rsidRPr="00E006A9">
        <w:rPr>
          <w:lang w:val="en-GB"/>
        </w:rPr>
        <w:t>THE WAY FORWARD</w:t>
      </w:r>
    </w:p>
    <w:p w14:paraId="5EB6DEE0" w14:textId="77777777" w:rsidR="006A4508" w:rsidRPr="00E006A9" w:rsidRDefault="006A4508" w:rsidP="00C75D9F">
      <w:pPr>
        <w:pStyle w:val="BodyTextMain"/>
        <w:rPr>
          <w:lang w:val="en-GB"/>
        </w:rPr>
      </w:pPr>
    </w:p>
    <w:p w14:paraId="799FC73F" w14:textId="42D6C377" w:rsidR="006A3820" w:rsidRPr="00930549" w:rsidRDefault="006A4508" w:rsidP="00BB6011">
      <w:pPr>
        <w:pStyle w:val="BodyTextMain"/>
        <w:rPr>
          <w:spacing w:val="2"/>
        </w:rPr>
      </w:pPr>
      <w:r w:rsidRPr="00930549">
        <w:rPr>
          <w:spacing w:val="2"/>
        </w:rPr>
        <w:t>Google’s Fitbit acquisition was a big leap into the wearable devices and health care technology segment in a scenario where revenue from smartwatch sales was set to double to $34 billion by 2023</w:t>
      </w:r>
      <w:r w:rsidRPr="00930549">
        <w:rPr>
          <w:rStyle w:val="EndnoteReference"/>
          <w:spacing w:val="2"/>
        </w:rPr>
        <w:endnoteReference w:id="88"/>
      </w:r>
      <w:r w:rsidRPr="00930549">
        <w:rPr>
          <w:spacing w:val="2"/>
        </w:rPr>
        <w:t xml:space="preserve"> and the global medical wearables market was expected to grow to $37.67 billion by 2025.</w:t>
      </w:r>
      <w:r w:rsidRPr="00930549">
        <w:rPr>
          <w:rStyle w:val="EndnoteReference"/>
          <w:spacing w:val="2"/>
        </w:rPr>
        <w:endnoteReference w:id="89"/>
      </w:r>
      <w:r w:rsidRPr="00930549">
        <w:rPr>
          <w:spacing w:val="2"/>
        </w:rPr>
        <w:t xml:space="preserve"> However, smartphone players such as Apple and Samsung had dethroned Fitbit during 2017–2019.</w:t>
      </w:r>
      <w:r w:rsidRPr="00930549">
        <w:rPr>
          <w:rStyle w:val="EndnoteReference"/>
          <w:spacing w:val="2"/>
        </w:rPr>
        <w:endnoteReference w:id="90"/>
      </w:r>
      <w:r w:rsidRPr="00930549">
        <w:rPr>
          <w:spacing w:val="2"/>
        </w:rPr>
        <w:t xml:space="preserve"> Despite being a major data player with billions of dollars of investment in the development of smartphones, watches, and smart home devices, Google had lagged behind its competitors because of hardware issues.</w:t>
      </w:r>
      <w:r w:rsidRPr="00930549">
        <w:rPr>
          <w:rStyle w:val="EndnoteReference"/>
          <w:spacing w:val="2"/>
        </w:rPr>
        <w:endnoteReference w:id="91"/>
      </w:r>
      <w:r w:rsidRPr="00930549">
        <w:rPr>
          <w:spacing w:val="2"/>
        </w:rPr>
        <w:t xml:space="preserve"> While Google could rewrite its history of hardware failures and attempt to change the trend and push for innovation even though Fitbit had earlier failed to match its smartwatch rivals,</w:t>
      </w:r>
      <w:r w:rsidRPr="00930549">
        <w:rPr>
          <w:rStyle w:val="EndnoteReference"/>
          <w:spacing w:val="2"/>
        </w:rPr>
        <w:endnoteReference w:id="92"/>
      </w:r>
      <w:r w:rsidRPr="00930549">
        <w:rPr>
          <w:spacing w:val="2"/>
        </w:rPr>
        <w:t xml:space="preserve"> loyal Fitbit users’ threats on social media to leave the brand because of data privacy and security issues could be a major cause for concern.</w:t>
      </w:r>
      <w:r w:rsidRPr="00930549">
        <w:rPr>
          <w:rStyle w:val="EndnoteReference"/>
          <w:spacing w:val="2"/>
        </w:rPr>
        <w:endnoteReference w:id="93"/>
      </w:r>
      <w:r w:rsidRPr="00930549">
        <w:rPr>
          <w:spacing w:val="2"/>
        </w:rPr>
        <w:t xml:space="preserve"> </w:t>
      </w:r>
      <w:r w:rsidR="006A3820" w:rsidRPr="00930549">
        <w:rPr>
          <w:spacing w:val="2"/>
        </w:rPr>
        <w:t xml:space="preserve">With so much growth expected across digital </w:t>
      </w:r>
      <w:r w:rsidR="00D83596" w:rsidRPr="00930549">
        <w:rPr>
          <w:spacing w:val="2"/>
        </w:rPr>
        <w:t>health care</w:t>
      </w:r>
      <w:r w:rsidR="006A3820" w:rsidRPr="00930549">
        <w:rPr>
          <w:spacing w:val="2"/>
        </w:rPr>
        <w:t xml:space="preserve"> and wearables</w:t>
      </w:r>
      <w:r w:rsidR="00D74E7C" w:rsidRPr="00930549">
        <w:rPr>
          <w:spacing w:val="2"/>
        </w:rPr>
        <w:t>,</w:t>
      </w:r>
      <w:r w:rsidR="006A3820" w:rsidRPr="00930549">
        <w:rPr>
          <w:spacing w:val="2"/>
        </w:rPr>
        <w:t xml:space="preserve"> and </w:t>
      </w:r>
      <w:r w:rsidR="00D74E7C" w:rsidRPr="00930549">
        <w:rPr>
          <w:spacing w:val="2"/>
        </w:rPr>
        <w:t xml:space="preserve">with </w:t>
      </w:r>
      <w:r w:rsidR="00E12D32" w:rsidRPr="00930549">
        <w:rPr>
          <w:spacing w:val="2"/>
        </w:rPr>
        <w:t xml:space="preserve">the </w:t>
      </w:r>
      <w:r w:rsidR="006A3820" w:rsidRPr="00930549">
        <w:rPr>
          <w:spacing w:val="2"/>
        </w:rPr>
        <w:t>immense access to user health data</w:t>
      </w:r>
      <w:r w:rsidR="00E12D32" w:rsidRPr="00930549">
        <w:rPr>
          <w:spacing w:val="2"/>
        </w:rPr>
        <w:t xml:space="preserve"> that it w</w:t>
      </w:r>
      <w:r w:rsidR="0082728F" w:rsidRPr="00930549">
        <w:rPr>
          <w:spacing w:val="2"/>
        </w:rPr>
        <w:t>ould</w:t>
      </w:r>
      <w:r w:rsidR="00E12D32" w:rsidRPr="00930549">
        <w:rPr>
          <w:spacing w:val="2"/>
        </w:rPr>
        <w:t xml:space="preserve"> gain, Google w</w:t>
      </w:r>
      <w:r w:rsidR="0082728F" w:rsidRPr="00930549">
        <w:rPr>
          <w:spacing w:val="2"/>
        </w:rPr>
        <w:t>ould</w:t>
      </w:r>
      <w:r w:rsidR="00E12D32" w:rsidRPr="00930549">
        <w:rPr>
          <w:spacing w:val="2"/>
        </w:rPr>
        <w:t xml:space="preserve"> no doubt seek to make the impact it hope</w:t>
      </w:r>
      <w:r w:rsidR="0082728F" w:rsidRPr="00930549">
        <w:rPr>
          <w:spacing w:val="2"/>
        </w:rPr>
        <w:t>d</w:t>
      </w:r>
      <w:r w:rsidR="00E12D32" w:rsidRPr="00930549">
        <w:rPr>
          <w:spacing w:val="2"/>
        </w:rPr>
        <w:t xml:space="preserve"> to </w:t>
      </w:r>
      <w:r w:rsidR="0082728F" w:rsidRPr="00930549">
        <w:rPr>
          <w:spacing w:val="2"/>
        </w:rPr>
        <w:t xml:space="preserve">have </w:t>
      </w:r>
      <w:r w:rsidR="00E12D32" w:rsidRPr="00930549">
        <w:rPr>
          <w:spacing w:val="2"/>
        </w:rPr>
        <w:t>from the acquisition</w:t>
      </w:r>
      <w:r w:rsidR="00375066" w:rsidRPr="00930549">
        <w:rPr>
          <w:spacing w:val="2"/>
        </w:rPr>
        <w:t xml:space="preserve">. But </w:t>
      </w:r>
      <w:r w:rsidR="0082728F" w:rsidRPr="00930549">
        <w:rPr>
          <w:spacing w:val="2"/>
        </w:rPr>
        <w:t xml:space="preserve">in its desire to leverage Fitbit’s user loyalty, technical strengths, and health care partnerships, </w:t>
      </w:r>
      <w:r w:rsidR="00F4197A" w:rsidRPr="00930549">
        <w:rPr>
          <w:spacing w:val="2"/>
        </w:rPr>
        <w:t>w</w:t>
      </w:r>
      <w:r w:rsidR="007B5B51" w:rsidRPr="00930549">
        <w:rPr>
          <w:spacing w:val="2"/>
        </w:rPr>
        <w:t>ould</w:t>
      </w:r>
      <w:r w:rsidR="00F4197A" w:rsidRPr="00930549">
        <w:rPr>
          <w:spacing w:val="2"/>
        </w:rPr>
        <w:t xml:space="preserve"> </w:t>
      </w:r>
      <w:r w:rsidR="00485707" w:rsidRPr="00930549">
        <w:rPr>
          <w:spacing w:val="2"/>
        </w:rPr>
        <w:t xml:space="preserve">Google </w:t>
      </w:r>
      <w:r w:rsidR="003D0C7F" w:rsidRPr="00930549">
        <w:rPr>
          <w:spacing w:val="2"/>
        </w:rPr>
        <w:t xml:space="preserve">succeed in </w:t>
      </w:r>
      <w:r w:rsidR="00485707" w:rsidRPr="00930549">
        <w:rPr>
          <w:spacing w:val="2"/>
        </w:rPr>
        <w:t>keep</w:t>
      </w:r>
      <w:r w:rsidR="003D0C7F" w:rsidRPr="00930549">
        <w:rPr>
          <w:spacing w:val="2"/>
        </w:rPr>
        <w:t>ing</w:t>
      </w:r>
      <w:r w:rsidR="00485707" w:rsidRPr="00930549">
        <w:rPr>
          <w:spacing w:val="2"/>
        </w:rPr>
        <w:t xml:space="preserve"> </w:t>
      </w:r>
      <w:proofErr w:type="spellStart"/>
      <w:r w:rsidR="00485707" w:rsidRPr="00930549">
        <w:rPr>
          <w:spacing w:val="2"/>
        </w:rPr>
        <w:t>Osterloh</w:t>
      </w:r>
      <w:r w:rsidR="007B5B51" w:rsidRPr="00930549">
        <w:rPr>
          <w:spacing w:val="2"/>
        </w:rPr>
        <w:t>’s</w:t>
      </w:r>
      <w:proofErr w:type="spellEnd"/>
      <w:r w:rsidR="00485707" w:rsidRPr="00930549">
        <w:rPr>
          <w:spacing w:val="2"/>
        </w:rPr>
        <w:t xml:space="preserve"> promises </w:t>
      </w:r>
      <w:r w:rsidR="00C76609" w:rsidRPr="00930549">
        <w:rPr>
          <w:spacing w:val="2"/>
        </w:rPr>
        <w:t xml:space="preserve">to </w:t>
      </w:r>
      <w:r w:rsidR="00485707" w:rsidRPr="00930549">
        <w:rPr>
          <w:spacing w:val="2"/>
        </w:rPr>
        <w:t xml:space="preserve">not </w:t>
      </w:r>
      <w:r w:rsidR="00C76609" w:rsidRPr="00930549">
        <w:rPr>
          <w:spacing w:val="2"/>
        </w:rPr>
        <w:t xml:space="preserve">sell </w:t>
      </w:r>
      <w:r w:rsidR="00485707" w:rsidRPr="00930549">
        <w:rPr>
          <w:spacing w:val="2"/>
        </w:rPr>
        <w:t xml:space="preserve">data </w:t>
      </w:r>
      <w:r w:rsidR="00C76609" w:rsidRPr="00930549">
        <w:rPr>
          <w:spacing w:val="2"/>
        </w:rPr>
        <w:t>or inundate</w:t>
      </w:r>
      <w:r w:rsidR="00485707" w:rsidRPr="00930549">
        <w:rPr>
          <w:spacing w:val="2"/>
        </w:rPr>
        <w:t xml:space="preserve"> users with ads</w:t>
      </w:r>
      <w:r w:rsidR="007B5B51" w:rsidRPr="00930549">
        <w:rPr>
          <w:spacing w:val="2"/>
        </w:rPr>
        <w:t>,</w:t>
      </w:r>
      <w:r w:rsidR="00485707" w:rsidRPr="00930549">
        <w:rPr>
          <w:spacing w:val="2"/>
        </w:rPr>
        <w:t xml:space="preserve"> post</w:t>
      </w:r>
      <w:r w:rsidR="007B5B51" w:rsidRPr="00930549">
        <w:rPr>
          <w:spacing w:val="2"/>
        </w:rPr>
        <w:t>-</w:t>
      </w:r>
      <w:r w:rsidR="00893FB2" w:rsidRPr="00930549">
        <w:rPr>
          <w:spacing w:val="2"/>
        </w:rPr>
        <w:t>acquisition</w:t>
      </w:r>
      <w:r w:rsidR="007B5B51" w:rsidRPr="00930549">
        <w:rPr>
          <w:spacing w:val="2"/>
        </w:rPr>
        <w:t>,</w:t>
      </w:r>
      <w:r w:rsidR="00893FB2" w:rsidRPr="00930549">
        <w:rPr>
          <w:spacing w:val="2"/>
        </w:rPr>
        <w:t xml:space="preserve"> </w:t>
      </w:r>
      <w:r w:rsidR="00485707" w:rsidRPr="00930549">
        <w:rPr>
          <w:spacing w:val="2"/>
        </w:rPr>
        <w:t>as it trie</w:t>
      </w:r>
      <w:r w:rsidR="007B5B51" w:rsidRPr="00930549">
        <w:rPr>
          <w:spacing w:val="2"/>
        </w:rPr>
        <w:t>d</w:t>
      </w:r>
      <w:r w:rsidR="00485707" w:rsidRPr="00930549">
        <w:rPr>
          <w:spacing w:val="2"/>
        </w:rPr>
        <w:t xml:space="preserve"> to right its </w:t>
      </w:r>
      <w:r w:rsidR="009A024E" w:rsidRPr="00930549">
        <w:rPr>
          <w:spacing w:val="2"/>
        </w:rPr>
        <w:t xml:space="preserve">hardware wrongs and </w:t>
      </w:r>
      <w:proofErr w:type="spellStart"/>
      <w:r w:rsidR="00065E9E" w:rsidRPr="00930549">
        <w:rPr>
          <w:spacing w:val="2"/>
        </w:rPr>
        <w:t>manoeuvre</w:t>
      </w:r>
      <w:proofErr w:type="spellEnd"/>
      <w:r w:rsidR="006A3820" w:rsidRPr="00930549">
        <w:rPr>
          <w:spacing w:val="2"/>
        </w:rPr>
        <w:t xml:space="preserve"> past </w:t>
      </w:r>
      <w:r w:rsidR="009A024E" w:rsidRPr="00930549">
        <w:rPr>
          <w:spacing w:val="2"/>
        </w:rPr>
        <w:t xml:space="preserve">data-privacy </w:t>
      </w:r>
      <w:r w:rsidR="006A3820" w:rsidRPr="00930549">
        <w:rPr>
          <w:spacing w:val="2"/>
        </w:rPr>
        <w:t>hurdles</w:t>
      </w:r>
      <w:r w:rsidR="0082728F" w:rsidRPr="00930549">
        <w:rPr>
          <w:spacing w:val="2"/>
        </w:rPr>
        <w:t>?</w:t>
      </w:r>
      <w:r w:rsidR="006A3820" w:rsidRPr="00930549">
        <w:rPr>
          <w:spacing w:val="2"/>
        </w:rPr>
        <w:t xml:space="preserve"> </w:t>
      </w:r>
      <w:r w:rsidR="0082728F" w:rsidRPr="00930549">
        <w:rPr>
          <w:spacing w:val="2"/>
        </w:rPr>
        <w:t>A</w:t>
      </w:r>
      <w:r w:rsidR="00F4197A" w:rsidRPr="00930549">
        <w:rPr>
          <w:spacing w:val="2"/>
        </w:rPr>
        <w:t>nd w</w:t>
      </w:r>
      <w:r w:rsidR="0082728F" w:rsidRPr="00930549">
        <w:rPr>
          <w:spacing w:val="2"/>
        </w:rPr>
        <w:t>ould</w:t>
      </w:r>
      <w:r w:rsidR="00F4197A" w:rsidRPr="00930549">
        <w:rPr>
          <w:spacing w:val="2"/>
        </w:rPr>
        <w:t xml:space="preserve"> Fitbit’s decision to merge hold </w:t>
      </w:r>
      <w:r w:rsidR="0082728F" w:rsidRPr="00930549">
        <w:rPr>
          <w:spacing w:val="2"/>
        </w:rPr>
        <w:t>up</w:t>
      </w:r>
      <w:r w:rsidR="006A3820" w:rsidRPr="00930549">
        <w:rPr>
          <w:spacing w:val="2"/>
        </w:rPr>
        <w:t>?</w:t>
      </w:r>
    </w:p>
    <w:p w14:paraId="76FC6C65" w14:textId="295D705E" w:rsidR="008642D1" w:rsidRPr="00E006A9" w:rsidRDefault="00C37CA0" w:rsidP="00241C57">
      <w:pPr>
        <w:spacing w:after="200" w:line="276" w:lineRule="auto"/>
        <w:rPr>
          <w:rFonts w:ascii="Arial" w:hAnsi="Arial"/>
          <w:b/>
          <w:color w:val="000000" w:themeColor="text1"/>
          <w:lang w:val="en-GB"/>
        </w:rPr>
      </w:pPr>
      <w:r w:rsidRPr="00E006A9">
        <w:rPr>
          <w:noProof/>
          <w:lang w:val="en-GB" w:eastAsia="en-IN"/>
        </w:rPr>
        <mc:AlternateContent>
          <mc:Choice Requires="wps">
            <w:drawing>
              <wp:anchor distT="45720" distB="45720" distL="114300" distR="114300" simplePos="0" relativeHeight="251659264" behindDoc="0" locked="0" layoutInCell="1" allowOverlap="1" wp14:anchorId="00AC88EA" wp14:editId="6E8C0B57">
                <wp:simplePos x="0" y="0"/>
                <wp:positionH relativeFrom="margin">
                  <wp:align>center</wp:align>
                </wp:positionH>
                <wp:positionV relativeFrom="paragraph">
                  <wp:posOffset>3839342</wp:posOffset>
                </wp:positionV>
                <wp:extent cx="6229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4620"/>
                        </a:xfrm>
                        <a:prstGeom prst="rect">
                          <a:avLst/>
                        </a:prstGeom>
                        <a:solidFill>
                          <a:srgbClr val="FFFFFF"/>
                        </a:solidFill>
                        <a:ln w="3175">
                          <a:solidFill>
                            <a:srgbClr val="000000"/>
                          </a:solidFill>
                          <a:miter lim="800000"/>
                          <a:headEnd/>
                          <a:tailEnd/>
                        </a:ln>
                      </wps:spPr>
                      <wps:txbx>
                        <w:txbxContent>
                          <w:p w14:paraId="011F506F" w14:textId="1CB59560" w:rsidR="00DE2A7C" w:rsidRPr="00576BB4" w:rsidRDefault="00DE2A7C" w:rsidP="00F425D2">
                            <w:pPr>
                              <w:pStyle w:val="Footnote"/>
                              <w:jc w:val="center"/>
                            </w:pPr>
                            <w:r>
                              <w:t xml:space="preserve">Shamik Debnath is an </w:t>
                            </w:r>
                            <w:r w:rsidR="00D15591">
                              <w:t>assistant brand manager</w:t>
                            </w:r>
                            <w:r>
                              <w:t xml:space="preserve"> at Hindustan Unilever Limited</w:t>
                            </w:r>
                            <w:r w:rsidR="00DF3FB3">
                              <w:t>;</w:t>
                            </w:r>
                            <w:r>
                              <w:t xml:space="preserve"> </w:t>
                            </w:r>
                            <w:r w:rsidRPr="00576BB4">
                              <w:t>Sandeep Puri is a</w:t>
                            </w:r>
                            <w:r>
                              <w:t xml:space="preserve"> </w:t>
                            </w:r>
                            <w:r w:rsidR="00DF3FB3">
                              <w:t>professor</w:t>
                            </w:r>
                            <w:r w:rsidR="00DF3FB3" w:rsidRPr="00576BB4">
                              <w:t xml:space="preserve"> </w:t>
                            </w:r>
                            <w:r w:rsidRPr="00576BB4">
                              <w:t xml:space="preserve">at Asian Institute of Management, </w:t>
                            </w:r>
                            <w:r>
                              <w:t>Philippines</w:t>
                            </w:r>
                            <w:r w:rsidR="00DF3FB3">
                              <w:t>;</w:t>
                            </w:r>
                            <w:r>
                              <w:t xml:space="preserve"> Shalini Joshi is an </w:t>
                            </w:r>
                            <w:r w:rsidR="00DF3FB3">
                              <w:t>assistant product manager</w:t>
                            </w:r>
                            <w:r>
                              <w:t xml:space="preserve"> at Hafele India Private Limited</w:t>
                            </w:r>
                            <w:r w:rsidR="00AA2EE2">
                              <w:t>;</w:t>
                            </w:r>
                            <w:r>
                              <w:t xml:space="preserve"> and Raul Rodriguez is a clinical professor at </w:t>
                            </w:r>
                            <w:r w:rsidRPr="00576BB4">
                              <w:t xml:space="preserve">Asian Institute of Management, </w:t>
                            </w:r>
                            <w:r>
                              <w:t>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AC88EA" id="_x0000_t202" coordsize="21600,21600" o:spt="202" path="m,l,21600r21600,l21600,xe">
                <v:stroke joinstyle="miter"/>
                <v:path gradientshapeok="t" o:connecttype="rect"/>
              </v:shapetype>
              <v:shape id="Text Box 2" o:spid="_x0000_s1026" type="#_x0000_t202" style="position:absolute;margin-left:0;margin-top:302.3pt;width:49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" strokeweight=".25pt">
                <v:textbox style="mso-fit-shape-to-text:t">
                  <w:txbxContent>
                    <w:p w14:paraId="011F506F" w14:textId="1CB59560" w:rsidR="00DE2A7C" w:rsidRPr="00576BB4" w:rsidRDefault="00DE2A7C" w:rsidP="00F425D2">
                      <w:pPr>
                        <w:pStyle w:val="Footnote"/>
                        <w:jc w:val="center"/>
                      </w:pPr>
                      <w:r>
                        <w:t xml:space="preserve">Shamik Debnath is an </w:t>
                      </w:r>
                      <w:r w:rsidR="00D15591">
                        <w:t>assistant brand manager</w:t>
                      </w:r>
                      <w:r>
                        <w:t xml:space="preserve"> at Hindustan Unilever Limited</w:t>
                      </w:r>
                      <w:r w:rsidR="00DF3FB3">
                        <w:t>;</w:t>
                      </w:r>
                      <w:r>
                        <w:t xml:space="preserve"> </w:t>
                      </w:r>
                      <w:r w:rsidRPr="00576BB4">
                        <w:t>Sandeep Puri is a</w:t>
                      </w:r>
                      <w:r>
                        <w:t xml:space="preserve"> </w:t>
                      </w:r>
                      <w:r w:rsidR="00DF3FB3">
                        <w:t>professor</w:t>
                      </w:r>
                      <w:r w:rsidR="00DF3FB3" w:rsidRPr="00576BB4">
                        <w:t xml:space="preserve"> </w:t>
                      </w:r>
                      <w:r w:rsidRPr="00576BB4">
                        <w:t xml:space="preserve">at Asian Institute of Management, </w:t>
                      </w:r>
                      <w:r>
                        <w:t>Philippines</w:t>
                      </w:r>
                      <w:r w:rsidR="00DF3FB3">
                        <w:t>;</w:t>
                      </w:r>
                      <w:r>
                        <w:t xml:space="preserve"> Shalini Joshi is an </w:t>
                      </w:r>
                      <w:r w:rsidR="00DF3FB3">
                        <w:t>assistant product manager</w:t>
                      </w:r>
                      <w:r>
                        <w:t xml:space="preserve"> at Hafele India Private Limited</w:t>
                      </w:r>
                      <w:r w:rsidR="00AA2EE2">
                        <w:t>;</w:t>
                      </w:r>
                      <w:r>
                        <w:t xml:space="preserve"> and Raul Rodriguez is a clinical professor at </w:t>
                      </w:r>
                      <w:r w:rsidRPr="00576BB4">
                        <w:t xml:space="preserve">Asian Institute of Management, </w:t>
                      </w:r>
                      <w:r>
                        <w:t>Philippines.</w:t>
                      </w:r>
                    </w:p>
                  </w:txbxContent>
                </v:textbox>
                <w10:wrap type="topAndBottom" anchorx="margin"/>
              </v:shape>
            </w:pict>
          </mc:Fallback>
        </mc:AlternateContent>
      </w:r>
      <w:r w:rsidR="00BA795F" w:rsidRPr="00E006A9">
        <w:rPr>
          <w:rFonts w:ascii="Arial" w:hAnsi="Arial"/>
          <w:b/>
          <w:color w:val="000000" w:themeColor="text1"/>
          <w:lang w:val="en-GB"/>
        </w:rPr>
        <w:br w:type="page"/>
      </w:r>
    </w:p>
    <w:p w14:paraId="4CD75800" w14:textId="60862BD1" w:rsidR="008642D1" w:rsidRPr="00E006A9" w:rsidRDefault="008642D1" w:rsidP="008642D1">
      <w:pPr>
        <w:jc w:val="center"/>
        <w:rPr>
          <w:rFonts w:ascii="Arial" w:hAnsi="Arial"/>
          <w:b/>
          <w:color w:val="000000" w:themeColor="text1"/>
          <w:lang w:val="en-GB"/>
        </w:rPr>
      </w:pPr>
      <w:r w:rsidRPr="00E006A9">
        <w:rPr>
          <w:rFonts w:ascii="Arial" w:hAnsi="Arial"/>
          <w:b/>
          <w:color w:val="000000" w:themeColor="text1"/>
          <w:lang w:val="en-GB"/>
        </w:rPr>
        <w:lastRenderedPageBreak/>
        <w:t xml:space="preserve">EXHIBIT 1: ANNUAL REVENUE OF ALPHABET </w:t>
      </w:r>
      <w:r w:rsidR="00D83596" w:rsidRPr="00E006A9">
        <w:rPr>
          <w:rFonts w:ascii="Arial" w:hAnsi="Arial"/>
          <w:b/>
          <w:color w:val="000000" w:themeColor="text1"/>
          <w:lang w:val="en-GB"/>
        </w:rPr>
        <w:t>INC.,</w:t>
      </w:r>
      <w:r w:rsidRPr="00E006A9">
        <w:rPr>
          <w:rFonts w:ascii="Arial" w:hAnsi="Arial"/>
          <w:b/>
          <w:color w:val="000000" w:themeColor="text1"/>
          <w:lang w:val="en-GB"/>
        </w:rPr>
        <w:t xml:space="preserve"> 2011</w:t>
      </w:r>
      <w:r w:rsidR="00D83596" w:rsidRPr="00E006A9">
        <w:rPr>
          <w:rFonts w:ascii="Arial" w:hAnsi="Arial"/>
          <w:b/>
          <w:color w:val="000000" w:themeColor="text1"/>
          <w:lang w:val="en-GB"/>
        </w:rPr>
        <w:sym w:font="Symbol" w:char="F02D"/>
      </w:r>
      <w:r w:rsidRPr="00E006A9">
        <w:rPr>
          <w:rFonts w:ascii="Arial" w:hAnsi="Arial"/>
          <w:b/>
          <w:color w:val="000000" w:themeColor="text1"/>
          <w:lang w:val="en-GB"/>
        </w:rPr>
        <w:t>2019</w:t>
      </w:r>
      <w:r w:rsidR="00D83596" w:rsidRPr="00E006A9">
        <w:rPr>
          <w:rFonts w:ascii="Arial" w:hAnsi="Arial"/>
          <w:b/>
          <w:color w:val="000000" w:themeColor="text1"/>
          <w:lang w:val="en-GB"/>
        </w:rPr>
        <w:t xml:space="preserve"> </w:t>
      </w:r>
      <w:r w:rsidRPr="00E006A9">
        <w:rPr>
          <w:rFonts w:ascii="Arial" w:hAnsi="Arial"/>
          <w:b/>
          <w:color w:val="000000" w:themeColor="text1"/>
          <w:lang w:val="en-GB"/>
        </w:rPr>
        <w:t>(</w:t>
      </w:r>
      <w:r w:rsidR="00D83596" w:rsidRPr="00E006A9">
        <w:rPr>
          <w:rFonts w:ascii="Arial" w:hAnsi="Arial"/>
          <w:b/>
          <w:color w:val="000000" w:themeColor="text1"/>
          <w:lang w:val="en-GB"/>
        </w:rPr>
        <w:t xml:space="preserve">US$ </w:t>
      </w:r>
      <w:r w:rsidRPr="00E006A9">
        <w:rPr>
          <w:rFonts w:ascii="Arial" w:hAnsi="Arial"/>
          <w:b/>
          <w:color w:val="000000" w:themeColor="text1"/>
          <w:lang w:val="en-GB"/>
        </w:rPr>
        <w:t>BILLIONS)</w:t>
      </w:r>
    </w:p>
    <w:p w14:paraId="7C57D4D5" w14:textId="77777777" w:rsidR="008642D1" w:rsidRPr="00E006A9" w:rsidRDefault="008642D1" w:rsidP="008642D1">
      <w:pPr>
        <w:jc w:val="center"/>
        <w:rPr>
          <w:rFonts w:ascii="Arial" w:hAnsi="Arial" w:cs="Arial"/>
          <w:color w:val="000000" w:themeColor="text1"/>
          <w:lang w:val="en-GB"/>
        </w:rPr>
      </w:pPr>
    </w:p>
    <w:p w14:paraId="508CF19B" w14:textId="77777777" w:rsidR="008642D1" w:rsidRPr="00E006A9" w:rsidRDefault="008642D1" w:rsidP="008642D1">
      <w:pPr>
        <w:jc w:val="center"/>
        <w:rPr>
          <w:color w:val="000000" w:themeColor="text1"/>
          <w:lang w:val="en-GB"/>
        </w:rPr>
      </w:pPr>
      <w:r w:rsidRPr="00E006A9">
        <w:rPr>
          <w:noProof/>
          <w:color w:val="000000" w:themeColor="text1"/>
          <w:lang w:val="en-GB" w:eastAsia="en-CA"/>
        </w:rPr>
        <w:drawing>
          <wp:inline distT="0" distB="0" distL="0" distR="0" wp14:anchorId="43B7385A" wp14:editId="66F99B33">
            <wp:extent cx="5731510" cy="2036618"/>
            <wp:effectExtent l="0" t="0" r="2540" b="1905"/>
            <wp:docPr id="5" name="Chart 5">
              <a:extLst xmlns:a="http://schemas.openxmlformats.org/drawingml/2006/main">
                <a:ext uri="{FF2B5EF4-FFF2-40B4-BE49-F238E27FC236}">
                  <a16:creationId xmlns:a16="http://schemas.microsoft.com/office/drawing/2014/main" id="{DC72E3D7-3F58-475F-A867-A6EA63F23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1D9575" w14:textId="77777777" w:rsidR="008642D1" w:rsidRPr="00E006A9" w:rsidRDefault="008642D1" w:rsidP="008642D1">
      <w:pPr>
        <w:pStyle w:val="NoSpacing"/>
        <w:jc w:val="both"/>
        <w:rPr>
          <w:rFonts w:ascii="Arial" w:hAnsi="Arial" w:cs="Arial"/>
          <w:color w:val="000000" w:themeColor="text1"/>
          <w:sz w:val="17"/>
          <w:szCs w:val="17"/>
          <w:lang w:val="en-GB"/>
        </w:rPr>
      </w:pPr>
    </w:p>
    <w:p w14:paraId="6BFB94A6" w14:textId="164BDFAC" w:rsidR="008642D1" w:rsidRPr="00E006A9" w:rsidRDefault="008642D1" w:rsidP="008642D1">
      <w:pPr>
        <w:pStyle w:val="NoSpacing"/>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Source: J</w:t>
      </w:r>
      <w:r w:rsidR="00BD00EC" w:rsidRPr="00E006A9">
        <w:rPr>
          <w:rFonts w:ascii="Arial" w:hAnsi="Arial" w:cs="Arial"/>
          <w:color w:val="000000" w:themeColor="text1"/>
          <w:sz w:val="17"/>
          <w:szCs w:val="17"/>
          <w:lang w:val="en-GB"/>
        </w:rPr>
        <w:t>oseph Johnson</w:t>
      </w:r>
      <w:r w:rsidRPr="00E006A9">
        <w:rPr>
          <w:rFonts w:ascii="Arial" w:hAnsi="Arial" w:cs="Arial"/>
          <w:color w:val="000000" w:themeColor="text1"/>
          <w:sz w:val="17"/>
          <w:szCs w:val="17"/>
          <w:lang w:val="en-GB"/>
        </w:rPr>
        <w:t>, “</w:t>
      </w:r>
      <w:r w:rsidR="00BD00EC" w:rsidRPr="00E006A9">
        <w:rPr>
          <w:rFonts w:ascii="Arial" w:hAnsi="Arial" w:cs="Arial"/>
          <w:color w:val="000000" w:themeColor="text1"/>
          <w:sz w:val="17"/>
          <w:szCs w:val="17"/>
          <w:lang w:val="en-GB"/>
        </w:rPr>
        <w:t xml:space="preserve">Annual </w:t>
      </w:r>
      <w:r w:rsidR="004B4ACD">
        <w:rPr>
          <w:rFonts w:ascii="Arial" w:hAnsi="Arial" w:cs="Arial"/>
          <w:color w:val="000000" w:themeColor="text1"/>
          <w:sz w:val="17"/>
          <w:szCs w:val="17"/>
          <w:lang w:val="en-GB"/>
        </w:rPr>
        <w:t>Revenue</w:t>
      </w:r>
      <w:r w:rsidR="004B4ACD" w:rsidRPr="00E006A9">
        <w:rPr>
          <w:rFonts w:ascii="Arial" w:hAnsi="Arial" w:cs="Arial"/>
          <w:color w:val="000000" w:themeColor="text1"/>
          <w:sz w:val="17"/>
          <w:szCs w:val="17"/>
          <w:lang w:val="en-GB"/>
        </w:rPr>
        <w:t xml:space="preserve"> </w:t>
      </w:r>
      <w:r w:rsidR="00BD00EC" w:rsidRPr="00E006A9">
        <w:rPr>
          <w:rFonts w:ascii="Arial" w:hAnsi="Arial" w:cs="Arial"/>
          <w:color w:val="000000" w:themeColor="text1"/>
          <w:sz w:val="17"/>
          <w:szCs w:val="17"/>
          <w:lang w:val="en-GB"/>
        </w:rPr>
        <w:t>of Alphabet from 2011 to 2020</w:t>
      </w:r>
      <w:r w:rsidRPr="00E006A9">
        <w:rPr>
          <w:rFonts w:ascii="Arial" w:hAnsi="Arial" w:cs="Arial"/>
          <w:color w:val="000000" w:themeColor="text1"/>
          <w:sz w:val="17"/>
          <w:szCs w:val="17"/>
          <w:lang w:val="en-GB"/>
        </w:rPr>
        <w:t xml:space="preserve">,” </w:t>
      </w:r>
      <w:r w:rsidRPr="00E006A9">
        <w:rPr>
          <w:rFonts w:ascii="Arial" w:hAnsi="Arial" w:cs="Arial"/>
          <w:iCs/>
          <w:color w:val="000000" w:themeColor="text1"/>
          <w:sz w:val="17"/>
          <w:szCs w:val="17"/>
          <w:lang w:val="en-GB"/>
        </w:rPr>
        <w:t>Statista</w:t>
      </w:r>
      <w:r w:rsidRPr="00E006A9">
        <w:rPr>
          <w:rFonts w:ascii="Arial" w:hAnsi="Arial" w:cs="Arial"/>
          <w:color w:val="000000" w:themeColor="text1"/>
          <w:sz w:val="17"/>
          <w:szCs w:val="17"/>
          <w:lang w:val="en-GB"/>
        </w:rPr>
        <w:t>, February 5, 202</w:t>
      </w:r>
      <w:r w:rsidR="00BD00EC" w:rsidRPr="00E006A9">
        <w:rPr>
          <w:rFonts w:ascii="Arial" w:hAnsi="Arial" w:cs="Arial"/>
          <w:color w:val="000000" w:themeColor="text1"/>
          <w:sz w:val="17"/>
          <w:szCs w:val="17"/>
          <w:lang w:val="en-GB"/>
        </w:rPr>
        <w:t>1</w:t>
      </w:r>
      <w:r w:rsidRPr="00E006A9">
        <w:rPr>
          <w:rFonts w:ascii="Arial" w:hAnsi="Arial" w:cs="Arial"/>
          <w:color w:val="000000" w:themeColor="text1"/>
          <w:sz w:val="17"/>
          <w:szCs w:val="17"/>
          <w:lang w:val="en-GB"/>
        </w:rPr>
        <w:t xml:space="preserve">, accessed </w:t>
      </w:r>
      <w:r w:rsidR="00BD00EC" w:rsidRPr="00E006A9">
        <w:rPr>
          <w:rFonts w:ascii="Arial" w:hAnsi="Arial" w:cs="Arial"/>
          <w:color w:val="000000" w:themeColor="text1"/>
          <w:sz w:val="17"/>
          <w:szCs w:val="17"/>
          <w:lang w:val="en-GB"/>
        </w:rPr>
        <w:t>April 17</w:t>
      </w:r>
      <w:r w:rsidRPr="00E006A9">
        <w:rPr>
          <w:rFonts w:ascii="Arial" w:hAnsi="Arial" w:cs="Arial"/>
          <w:color w:val="000000" w:themeColor="text1"/>
          <w:sz w:val="17"/>
          <w:szCs w:val="17"/>
          <w:lang w:val="en-GB"/>
        </w:rPr>
        <w:t>, 202</w:t>
      </w:r>
      <w:r w:rsidR="00BD00EC" w:rsidRPr="00E006A9">
        <w:rPr>
          <w:rFonts w:ascii="Arial" w:hAnsi="Arial" w:cs="Arial"/>
          <w:color w:val="000000" w:themeColor="text1"/>
          <w:sz w:val="17"/>
          <w:szCs w:val="17"/>
          <w:lang w:val="en-GB"/>
        </w:rPr>
        <w:t>1</w:t>
      </w:r>
      <w:r w:rsidR="00D83596"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w:t>
      </w:r>
      <w:r w:rsidRPr="00E006A9">
        <w:rPr>
          <w:rStyle w:val="Hyperlink"/>
          <w:rFonts w:ascii="Arial" w:hAnsi="Arial" w:cs="Arial"/>
          <w:color w:val="000000" w:themeColor="text1"/>
          <w:sz w:val="17"/>
          <w:szCs w:val="17"/>
          <w:u w:val="none"/>
          <w:lang w:val="en-GB"/>
        </w:rPr>
        <w:t>https://www.statista.com/statistics/507742/alphabet-annual-global-revenue/</w:t>
      </w:r>
      <w:r w:rsidRPr="00E006A9">
        <w:rPr>
          <w:rFonts w:ascii="Arial" w:hAnsi="Arial" w:cs="Arial"/>
          <w:color w:val="000000" w:themeColor="text1"/>
          <w:sz w:val="17"/>
          <w:szCs w:val="17"/>
          <w:lang w:val="en-GB"/>
        </w:rPr>
        <w:t>.</w:t>
      </w:r>
    </w:p>
    <w:p w14:paraId="2D829AC5" w14:textId="77777777" w:rsidR="008642D1" w:rsidRPr="00E006A9" w:rsidRDefault="008642D1" w:rsidP="008642D1">
      <w:pPr>
        <w:pStyle w:val="NoSpacing"/>
        <w:jc w:val="both"/>
        <w:rPr>
          <w:rFonts w:ascii="Arial" w:hAnsi="Arial" w:cs="Arial"/>
          <w:color w:val="000000" w:themeColor="text1"/>
          <w:sz w:val="17"/>
          <w:szCs w:val="17"/>
          <w:lang w:val="en-GB"/>
        </w:rPr>
      </w:pPr>
    </w:p>
    <w:p w14:paraId="6B67807B" w14:textId="77777777" w:rsidR="00DC72F5" w:rsidRPr="00E006A9" w:rsidRDefault="00DC72F5" w:rsidP="008642D1">
      <w:pPr>
        <w:pStyle w:val="NoSpacing"/>
        <w:jc w:val="both"/>
        <w:rPr>
          <w:rFonts w:ascii="Arial" w:hAnsi="Arial" w:cs="Arial"/>
          <w:color w:val="000000" w:themeColor="text1"/>
          <w:sz w:val="17"/>
          <w:szCs w:val="17"/>
          <w:lang w:val="en-GB"/>
        </w:rPr>
      </w:pPr>
    </w:p>
    <w:p w14:paraId="067831CA" w14:textId="77D08ECA" w:rsidR="008642D1" w:rsidRPr="00E006A9" w:rsidRDefault="008642D1" w:rsidP="00E70D5E">
      <w:pPr>
        <w:pStyle w:val="ExhibitHeading"/>
        <w:rPr>
          <w:lang w:val="en-GB"/>
        </w:rPr>
      </w:pPr>
      <w:r w:rsidRPr="00E006A9">
        <w:rPr>
          <w:lang w:val="en-GB"/>
        </w:rPr>
        <w:t>EXHIBIT 2: ANNUAL REVENUE OF GOOGLE</w:t>
      </w:r>
      <w:r w:rsidR="00795066">
        <w:rPr>
          <w:lang w:val="en-GB"/>
        </w:rPr>
        <w:t xml:space="preserve"> </w:t>
      </w:r>
      <w:r w:rsidR="00AD5D8E">
        <w:rPr>
          <w:lang w:val="en-GB"/>
        </w:rPr>
        <w:t>LLC</w:t>
      </w:r>
      <w:r w:rsidR="00795066">
        <w:rPr>
          <w:lang w:val="en-GB"/>
        </w:rPr>
        <w:t>.</w:t>
      </w:r>
      <w:r w:rsidR="00D83596" w:rsidRPr="00E006A9">
        <w:rPr>
          <w:lang w:val="en-GB"/>
        </w:rPr>
        <w:t>,</w:t>
      </w:r>
      <w:r w:rsidRPr="00E006A9">
        <w:rPr>
          <w:lang w:val="en-GB"/>
        </w:rPr>
        <w:t xml:space="preserve"> 2011</w:t>
      </w:r>
      <w:r w:rsidR="00D83596" w:rsidRPr="00E006A9">
        <w:rPr>
          <w:lang w:val="en-GB"/>
        </w:rPr>
        <w:sym w:font="Symbol" w:char="F02D"/>
      </w:r>
      <w:r w:rsidRPr="00E006A9">
        <w:rPr>
          <w:lang w:val="en-GB"/>
        </w:rPr>
        <w:t>2019</w:t>
      </w:r>
      <w:r w:rsidR="00D83596" w:rsidRPr="00E006A9">
        <w:rPr>
          <w:lang w:val="en-GB"/>
        </w:rPr>
        <w:t xml:space="preserve"> </w:t>
      </w:r>
      <w:r w:rsidRPr="00E006A9">
        <w:rPr>
          <w:lang w:val="en-GB"/>
        </w:rPr>
        <w:t>(</w:t>
      </w:r>
      <w:r w:rsidR="00D83596" w:rsidRPr="00E006A9">
        <w:rPr>
          <w:lang w:val="en-GB"/>
        </w:rPr>
        <w:t xml:space="preserve">US$ </w:t>
      </w:r>
      <w:r w:rsidRPr="00E006A9">
        <w:rPr>
          <w:lang w:val="en-GB"/>
        </w:rPr>
        <w:t>BILLIONS)</w:t>
      </w:r>
    </w:p>
    <w:p w14:paraId="4C1ACB07" w14:textId="77777777" w:rsidR="008642D1" w:rsidRPr="00E006A9" w:rsidRDefault="008642D1" w:rsidP="008642D1">
      <w:pPr>
        <w:jc w:val="center"/>
        <w:rPr>
          <w:rFonts w:ascii="Arial" w:hAnsi="Arial"/>
          <w:b/>
          <w:color w:val="000000" w:themeColor="text1"/>
          <w:lang w:val="en-GB"/>
        </w:rPr>
      </w:pPr>
    </w:p>
    <w:p w14:paraId="3AEBB1AC" w14:textId="77777777" w:rsidR="008642D1" w:rsidRPr="00E006A9" w:rsidRDefault="008642D1" w:rsidP="008642D1">
      <w:pPr>
        <w:pStyle w:val="NoSpacing"/>
        <w:jc w:val="both"/>
        <w:rPr>
          <w:rFonts w:ascii="Arial" w:hAnsi="Arial" w:cs="Arial"/>
          <w:color w:val="000000" w:themeColor="text1"/>
          <w:sz w:val="17"/>
          <w:szCs w:val="17"/>
          <w:lang w:val="en-GB"/>
        </w:rPr>
      </w:pPr>
    </w:p>
    <w:p w14:paraId="7F0BDD0F" w14:textId="77777777" w:rsidR="008642D1" w:rsidRPr="00E006A9" w:rsidRDefault="008642D1" w:rsidP="008642D1">
      <w:pPr>
        <w:pStyle w:val="NoSpacing"/>
        <w:jc w:val="both"/>
        <w:rPr>
          <w:rFonts w:ascii="Arial" w:hAnsi="Arial" w:cs="Arial"/>
          <w:color w:val="000000" w:themeColor="text1"/>
          <w:sz w:val="17"/>
          <w:szCs w:val="17"/>
          <w:lang w:val="en-GB"/>
        </w:rPr>
      </w:pPr>
      <w:r w:rsidRPr="00E006A9">
        <w:rPr>
          <w:noProof/>
          <w:color w:val="000000" w:themeColor="text1"/>
          <w:lang w:val="en-GB" w:eastAsia="en-CA"/>
        </w:rPr>
        <w:drawing>
          <wp:inline distT="0" distB="0" distL="0" distR="0" wp14:anchorId="10C3F0D0" wp14:editId="0A4FC05C">
            <wp:extent cx="6141720" cy="3345180"/>
            <wp:effectExtent l="0" t="0" r="11430" b="7620"/>
            <wp:docPr id="6" name="Chart 6">
              <a:extLst xmlns:a="http://schemas.openxmlformats.org/drawingml/2006/main">
                <a:ext uri="{FF2B5EF4-FFF2-40B4-BE49-F238E27FC236}">
                  <a16:creationId xmlns:a16="http://schemas.microsoft.com/office/drawing/2014/main" id="{11920A0D-C2DF-4176-93D3-99ECAA451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2C96E4" w14:textId="77777777" w:rsidR="008642D1" w:rsidRPr="00E006A9" w:rsidRDefault="008642D1" w:rsidP="008642D1">
      <w:pPr>
        <w:jc w:val="both"/>
        <w:rPr>
          <w:rFonts w:ascii="Arial" w:hAnsi="Arial" w:cs="Arial"/>
          <w:b/>
          <w:color w:val="000000" w:themeColor="text1"/>
          <w:sz w:val="17"/>
          <w:szCs w:val="17"/>
          <w:lang w:val="en-GB"/>
        </w:rPr>
      </w:pPr>
    </w:p>
    <w:p w14:paraId="1AA567D8" w14:textId="1C0301AE" w:rsidR="008642D1" w:rsidRPr="00E006A9" w:rsidRDefault="008642D1" w:rsidP="008642D1">
      <w:pPr>
        <w:pStyle w:val="NoSpacing"/>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Source: Joseph Johnson</w:t>
      </w:r>
      <w:r w:rsidR="00903C39"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w:t>
      </w:r>
      <w:r w:rsidR="00903C39"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Google: Annual Revenue</w:t>
      </w:r>
      <w:r w:rsidR="00903C39"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Statista</w:t>
      </w:r>
      <w:r w:rsidR="00903C39"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February 8, 2021, accessed April 18, 2021</w:t>
      </w:r>
      <w:r w:rsidR="00D83596"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https://www.statista.com/statistics/266206/googles-annual-global-revenue/.</w:t>
      </w:r>
    </w:p>
    <w:p w14:paraId="568D9A17" w14:textId="77777777" w:rsidR="008642D1" w:rsidRPr="00E006A9" w:rsidRDefault="008642D1" w:rsidP="008642D1">
      <w:pPr>
        <w:ind w:left="2160" w:firstLine="720"/>
        <w:rPr>
          <w:rFonts w:ascii="Arial" w:hAnsi="Arial" w:cs="Arial"/>
          <w:b/>
          <w:color w:val="000000" w:themeColor="text1"/>
          <w:lang w:val="en-GB"/>
        </w:rPr>
      </w:pPr>
    </w:p>
    <w:p w14:paraId="115D4F48" w14:textId="77777777" w:rsidR="008642D1" w:rsidRPr="00E006A9" w:rsidRDefault="008642D1" w:rsidP="008642D1">
      <w:pPr>
        <w:ind w:left="2160" w:firstLine="720"/>
        <w:rPr>
          <w:rFonts w:ascii="Arial" w:hAnsi="Arial" w:cs="Arial"/>
          <w:b/>
          <w:color w:val="000000" w:themeColor="text1"/>
          <w:lang w:val="en-GB"/>
        </w:rPr>
      </w:pPr>
    </w:p>
    <w:p w14:paraId="498344F1" w14:textId="77777777" w:rsidR="008642D1" w:rsidRPr="00E006A9" w:rsidRDefault="008642D1" w:rsidP="00BA795F">
      <w:pPr>
        <w:jc w:val="center"/>
        <w:rPr>
          <w:rFonts w:ascii="Arial" w:hAnsi="Arial"/>
          <w:b/>
          <w:color w:val="000000" w:themeColor="text1"/>
          <w:lang w:val="en-GB"/>
        </w:rPr>
      </w:pPr>
    </w:p>
    <w:p w14:paraId="20B0EC06" w14:textId="77777777" w:rsidR="008642D1" w:rsidRPr="00E006A9" w:rsidRDefault="008642D1" w:rsidP="00BA795F">
      <w:pPr>
        <w:jc w:val="center"/>
        <w:rPr>
          <w:rFonts w:ascii="Arial" w:hAnsi="Arial"/>
          <w:b/>
          <w:color w:val="000000" w:themeColor="text1"/>
          <w:lang w:val="en-GB"/>
        </w:rPr>
      </w:pPr>
    </w:p>
    <w:p w14:paraId="545E9842" w14:textId="77777777" w:rsidR="008642D1" w:rsidRPr="00E006A9" w:rsidRDefault="008642D1" w:rsidP="00BA795F">
      <w:pPr>
        <w:jc w:val="center"/>
        <w:rPr>
          <w:rFonts w:ascii="Arial" w:hAnsi="Arial"/>
          <w:b/>
          <w:color w:val="000000" w:themeColor="text1"/>
          <w:lang w:val="en-GB"/>
        </w:rPr>
      </w:pPr>
    </w:p>
    <w:p w14:paraId="5044B5B9" w14:textId="1D2FAB7F" w:rsidR="008642D1" w:rsidRPr="00E006A9" w:rsidRDefault="008642D1" w:rsidP="00BA795F">
      <w:pPr>
        <w:jc w:val="center"/>
        <w:rPr>
          <w:rFonts w:ascii="Arial" w:hAnsi="Arial"/>
          <w:b/>
          <w:color w:val="000000" w:themeColor="text1"/>
          <w:lang w:val="en-GB"/>
        </w:rPr>
      </w:pPr>
    </w:p>
    <w:p w14:paraId="2300BAC6" w14:textId="63C8BA00" w:rsidR="00BA795F" w:rsidRPr="00E006A9" w:rsidRDefault="00BA795F" w:rsidP="00E70D5E">
      <w:pPr>
        <w:pStyle w:val="ExhibitHeading"/>
        <w:rPr>
          <w:lang w:val="en-GB"/>
        </w:rPr>
      </w:pPr>
      <w:r w:rsidRPr="00E006A9">
        <w:rPr>
          <w:lang w:val="en-GB"/>
        </w:rPr>
        <w:lastRenderedPageBreak/>
        <w:t xml:space="preserve">EXHIBIT </w:t>
      </w:r>
      <w:r w:rsidR="008642D1" w:rsidRPr="00E006A9">
        <w:rPr>
          <w:lang w:val="en-GB"/>
        </w:rPr>
        <w:t>3</w:t>
      </w:r>
      <w:r w:rsidRPr="00E006A9">
        <w:rPr>
          <w:lang w:val="en-GB"/>
        </w:rPr>
        <w:t>: ANNUAL REVENUE OF FITBIT</w:t>
      </w:r>
      <w:r w:rsidR="00AD5D8E">
        <w:rPr>
          <w:lang w:val="en-GB"/>
        </w:rPr>
        <w:t xml:space="preserve"> Inc.</w:t>
      </w:r>
      <w:r w:rsidR="00D83596" w:rsidRPr="00E006A9">
        <w:rPr>
          <w:lang w:val="en-GB"/>
        </w:rPr>
        <w:t>,</w:t>
      </w:r>
      <w:r w:rsidRPr="00E006A9">
        <w:rPr>
          <w:lang w:val="en-GB"/>
        </w:rPr>
        <w:t xml:space="preserve"> 2012</w:t>
      </w:r>
      <w:r w:rsidR="00D83596" w:rsidRPr="00E006A9">
        <w:rPr>
          <w:lang w:val="en-GB"/>
        </w:rPr>
        <w:sym w:font="Symbol" w:char="F02D"/>
      </w:r>
      <w:r w:rsidRPr="00E006A9">
        <w:rPr>
          <w:lang w:val="en-GB"/>
        </w:rPr>
        <w:t>2019 (</w:t>
      </w:r>
      <w:r w:rsidR="00AD5D8E">
        <w:rPr>
          <w:lang w:val="en-GB"/>
        </w:rPr>
        <w:t>US$</w:t>
      </w:r>
      <w:r w:rsidR="00D83596" w:rsidRPr="00E006A9">
        <w:rPr>
          <w:lang w:val="en-GB"/>
        </w:rPr>
        <w:t xml:space="preserve"> </w:t>
      </w:r>
      <w:r w:rsidRPr="00E006A9">
        <w:rPr>
          <w:lang w:val="en-GB"/>
        </w:rPr>
        <w:t>MILLIONS)</w:t>
      </w:r>
    </w:p>
    <w:p w14:paraId="67E1A926" w14:textId="77777777" w:rsidR="00BA795F" w:rsidRPr="00E006A9" w:rsidRDefault="00BA795F" w:rsidP="00BA795F">
      <w:pPr>
        <w:jc w:val="center"/>
        <w:rPr>
          <w:rFonts w:ascii="Arial" w:hAnsi="Arial" w:cs="Arial"/>
          <w:color w:val="000000" w:themeColor="text1"/>
          <w:lang w:val="en-GB"/>
        </w:rPr>
      </w:pPr>
    </w:p>
    <w:p w14:paraId="6E0A0449" w14:textId="77777777" w:rsidR="00BA795F" w:rsidRPr="00E006A9" w:rsidRDefault="00BA795F" w:rsidP="007B5252">
      <w:pPr>
        <w:jc w:val="center"/>
        <w:rPr>
          <w:color w:val="000000" w:themeColor="text1"/>
          <w:lang w:val="en-GB"/>
        </w:rPr>
      </w:pPr>
      <w:r w:rsidRPr="00E006A9">
        <w:rPr>
          <w:rFonts w:ascii="Arial" w:hAnsi="Arial" w:cs="Arial"/>
          <w:noProof/>
          <w:color w:val="000000" w:themeColor="text1"/>
          <w:lang w:val="en-GB" w:eastAsia="en-CA"/>
        </w:rPr>
        <w:drawing>
          <wp:inline distT="0" distB="0" distL="0" distR="0" wp14:anchorId="2CCF592A" wp14:editId="451B3C22">
            <wp:extent cx="5731510" cy="2137558"/>
            <wp:effectExtent l="0" t="0" r="2540" b="15240"/>
            <wp:docPr id="1" name="Chart 1">
              <a:extLst xmlns:a="http://schemas.openxmlformats.org/drawingml/2006/main">
                <a:ext uri="{FF2B5EF4-FFF2-40B4-BE49-F238E27FC236}">
                  <a16:creationId xmlns:a16="http://schemas.microsoft.com/office/drawing/2014/main" id="{E870A982-12C6-4B64-A8DE-41C1F6180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CF3005" w14:textId="77777777" w:rsidR="00BA795F" w:rsidRPr="00E006A9" w:rsidRDefault="00BA795F" w:rsidP="00BA795F">
      <w:pPr>
        <w:jc w:val="both"/>
        <w:rPr>
          <w:rFonts w:ascii="Arial" w:hAnsi="Arial" w:cs="Arial"/>
          <w:color w:val="000000" w:themeColor="text1"/>
          <w:sz w:val="17"/>
          <w:szCs w:val="17"/>
          <w:lang w:val="en-GB"/>
        </w:rPr>
      </w:pPr>
    </w:p>
    <w:p w14:paraId="115353DE" w14:textId="4C92A852" w:rsidR="00BA795F" w:rsidRPr="00E006A9" w:rsidRDefault="00BA795F" w:rsidP="00BA795F">
      <w:pPr>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Source: “Fitbit Financial Statements 2012-2020</w:t>
      </w:r>
      <w:r w:rsidR="00AF20A2" w:rsidRPr="00E006A9">
        <w:rPr>
          <w:rFonts w:ascii="Arial" w:hAnsi="Arial" w:cs="Arial"/>
          <w:color w:val="000000" w:themeColor="text1"/>
          <w:sz w:val="17"/>
          <w:szCs w:val="17"/>
          <w:lang w:val="en-GB"/>
        </w:rPr>
        <w:t xml:space="preserve"> | FIT</w:t>
      </w:r>
      <w:r w:rsidRPr="00E006A9">
        <w:rPr>
          <w:rFonts w:ascii="Arial" w:hAnsi="Arial" w:cs="Arial"/>
          <w:color w:val="000000" w:themeColor="text1"/>
          <w:sz w:val="17"/>
          <w:szCs w:val="17"/>
          <w:lang w:val="en-GB"/>
        </w:rPr>
        <w:t xml:space="preserve">,” </w:t>
      </w:r>
      <w:r w:rsidRPr="00E006A9">
        <w:rPr>
          <w:rFonts w:ascii="Arial" w:hAnsi="Arial" w:cs="Arial"/>
          <w:iCs/>
          <w:color w:val="000000" w:themeColor="text1"/>
          <w:sz w:val="17"/>
          <w:szCs w:val="17"/>
          <w:lang w:val="en-GB"/>
        </w:rPr>
        <w:t>Macrotrends</w:t>
      </w:r>
      <w:r w:rsidRPr="00E006A9">
        <w:rPr>
          <w:rFonts w:ascii="Arial" w:hAnsi="Arial" w:cs="Arial"/>
          <w:color w:val="000000" w:themeColor="text1"/>
          <w:sz w:val="17"/>
          <w:szCs w:val="17"/>
          <w:lang w:val="en-GB"/>
        </w:rPr>
        <w:t xml:space="preserve">, accessed August 2, 2020, </w:t>
      </w:r>
      <w:r w:rsidR="002E1971" w:rsidRPr="00E006A9">
        <w:rPr>
          <w:rFonts w:ascii="Arial" w:hAnsi="Arial" w:cs="Arial"/>
          <w:color w:val="000000" w:themeColor="text1"/>
          <w:sz w:val="17"/>
          <w:szCs w:val="17"/>
          <w:lang w:val="en-GB"/>
        </w:rPr>
        <w:t>https://www.macrotrends.net/stocks/charts/FIT/fitbit/revenue</w:t>
      </w:r>
      <w:r w:rsidRPr="00E006A9">
        <w:rPr>
          <w:rFonts w:ascii="Arial" w:hAnsi="Arial" w:cs="Arial"/>
          <w:color w:val="000000" w:themeColor="text1"/>
          <w:sz w:val="17"/>
          <w:szCs w:val="17"/>
          <w:lang w:val="en-GB"/>
        </w:rPr>
        <w:t>.</w:t>
      </w:r>
    </w:p>
    <w:p w14:paraId="7DE9B06A" w14:textId="45711399" w:rsidR="002E1971" w:rsidRPr="00E006A9" w:rsidRDefault="002E1971" w:rsidP="00BA795F">
      <w:pPr>
        <w:jc w:val="both"/>
        <w:rPr>
          <w:rFonts w:ascii="Arial" w:hAnsi="Arial" w:cs="Arial"/>
          <w:color w:val="000000" w:themeColor="text1"/>
          <w:sz w:val="17"/>
          <w:szCs w:val="17"/>
          <w:lang w:val="en-GB"/>
        </w:rPr>
      </w:pPr>
    </w:p>
    <w:p w14:paraId="5D976D73" w14:textId="77777777" w:rsidR="00DC72F5" w:rsidRPr="00E006A9" w:rsidRDefault="00DC72F5" w:rsidP="00BA795F">
      <w:pPr>
        <w:jc w:val="both"/>
        <w:rPr>
          <w:rFonts w:ascii="Arial" w:hAnsi="Arial" w:cs="Arial"/>
          <w:color w:val="000000" w:themeColor="text1"/>
          <w:sz w:val="17"/>
          <w:szCs w:val="17"/>
          <w:lang w:val="en-GB"/>
        </w:rPr>
      </w:pPr>
    </w:p>
    <w:p w14:paraId="71A0D77E" w14:textId="26946CAA" w:rsidR="002E1971" w:rsidRPr="00E006A9" w:rsidRDefault="002E1971" w:rsidP="00E70D5E">
      <w:pPr>
        <w:pStyle w:val="ExhibitHeading"/>
        <w:rPr>
          <w:lang w:val="en-GB"/>
        </w:rPr>
      </w:pPr>
      <w:r w:rsidRPr="00E006A9">
        <w:rPr>
          <w:lang w:val="en-GB"/>
        </w:rPr>
        <w:t xml:space="preserve">EXHIBIT </w:t>
      </w:r>
      <w:r w:rsidR="008642D1" w:rsidRPr="00E006A9">
        <w:rPr>
          <w:lang w:val="en-GB"/>
        </w:rPr>
        <w:t>4</w:t>
      </w:r>
      <w:r w:rsidRPr="00E006A9">
        <w:rPr>
          <w:lang w:val="en-GB"/>
        </w:rPr>
        <w:t xml:space="preserve">: ANNUAL REVENUE </w:t>
      </w:r>
      <w:r w:rsidR="00B262F3" w:rsidRPr="00E006A9">
        <w:rPr>
          <w:lang w:val="en-GB"/>
        </w:rPr>
        <w:t xml:space="preserve">AND NET INCOME </w:t>
      </w:r>
      <w:r w:rsidRPr="00E006A9">
        <w:rPr>
          <w:lang w:val="en-GB"/>
        </w:rPr>
        <w:t>OF FITBIT</w:t>
      </w:r>
      <w:r w:rsidR="00AD5D8E">
        <w:rPr>
          <w:lang w:val="en-GB"/>
        </w:rPr>
        <w:t xml:space="preserve"> Inc.</w:t>
      </w:r>
      <w:r w:rsidR="00D83596" w:rsidRPr="00E006A9">
        <w:rPr>
          <w:lang w:val="en-GB"/>
        </w:rPr>
        <w:t>,</w:t>
      </w:r>
      <w:r w:rsidRPr="00E006A9">
        <w:rPr>
          <w:lang w:val="en-GB"/>
        </w:rPr>
        <w:t xml:space="preserve"> 2012</w:t>
      </w:r>
      <w:r w:rsidR="00D83596" w:rsidRPr="00E006A9">
        <w:rPr>
          <w:lang w:val="en-GB"/>
        </w:rPr>
        <w:sym w:font="Symbol" w:char="F02D"/>
      </w:r>
      <w:r w:rsidRPr="00E006A9">
        <w:rPr>
          <w:lang w:val="en-GB"/>
        </w:rPr>
        <w:t>2020 (</w:t>
      </w:r>
      <w:r w:rsidR="00D83596" w:rsidRPr="00E006A9">
        <w:rPr>
          <w:lang w:val="en-GB"/>
        </w:rPr>
        <w:t xml:space="preserve">US$ </w:t>
      </w:r>
      <w:r w:rsidRPr="00E006A9">
        <w:rPr>
          <w:lang w:val="en-GB"/>
        </w:rPr>
        <w:t>BILLIONS)</w:t>
      </w:r>
    </w:p>
    <w:p w14:paraId="1E099B8B" w14:textId="77777777" w:rsidR="002E1971" w:rsidRPr="00E006A9" w:rsidRDefault="002E1971" w:rsidP="00BA795F">
      <w:pPr>
        <w:jc w:val="both"/>
        <w:rPr>
          <w:rFonts w:ascii="Arial" w:hAnsi="Arial" w:cs="Arial"/>
          <w:color w:val="000000" w:themeColor="text1"/>
          <w:sz w:val="17"/>
          <w:szCs w:val="17"/>
          <w:lang w:val="en-GB"/>
        </w:rPr>
      </w:pPr>
    </w:p>
    <w:p w14:paraId="26447886" w14:textId="4DA3A17B" w:rsidR="00BD00EC" w:rsidRPr="00E006A9" w:rsidRDefault="00BD00EC" w:rsidP="00BA795F">
      <w:pPr>
        <w:jc w:val="both"/>
        <w:rPr>
          <w:rFonts w:ascii="Arial" w:hAnsi="Arial" w:cs="Arial"/>
          <w:color w:val="000000" w:themeColor="text1"/>
          <w:sz w:val="17"/>
          <w:szCs w:val="17"/>
          <w:lang w:val="en-GB"/>
        </w:rPr>
      </w:pPr>
      <w:r w:rsidRPr="00E006A9">
        <w:rPr>
          <w:noProof/>
          <w:lang w:val="en-GB"/>
        </w:rPr>
        <w:drawing>
          <wp:inline distT="0" distB="0" distL="0" distR="0" wp14:anchorId="1976DD0E" wp14:editId="41A6AD50">
            <wp:extent cx="5943600" cy="3825240"/>
            <wp:effectExtent l="0" t="0" r="12700" b="10160"/>
            <wp:docPr id="2" name="Chart 2">
              <a:extLst xmlns:a="http://schemas.openxmlformats.org/drawingml/2006/main">
                <a:ext uri="{FF2B5EF4-FFF2-40B4-BE49-F238E27FC236}">
                  <a16:creationId xmlns:a16="http://schemas.microsoft.com/office/drawing/2014/main" id="{F73C4C05-F064-43A2-B305-0B1D482A4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651FDD" w14:textId="77777777" w:rsidR="00DC72F5" w:rsidRPr="00E006A9" w:rsidRDefault="00DC72F5" w:rsidP="002E1971">
      <w:pPr>
        <w:jc w:val="both"/>
        <w:rPr>
          <w:rFonts w:ascii="Arial" w:hAnsi="Arial" w:cs="Arial"/>
          <w:color w:val="000000" w:themeColor="text1"/>
          <w:sz w:val="17"/>
          <w:szCs w:val="17"/>
          <w:lang w:val="en-GB"/>
        </w:rPr>
      </w:pPr>
    </w:p>
    <w:p w14:paraId="5F2DB807" w14:textId="2A31C033" w:rsidR="009251C7" w:rsidRPr="00E006A9" w:rsidRDefault="009251C7" w:rsidP="002E1971">
      <w:pPr>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Note: Rev = revenue</w:t>
      </w:r>
      <w:r w:rsidR="00FA2701" w:rsidRPr="00E006A9">
        <w:rPr>
          <w:rFonts w:ascii="Arial" w:hAnsi="Arial" w:cs="Arial"/>
          <w:color w:val="000000" w:themeColor="text1"/>
          <w:sz w:val="17"/>
          <w:szCs w:val="17"/>
          <w:lang w:val="en-GB"/>
        </w:rPr>
        <w:t>.</w:t>
      </w:r>
    </w:p>
    <w:p w14:paraId="7AFEDD9D" w14:textId="11E5765D" w:rsidR="002E1971" w:rsidRPr="00E006A9" w:rsidRDefault="002E1971" w:rsidP="002E1971">
      <w:pPr>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 xml:space="preserve">Source: </w:t>
      </w:r>
      <w:r w:rsidR="00AF20A2"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Fitbit Financial Statements 2012-2020</w:t>
      </w:r>
      <w:r w:rsidR="00AF20A2" w:rsidRPr="00E006A9">
        <w:rPr>
          <w:rFonts w:ascii="Arial" w:hAnsi="Arial" w:cs="Arial"/>
          <w:color w:val="000000" w:themeColor="text1"/>
          <w:sz w:val="17"/>
          <w:szCs w:val="17"/>
          <w:lang w:val="en-GB"/>
        </w:rPr>
        <w:t xml:space="preserve"> | FIT</w:t>
      </w:r>
      <w:r w:rsidRPr="00E006A9">
        <w:rPr>
          <w:rFonts w:ascii="Arial" w:hAnsi="Arial" w:cs="Arial"/>
          <w:color w:val="000000" w:themeColor="text1"/>
          <w:sz w:val="17"/>
          <w:szCs w:val="17"/>
          <w:lang w:val="en-GB"/>
        </w:rPr>
        <w:t xml:space="preserve">,” </w:t>
      </w:r>
      <w:r w:rsidRPr="00E006A9">
        <w:rPr>
          <w:rFonts w:ascii="Arial" w:hAnsi="Arial" w:cs="Arial"/>
          <w:iCs/>
          <w:color w:val="000000" w:themeColor="text1"/>
          <w:sz w:val="17"/>
          <w:szCs w:val="17"/>
          <w:lang w:val="en-GB"/>
        </w:rPr>
        <w:t>Macrotrends</w:t>
      </w:r>
      <w:r w:rsidRPr="00E006A9">
        <w:rPr>
          <w:rFonts w:ascii="Arial" w:hAnsi="Arial" w:cs="Arial"/>
          <w:color w:val="000000" w:themeColor="text1"/>
          <w:sz w:val="17"/>
          <w:szCs w:val="17"/>
          <w:lang w:val="en-GB"/>
        </w:rPr>
        <w:t xml:space="preserve">, accessed August 2, 2020, </w:t>
      </w:r>
      <w:r w:rsidRPr="00E006A9">
        <w:rPr>
          <w:rStyle w:val="Hyperlink"/>
          <w:rFonts w:ascii="Arial" w:hAnsi="Arial" w:cs="Arial"/>
          <w:color w:val="000000" w:themeColor="text1"/>
          <w:sz w:val="17"/>
          <w:szCs w:val="17"/>
          <w:u w:val="none"/>
          <w:lang w:val="en-GB"/>
        </w:rPr>
        <w:t>https://www.macrotrends.net/stocks/charts/FIT/fitbit/revenue</w:t>
      </w:r>
      <w:r w:rsidR="00D83596" w:rsidRPr="00E006A9">
        <w:rPr>
          <w:rStyle w:val="Hyperlink"/>
          <w:rFonts w:ascii="Arial" w:hAnsi="Arial" w:cs="Arial"/>
          <w:color w:val="000000" w:themeColor="text1"/>
          <w:sz w:val="17"/>
          <w:szCs w:val="17"/>
          <w:u w:val="none"/>
          <w:lang w:val="en-GB"/>
        </w:rPr>
        <w:t>;</w:t>
      </w:r>
      <w:r w:rsidRPr="00E006A9">
        <w:rPr>
          <w:rFonts w:ascii="Arial" w:hAnsi="Arial" w:cs="Arial"/>
          <w:color w:val="000000" w:themeColor="text1"/>
          <w:sz w:val="17"/>
          <w:szCs w:val="17"/>
          <w:lang w:val="en-GB"/>
        </w:rPr>
        <w:t xml:space="preserve"> David Curry</w:t>
      </w:r>
      <w:r w:rsidR="00D83596"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“Fitbit Revenue and Usage Statistics (2021)</w:t>
      </w:r>
      <w:r w:rsidR="00D83596"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w:t>
      </w:r>
      <w:r w:rsidR="00C8571A">
        <w:rPr>
          <w:rFonts w:ascii="Arial" w:hAnsi="Arial" w:cs="Arial"/>
          <w:color w:val="000000" w:themeColor="text1"/>
          <w:sz w:val="17"/>
          <w:szCs w:val="17"/>
          <w:lang w:val="en-GB"/>
        </w:rPr>
        <w:t xml:space="preserve">Business of Apps, </w:t>
      </w:r>
      <w:r w:rsidRPr="00E006A9">
        <w:rPr>
          <w:rFonts w:ascii="Arial" w:hAnsi="Arial" w:cs="Arial"/>
          <w:color w:val="000000" w:themeColor="text1"/>
          <w:sz w:val="17"/>
          <w:szCs w:val="17"/>
          <w:lang w:val="en-GB"/>
        </w:rPr>
        <w:t>March 28</w:t>
      </w:r>
      <w:r w:rsidR="00D83596" w:rsidRPr="00E006A9">
        <w:rPr>
          <w:rFonts w:ascii="Arial" w:hAnsi="Arial" w:cs="Arial"/>
          <w:color w:val="000000" w:themeColor="text1"/>
          <w:sz w:val="17"/>
          <w:szCs w:val="17"/>
          <w:lang w:val="en-GB"/>
        </w:rPr>
        <w:t xml:space="preserve">, </w:t>
      </w:r>
      <w:r w:rsidRPr="00E006A9">
        <w:rPr>
          <w:rFonts w:ascii="Arial" w:hAnsi="Arial" w:cs="Arial"/>
          <w:color w:val="000000" w:themeColor="text1"/>
          <w:sz w:val="17"/>
          <w:szCs w:val="17"/>
          <w:lang w:val="en-GB"/>
        </w:rPr>
        <w:t>2021, accessed April 17, 2021</w:t>
      </w:r>
      <w:r w:rsidR="00D83596"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https://www.businessofapps.com/data/fitbit-statistics/</w:t>
      </w:r>
      <w:r w:rsidR="00D83596" w:rsidRPr="00E006A9">
        <w:rPr>
          <w:rFonts w:ascii="Arial" w:hAnsi="Arial" w:cs="Arial"/>
          <w:color w:val="000000" w:themeColor="text1"/>
          <w:sz w:val="17"/>
          <w:szCs w:val="17"/>
          <w:lang w:val="en-GB"/>
        </w:rPr>
        <w:t>.</w:t>
      </w:r>
    </w:p>
    <w:p w14:paraId="44C51C21" w14:textId="57230A91" w:rsidR="00BA795F" w:rsidRPr="00E006A9" w:rsidRDefault="00BA795F" w:rsidP="00BA795F">
      <w:pPr>
        <w:jc w:val="both"/>
        <w:rPr>
          <w:rFonts w:ascii="Arial" w:hAnsi="Arial"/>
          <w:color w:val="000000" w:themeColor="text1"/>
          <w:lang w:val="en-GB"/>
        </w:rPr>
      </w:pPr>
    </w:p>
    <w:p w14:paraId="6CC8F58E" w14:textId="77C26909" w:rsidR="00BC64AE" w:rsidRPr="00E006A9" w:rsidRDefault="00BC64AE" w:rsidP="005A7D72">
      <w:pPr>
        <w:jc w:val="center"/>
        <w:rPr>
          <w:rFonts w:ascii="Arial" w:hAnsi="Arial" w:cs="Arial"/>
          <w:b/>
          <w:color w:val="000000" w:themeColor="text1"/>
          <w:lang w:val="en-GB"/>
        </w:rPr>
      </w:pPr>
      <w:r w:rsidRPr="00E006A9">
        <w:rPr>
          <w:rFonts w:ascii="Arial" w:hAnsi="Arial" w:cs="Arial"/>
          <w:b/>
          <w:color w:val="000000" w:themeColor="text1"/>
          <w:lang w:val="en-GB"/>
        </w:rPr>
        <w:lastRenderedPageBreak/>
        <w:t xml:space="preserve">EXHIBIT </w:t>
      </w:r>
      <w:r w:rsidR="008642D1" w:rsidRPr="00E006A9">
        <w:rPr>
          <w:rFonts w:ascii="Arial" w:hAnsi="Arial" w:cs="Arial"/>
          <w:b/>
          <w:color w:val="000000" w:themeColor="text1"/>
          <w:lang w:val="en-GB"/>
        </w:rPr>
        <w:t>5</w:t>
      </w:r>
      <w:r w:rsidRPr="00E006A9">
        <w:rPr>
          <w:rFonts w:ascii="Arial" w:hAnsi="Arial" w:cs="Arial"/>
          <w:b/>
          <w:color w:val="000000" w:themeColor="text1"/>
          <w:lang w:val="en-GB"/>
        </w:rPr>
        <w:t xml:space="preserve">: </w:t>
      </w:r>
      <w:r w:rsidR="009E376B" w:rsidRPr="00E006A9">
        <w:rPr>
          <w:rFonts w:ascii="Arial" w:hAnsi="Arial" w:cs="Arial"/>
          <w:b/>
          <w:color w:val="000000" w:themeColor="text1"/>
          <w:lang w:val="en-GB"/>
        </w:rPr>
        <w:t>MAJOR</w:t>
      </w:r>
      <w:r w:rsidRPr="00E006A9">
        <w:rPr>
          <w:rFonts w:ascii="Arial" w:hAnsi="Arial" w:cs="Arial"/>
          <w:b/>
          <w:color w:val="000000" w:themeColor="text1"/>
          <w:lang w:val="en-GB"/>
        </w:rPr>
        <w:t xml:space="preserve"> WEARABLES COMPANIES</w:t>
      </w:r>
    </w:p>
    <w:p w14:paraId="19D5F88E" w14:textId="77777777" w:rsidR="00BC64AE" w:rsidRPr="00E006A9" w:rsidRDefault="00BC64AE" w:rsidP="005A7D72">
      <w:pPr>
        <w:jc w:val="center"/>
        <w:rPr>
          <w:rFonts w:ascii="Arial" w:hAnsi="Arial" w:cs="Arial"/>
          <w:b/>
          <w:color w:val="000000" w:themeColor="text1"/>
          <w:lang w:val="en-GB"/>
        </w:rPr>
      </w:pPr>
    </w:p>
    <w:tbl>
      <w:tblPr>
        <w:tblStyle w:val="TableGrid"/>
        <w:tblW w:w="9113" w:type="dxa"/>
        <w:jc w:val="center"/>
        <w:tblLook w:val="04A0" w:firstRow="1" w:lastRow="0" w:firstColumn="1" w:lastColumn="0" w:noHBand="0" w:noVBand="1"/>
      </w:tblPr>
      <w:tblGrid>
        <w:gridCol w:w="2889"/>
        <w:gridCol w:w="1134"/>
        <w:gridCol w:w="1093"/>
        <w:gridCol w:w="960"/>
        <w:gridCol w:w="1117"/>
        <w:gridCol w:w="960"/>
        <w:gridCol w:w="960"/>
      </w:tblGrid>
      <w:tr w:rsidR="005D5493" w:rsidRPr="00930549" w14:paraId="53A96428" w14:textId="77777777" w:rsidTr="00E70D5E">
        <w:trPr>
          <w:trHeight w:val="288"/>
          <w:jc w:val="center"/>
        </w:trPr>
        <w:tc>
          <w:tcPr>
            <w:tcW w:w="2889" w:type="dxa"/>
            <w:noWrap/>
            <w:hideMark/>
          </w:tcPr>
          <w:p w14:paraId="72CD1FF2" w14:textId="75DDDBE2" w:rsidR="00BC64AE" w:rsidRPr="00930549" w:rsidRDefault="00BC64AE" w:rsidP="00BA2C15">
            <w:pPr>
              <w:rPr>
                <w:rFonts w:ascii="Arial" w:hAnsi="Arial" w:cs="Arial"/>
                <w:b/>
                <w:bCs/>
                <w:color w:val="000000" w:themeColor="text1"/>
                <w:lang w:val="en-GB" w:eastAsia="en-IN"/>
              </w:rPr>
            </w:pPr>
          </w:p>
        </w:tc>
        <w:tc>
          <w:tcPr>
            <w:tcW w:w="1134" w:type="dxa"/>
            <w:noWrap/>
            <w:vAlign w:val="center"/>
            <w:hideMark/>
          </w:tcPr>
          <w:p w14:paraId="424F7AD4" w14:textId="77777777" w:rsidR="00BC64AE" w:rsidRPr="00930549" w:rsidRDefault="00BC64AE" w:rsidP="00316B58">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Apple</w:t>
            </w:r>
          </w:p>
        </w:tc>
        <w:tc>
          <w:tcPr>
            <w:tcW w:w="1093" w:type="dxa"/>
            <w:noWrap/>
            <w:vAlign w:val="center"/>
            <w:hideMark/>
          </w:tcPr>
          <w:p w14:paraId="7E27F0DA" w14:textId="77777777" w:rsidR="00BC64AE" w:rsidRPr="00930549" w:rsidRDefault="00BC64AE" w:rsidP="00065E9E">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Huawei</w:t>
            </w:r>
          </w:p>
        </w:tc>
        <w:tc>
          <w:tcPr>
            <w:tcW w:w="960" w:type="dxa"/>
            <w:noWrap/>
            <w:vAlign w:val="center"/>
            <w:hideMark/>
          </w:tcPr>
          <w:p w14:paraId="5D4FD33B" w14:textId="77777777" w:rsidR="00BC64AE" w:rsidRPr="00930549" w:rsidRDefault="00BC64AE" w:rsidP="00065E9E">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Xiaomi</w:t>
            </w:r>
          </w:p>
        </w:tc>
        <w:tc>
          <w:tcPr>
            <w:tcW w:w="1117" w:type="dxa"/>
            <w:noWrap/>
            <w:vAlign w:val="center"/>
            <w:hideMark/>
          </w:tcPr>
          <w:p w14:paraId="5A6757F9" w14:textId="77777777" w:rsidR="00BC64AE" w:rsidRPr="00930549" w:rsidRDefault="00BC64AE" w:rsidP="00065E9E">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Samsung</w:t>
            </w:r>
          </w:p>
        </w:tc>
        <w:tc>
          <w:tcPr>
            <w:tcW w:w="960" w:type="dxa"/>
            <w:noWrap/>
            <w:vAlign w:val="center"/>
            <w:hideMark/>
          </w:tcPr>
          <w:p w14:paraId="49A6C79E" w14:textId="77777777" w:rsidR="00BC64AE" w:rsidRPr="00930549" w:rsidRDefault="00BC64AE" w:rsidP="00065E9E">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Google</w:t>
            </w:r>
          </w:p>
        </w:tc>
        <w:tc>
          <w:tcPr>
            <w:tcW w:w="960" w:type="dxa"/>
            <w:noWrap/>
            <w:vAlign w:val="center"/>
            <w:hideMark/>
          </w:tcPr>
          <w:p w14:paraId="1E44E246" w14:textId="77777777" w:rsidR="00BC64AE" w:rsidRPr="00930549" w:rsidRDefault="00BC64AE" w:rsidP="00065E9E">
            <w:pPr>
              <w:jc w:val="center"/>
              <w:rPr>
                <w:rFonts w:ascii="Arial" w:hAnsi="Arial" w:cs="Arial"/>
                <w:b/>
                <w:bCs/>
                <w:color w:val="000000" w:themeColor="text1"/>
                <w:lang w:val="en-GB" w:eastAsia="en-IN"/>
              </w:rPr>
            </w:pPr>
            <w:r w:rsidRPr="00930549">
              <w:rPr>
                <w:rFonts w:ascii="Arial" w:hAnsi="Arial" w:cs="Arial"/>
                <w:b/>
                <w:bCs/>
                <w:color w:val="000000" w:themeColor="text1"/>
                <w:lang w:val="en-GB" w:eastAsia="en-IN"/>
              </w:rPr>
              <w:t>Fitbit</w:t>
            </w:r>
          </w:p>
        </w:tc>
      </w:tr>
      <w:tr w:rsidR="005D5493" w:rsidRPr="00930549" w14:paraId="17A92234" w14:textId="77777777" w:rsidTr="00E70D5E">
        <w:trPr>
          <w:trHeight w:val="288"/>
          <w:jc w:val="center"/>
        </w:trPr>
        <w:tc>
          <w:tcPr>
            <w:tcW w:w="2889" w:type="dxa"/>
            <w:noWrap/>
            <w:vAlign w:val="center"/>
            <w:hideMark/>
          </w:tcPr>
          <w:p w14:paraId="24742C5F" w14:textId="25CFC108" w:rsidR="00BC64AE" w:rsidRPr="00930549" w:rsidRDefault="00BC64AE" w:rsidP="00316B58">
            <w:pPr>
              <w:rPr>
                <w:rFonts w:ascii="Arial" w:hAnsi="Arial" w:cs="Arial"/>
                <w:color w:val="000000" w:themeColor="text1"/>
                <w:lang w:val="en-GB" w:eastAsia="en-IN"/>
              </w:rPr>
            </w:pPr>
            <w:r w:rsidRPr="00930549">
              <w:rPr>
                <w:rFonts w:ascii="Arial" w:hAnsi="Arial" w:cs="Arial"/>
                <w:color w:val="000000" w:themeColor="text1"/>
                <w:lang w:val="en-GB" w:eastAsia="en-IN"/>
              </w:rPr>
              <w:t xml:space="preserve">Revenue </w:t>
            </w:r>
            <w:r w:rsidR="00B363D0" w:rsidRPr="00930549">
              <w:rPr>
                <w:rFonts w:ascii="Arial" w:hAnsi="Arial" w:cs="Arial"/>
                <w:color w:val="000000" w:themeColor="text1"/>
                <w:lang w:val="en-GB" w:eastAsia="en-IN"/>
              </w:rPr>
              <w:t>(</w:t>
            </w:r>
            <w:r w:rsidR="009251C7" w:rsidRPr="00930549">
              <w:rPr>
                <w:rFonts w:ascii="Arial" w:hAnsi="Arial" w:cs="Arial"/>
                <w:color w:val="000000" w:themeColor="text1"/>
                <w:lang w:val="en-GB" w:eastAsia="en-IN"/>
              </w:rPr>
              <w:t>US</w:t>
            </w:r>
            <w:r w:rsidRPr="00930549">
              <w:rPr>
                <w:rFonts w:ascii="Arial" w:hAnsi="Arial" w:cs="Arial"/>
                <w:color w:val="000000" w:themeColor="text1"/>
                <w:lang w:val="en-GB" w:eastAsia="en-IN"/>
              </w:rPr>
              <w:t xml:space="preserve">$ </w:t>
            </w:r>
            <w:r w:rsidR="00B363D0" w:rsidRPr="00930549">
              <w:rPr>
                <w:rFonts w:ascii="Arial" w:hAnsi="Arial" w:cs="Arial"/>
                <w:color w:val="000000" w:themeColor="text1"/>
                <w:lang w:val="en-GB" w:eastAsia="en-IN"/>
              </w:rPr>
              <w:t>billions)</w:t>
            </w:r>
          </w:p>
        </w:tc>
        <w:tc>
          <w:tcPr>
            <w:tcW w:w="1134" w:type="dxa"/>
            <w:noWrap/>
            <w:vAlign w:val="center"/>
            <w:hideMark/>
          </w:tcPr>
          <w:p w14:paraId="17D70A30"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$274.3</w:t>
            </w:r>
          </w:p>
        </w:tc>
        <w:tc>
          <w:tcPr>
            <w:tcW w:w="1093" w:type="dxa"/>
            <w:noWrap/>
            <w:vAlign w:val="center"/>
            <w:hideMark/>
          </w:tcPr>
          <w:p w14:paraId="2FAE8677"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$9.83</w:t>
            </w:r>
          </w:p>
        </w:tc>
        <w:tc>
          <w:tcPr>
            <w:tcW w:w="960" w:type="dxa"/>
            <w:noWrap/>
            <w:vAlign w:val="center"/>
            <w:hideMark/>
          </w:tcPr>
          <w:p w14:paraId="55695174"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$37.4</w:t>
            </w:r>
          </w:p>
        </w:tc>
        <w:tc>
          <w:tcPr>
            <w:tcW w:w="1117" w:type="dxa"/>
            <w:noWrap/>
            <w:vAlign w:val="center"/>
            <w:hideMark/>
          </w:tcPr>
          <w:p w14:paraId="4466C142"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$212.43</w:t>
            </w:r>
          </w:p>
        </w:tc>
        <w:tc>
          <w:tcPr>
            <w:tcW w:w="960" w:type="dxa"/>
            <w:noWrap/>
            <w:vAlign w:val="center"/>
            <w:hideMark/>
          </w:tcPr>
          <w:p w14:paraId="3510CCF4"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$181.69</w:t>
            </w:r>
          </w:p>
        </w:tc>
        <w:tc>
          <w:tcPr>
            <w:tcW w:w="960" w:type="dxa"/>
            <w:noWrap/>
            <w:vAlign w:val="center"/>
            <w:hideMark/>
          </w:tcPr>
          <w:p w14:paraId="60938D85"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$1.13</w:t>
            </w:r>
          </w:p>
        </w:tc>
      </w:tr>
      <w:tr w:rsidR="005D5493" w:rsidRPr="00930549" w14:paraId="1F3E1B6D" w14:textId="77777777" w:rsidTr="00E70D5E">
        <w:trPr>
          <w:trHeight w:val="288"/>
          <w:jc w:val="center"/>
        </w:trPr>
        <w:tc>
          <w:tcPr>
            <w:tcW w:w="2889" w:type="dxa"/>
            <w:noWrap/>
            <w:vAlign w:val="center"/>
            <w:hideMark/>
          </w:tcPr>
          <w:p w14:paraId="4E91D42B" w14:textId="137C8F06" w:rsidR="00BC64AE" w:rsidRPr="00930549" w:rsidRDefault="00BC64AE" w:rsidP="00316B58">
            <w:pPr>
              <w:rPr>
                <w:rFonts w:ascii="Arial" w:hAnsi="Arial" w:cs="Arial"/>
                <w:color w:val="000000" w:themeColor="text1"/>
                <w:lang w:val="en-GB" w:eastAsia="en-IN"/>
              </w:rPr>
            </w:pPr>
            <w:r w:rsidRPr="00930549">
              <w:rPr>
                <w:rFonts w:ascii="Arial" w:hAnsi="Arial" w:cs="Arial"/>
                <w:color w:val="000000" w:themeColor="text1"/>
                <w:lang w:val="en-GB" w:eastAsia="en-IN"/>
              </w:rPr>
              <w:t>Units</w:t>
            </w:r>
            <w:r w:rsidR="00B363D0" w:rsidRPr="00930549">
              <w:rPr>
                <w:rFonts w:ascii="Arial" w:hAnsi="Arial" w:cs="Arial"/>
                <w:color w:val="000000" w:themeColor="text1"/>
                <w:lang w:val="en-GB" w:eastAsia="en-IN"/>
              </w:rPr>
              <w:t xml:space="preserve">, </w:t>
            </w:r>
            <w:r w:rsidRPr="00930549">
              <w:rPr>
                <w:rFonts w:ascii="Arial" w:hAnsi="Arial" w:cs="Arial"/>
                <w:color w:val="000000" w:themeColor="text1"/>
                <w:lang w:val="en-GB" w:eastAsia="en-IN"/>
              </w:rPr>
              <w:t>2020</w:t>
            </w:r>
            <w:r w:rsidR="00B363D0" w:rsidRPr="00930549">
              <w:rPr>
                <w:rFonts w:ascii="Arial" w:hAnsi="Arial" w:cs="Arial"/>
                <w:color w:val="000000" w:themeColor="text1"/>
                <w:lang w:val="en-GB" w:eastAsia="en-IN"/>
              </w:rPr>
              <w:t xml:space="preserve"> (millions)</w:t>
            </w:r>
          </w:p>
        </w:tc>
        <w:tc>
          <w:tcPr>
            <w:tcW w:w="1134" w:type="dxa"/>
            <w:noWrap/>
            <w:vAlign w:val="center"/>
            <w:hideMark/>
          </w:tcPr>
          <w:p w14:paraId="4B856710"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35.2</w:t>
            </w:r>
          </w:p>
        </w:tc>
        <w:tc>
          <w:tcPr>
            <w:tcW w:w="1093" w:type="dxa"/>
            <w:noWrap/>
            <w:vAlign w:val="center"/>
            <w:hideMark/>
          </w:tcPr>
          <w:p w14:paraId="57CFAACD"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32.2</w:t>
            </w:r>
          </w:p>
        </w:tc>
        <w:tc>
          <w:tcPr>
            <w:tcW w:w="960" w:type="dxa"/>
            <w:noWrap/>
            <w:vAlign w:val="center"/>
            <w:hideMark/>
          </w:tcPr>
          <w:p w14:paraId="54D85A15"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37.7</w:t>
            </w:r>
          </w:p>
        </w:tc>
        <w:tc>
          <w:tcPr>
            <w:tcW w:w="1117" w:type="dxa"/>
            <w:noWrap/>
            <w:vAlign w:val="center"/>
            <w:hideMark/>
          </w:tcPr>
          <w:p w14:paraId="0B04A8C8"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9.6</w:t>
            </w:r>
          </w:p>
        </w:tc>
        <w:tc>
          <w:tcPr>
            <w:tcW w:w="960" w:type="dxa"/>
            <w:noWrap/>
            <w:vAlign w:val="center"/>
            <w:hideMark/>
          </w:tcPr>
          <w:p w14:paraId="4CCBA944"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N/A</w:t>
            </w:r>
          </w:p>
        </w:tc>
        <w:tc>
          <w:tcPr>
            <w:tcW w:w="960" w:type="dxa"/>
            <w:noWrap/>
            <w:vAlign w:val="center"/>
            <w:hideMark/>
          </w:tcPr>
          <w:p w14:paraId="3C2980C7"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13.4</w:t>
            </w:r>
          </w:p>
        </w:tc>
      </w:tr>
      <w:tr w:rsidR="005D5493" w:rsidRPr="00930549" w14:paraId="46471FE3" w14:textId="77777777" w:rsidTr="00E70D5E">
        <w:trPr>
          <w:trHeight w:val="288"/>
          <w:jc w:val="center"/>
        </w:trPr>
        <w:tc>
          <w:tcPr>
            <w:tcW w:w="2889" w:type="dxa"/>
            <w:noWrap/>
            <w:vAlign w:val="center"/>
            <w:hideMark/>
          </w:tcPr>
          <w:p w14:paraId="2CAEE2DD" w14:textId="6CC1475D" w:rsidR="00BC64AE" w:rsidRPr="00930549" w:rsidRDefault="00BC64AE" w:rsidP="00316B58">
            <w:pPr>
              <w:rPr>
                <w:rFonts w:ascii="Arial" w:hAnsi="Arial" w:cs="Arial"/>
                <w:color w:val="000000" w:themeColor="text1"/>
                <w:lang w:val="en-GB" w:eastAsia="en-IN"/>
              </w:rPr>
            </w:pPr>
            <w:r w:rsidRPr="00930549">
              <w:rPr>
                <w:rFonts w:ascii="Arial" w:hAnsi="Arial" w:cs="Arial"/>
                <w:color w:val="000000" w:themeColor="text1"/>
                <w:lang w:val="en-GB" w:eastAsia="en-IN"/>
              </w:rPr>
              <w:t>Market Share</w:t>
            </w:r>
            <w:r w:rsidR="00105DA7" w:rsidRPr="00930549">
              <w:rPr>
                <w:rFonts w:ascii="Arial" w:hAnsi="Arial" w:cs="Arial"/>
                <w:color w:val="000000" w:themeColor="text1"/>
                <w:lang w:val="en-GB" w:eastAsia="en-IN"/>
              </w:rPr>
              <w:t xml:space="preserve"> (%)</w:t>
            </w:r>
          </w:p>
        </w:tc>
        <w:tc>
          <w:tcPr>
            <w:tcW w:w="1134" w:type="dxa"/>
            <w:noWrap/>
            <w:vAlign w:val="center"/>
            <w:hideMark/>
          </w:tcPr>
          <w:p w14:paraId="4C420FF3" w14:textId="2C8781F1"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19</w:t>
            </w:r>
          </w:p>
        </w:tc>
        <w:tc>
          <w:tcPr>
            <w:tcW w:w="1093" w:type="dxa"/>
            <w:noWrap/>
            <w:vAlign w:val="center"/>
            <w:hideMark/>
          </w:tcPr>
          <w:p w14:paraId="1D6ACB0D" w14:textId="6590CD32"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17.4</w:t>
            </w:r>
          </w:p>
        </w:tc>
        <w:tc>
          <w:tcPr>
            <w:tcW w:w="960" w:type="dxa"/>
            <w:noWrap/>
            <w:vAlign w:val="center"/>
            <w:hideMark/>
          </w:tcPr>
          <w:p w14:paraId="24FC692C" w14:textId="7F1CDE69"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20.3</w:t>
            </w:r>
          </w:p>
        </w:tc>
        <w:tc>
          <w:tcPr>
            <w:tcW w:w="1117" w:type="dxa"/>
            <w:noWrap/>
            <w:vAlign w:val="center"/>
            <w:hideMark/>
          </w:tcPr>
          <w:p w14:paraId="025B8059" w14:textId="118D6DE4"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5.2</w:t>
            </w:r>
          </w:p>
        </w:tc>
        <w:tc>
          <w:tcPr>
            <w:tcW w:w="960" w:type="dxa"/>
            <w:noWrap/>
            <w:vAlign w:val="center"/>
            <w:hideMark/>
          </w:tcPr>
          <w:p w14:paraId="0B579520" w14:textId="77777777"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N/A</w:t>
            </w:r>
          </w:p>
        </w:tc>
        <w:tc>
          <w:tcPr>
            <w:tcW w:w="960" w:type="dxa"/>
            <w:noWrap/>
            <w:vAlign w:val="center"/>
            <w:hideMark/>
          </w:tcPr>
          <w:p w14:paraId="3A00A859" w14:textId="79BD6E29"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7.2</w:t>
            </w:r>
          </w:p>
        </w:tc>
      </w:tr>
      <w:tr w:rsidR="005D5493" w:rsidRPr="00930549" w14:paraId="2EC1E408" w14:textId="77777777" w:rsidTr="00E70D5E">
        <w:trPr>
          <w:trHeight w:val="288"/>
          <w:jc w:val="center"/>
        </w:trPr>
        <w:tc>
          <w:tcPr>
            <w:tcW w:w="2889" w:type="dxa"/>
            <w:noWrap/>
            <w:vAlign w:val="center"/>
            <w:hideMark/>
          </w:tcPr>
          <w:p w14:paraId="319F0F8C" w14:textId="484F5874" w:rsidR="00BC64AE" w:rsidRPr="00930549" w:rsidRDefault="00BC64AE" w:rsidP="00316B58">
            <w:pPr>
              <w:rPr>
                <w:rFonts w:ascii="Arial" w:hAnsi="Arial" w:cs="Arial"/>
                <w:color w:val="000000" w:themeColor="text1"/>
                <w:lang w:val="en-GB" w:eastAsia="en-IN"/>
              </w:rPr>
            </w:pPr>
            <w:r w:rsidRPr="00930549">
              <w:rPr>
                <w:rFonts w:ascii="Arial" w:hAnsi="Arial" w:cs="Arial"/>
                <w:color w:val="000000" w:themeColor="text1"/>
                <w:lang w:val="en-GB" w:eastAsia="en-IN"/>
              </w:rPr>
              <w:t xml:space="preserve">Annual Growth over </w:t>
            </w:r>
            <w:r w:rsidR="009251C7" w:rsidRPr="00930549">
              <w:rPr>
                <w:rFonts w:ascii="Arial" w:hAnsi="Arial" w:cs="Arial"/>
                <w:color w:val="000000" w:themeColor="text1"/>
                <w:lang w:val="en-GB" w:eastAsia="en-IN"/>
              </w:rPr>
              <w:t>P</w:t>
            </w:r>
            <w:r w:rsidRPr="00930549">
              <w:rPr>
                <w:rFonts w:ascii="Arial" w:hAnsi="Arial" w:cs="Arial"/>
                <w:color w:val="000000" w:themeColor="text1"/>
                <w:lang w:val="en-GB" w:eastAsia="en-IN"/>
              </w:rPr>
              <w:t>revious Year</w:t>
            </w:r>
            <w:r w:rsidR="00530EFD" w:rsidRPr="00930549">
              <w:rPr>
                <w:rFonts w:ascii="Arial" w:hAnsi="Arial" w:cs="Arial"/>
                <w:color w:val="000000" w:themeColor="text1"/>
                <w:lang w:val="en-GB" w:eastAsia="en-IN"/>
              </w:rPr>
              <w:t xml:space="preserve">, </w:t>
            </w:r>
            <w:r w:rsidRPr="00930549">
              <w:rPr>
                <w:rFonts w:ascii="Arial" w:hAnsi="Arial" w:cs="Arial"/>
                <w:color w:val="000000" w:themeColor="text1"/>
                <w:lang w:val="en-GB" w:eastAsia="en-IN"/>
              </w:rPr>
              <w:t>2019</w:t>
            </w:r>
            <w:r w:rsidR="00105DA7" w:rsidRPr="00930549">
              <w:rPr>
                <w:rFonts w:ascii="Arial" w:hAnsi="Arial" w:cs="Arial"/>
                <w:color w:val="000000" w:themeColor="text1"/>
                <w:lang w:val="en-GB" w:eastAsia="en-IN"/>
              </w:rPr>
              <w:t xml:space="preserve"> (%)</w:t>
            </w:r>
          </w:p>
        </w:tc>
        <w:tc>
          <w:tcPr>
            <w:tcW w:w="1134" w:type="dxa"/>
            <w:noWrap/>
            <w:vAlign w:val="center"/>
            <w:hideMark/>
          </w:tcPr>
          <w:p w14:paraId="3E243DA9" w14:textId="27014776"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29</w:t>
            </w:r>
          </w:p>
        </w:tc>
        <w:tc>
          <w:tcPr>
            <w:tcW w:w="1093" w:type="dxa"/>
            <w:noWrap/>
            <w:vAlign w:val="center"/>
            <w:hideMark/>
          </w:tcPr>
          <w:p w14:paraId="0F5E4108" w14:textId="771F543A"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46.6</w:t>
            </w:r>
          </w:p>
        </w:tc>
        <w:tc>
          <w:tcPr>
            <w:tcW w:w="960" w:type="dxa"/>
            <w:noWrap/>
            <w:vAlign w:val="center"/>
            <w:hideMark/>
          </w:tcPr>
          <w:p w14:paraId="2DF19212" w14:textId="07EF3786" w:rsidR="00BC64AE" w:rsidRPr="00930549" w:rsidRDefault="00BC64AE"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5.7</w:t>
            </w:r>
          </w:p>
        </w:tc>
        <w:tc>
          <w:tcPr>
            <w:tcW w:w="1117" w:type="dxa"/>
            <w:noWrap/>
            <w:vAlign w:val="center"/>
            <w:hideMark/>
          </w:tcPr>
          <w:p w14:paraId="277D7EED" w14:textId="7F31CC4B" w:rsidR="00BC64AE" w:rsidRPr="00930549" w:rsidRDefault="009251C7"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w:t>
            </w:r>
            <w:r w:rsidR="00BC64AE" w:rsidRPr="00930549">
              <w:rPr>
                <w:rFonts w:ascii="Arial" w:hAnsi="Arial" w:cs="Arial"/>
                <w:color w:val="000000" w:themeColor="text1"/>
                <w:lang w:val="en-GB" w:eastAsia="en-IN"/>
              </w:rPr>
              <w:t>1</w:t>
            </w:r>
            <w:r w:rsidR="003C6636" w:rsidRPr="00930549">
              <w:rPr>
                <w:rFonts w:ascii="Arial" w:hAnsi="Arial" w:cs="Arial"/>
                <w:color w:val="000000" w:themeColor="text1"/>
                <w:lang w:val="en-GB" w:eastAsia="en-IN"/>
              </w:rPr>
              <w:t>.0</w:t>
            </w:r>
          </w:p>
        </w:tc>
        <w:tc>
          <w:tcPr>
            <w:tcW w:w="960" w:type="dxa"/>
            <w:noWrap/>
            <w:vAlign w:val="center"/>
            <w:hideMark/>
          </w:tcPr>
          <w:p w14:paraId="147B2164" w14:textId="6EB6ED00" w:rsidR="00BC64AE" w:rsidRPr="00930549" w:rsidRDefault="003434D5" w:rsidP="00F825D9">
            <w:pPr>
              <w:jc w:val="center"/>
              <w:rPr>
                <w:rFonts w:ascii="Arial" w:hAnsi="Arial" w:cs="Arial"/>
                <w:color w:val="000000" w:themeColor="text1"/>
                <w:lang w:val="en-GB" w:eastAsia="en-IN"/>
              </w:rPr>
            </w:pPr>
            <w:r w:rsidRPr="00930549">
              <w:rPr>
                <w:rFonts w:ascii="Arial" w:hAnsi="Arial" w:cs="Arial"/>
              </w:rPr>
              <w:t>…</w:t>
            </w:r>
          </w:p>
        </w:tc>
        <w:tc>
          <w:tcPr>
            <w:tcW w:w="960" w:type="dxa"/>
            <w:noWrap/>
            <w:vAlign w:val="center"/>
            <w:hideMark/>
          </w:tcPr>
          <w:p w14:paraId="52BCC441" w14:textId="3477576D" w:rsidR="00BC64AE" w:rsidRPr="00930549" w:rsidRDefault="009251C7" w:rsidP="00F825D9">
            <w:pPr>
              <w:jc w:val="center"/>
              <w:rPr>
                <w:rFonts w:ascii="Arial" w:hAnsi="Arial" w:cs="Arial"/>
                <w:color w:val="000000" w:themeColor="text1"/>
                <w:lang w:val="en-GB" w:eastAsia="en-IN"/>
              </w:rPr>
            </w:pPr>
            <w:r w:rsidRPr="00930549">
              <w:rPr>
                <w:rFonts w:ascii="Arial" w:hAnsi="Arial" w:cs="Arial"/>
                <w:color w:val="000000" w:themeColor="text1"/>
                <w:lang w:val="en-GB" w:eastAsia="en-IN"/>
              </w:rPr>
              <w:t>−</w:t>
            </w:r>
            <w:r w:rsidR="00BC64AE" w:rsidRPr="00930549">
              <w:rPr>
                <w:rFonts w:ascii="Arial" w:hAnsi="Arial" w:cs="Arial"/>
                <w:color w:val="000000" w:themeColor="text1"/>
                <w:lang w:val="en-GB" w:eastAsia="en-IN"/>
              </w:rPr>
              <w:t>16.3</w:t>
            </w:r>
          </w:p>
        </w:tc>
      </w:tr>
    </w:tbl>
    <w:p w14:paraId="1D53FC33" w14:textId="77777777" w:rsidR="00BA2C15" w:rsidRPr="00E006A9" w:rsidRDefault="00BA2C15" w:rsidP="008642D1">
      <w:pPr>
        <w:pStyle w:val="Footnote"/>
        <w:rPr>
          <w:color w:val="000000" w:themeColor="text1"/>
          <w:lang w:val="en-GB"/>
        </w:rPr>
      </w:pPr>
    </w:p>
    <w:p w14:paraId="0C8A9666" w14:textId="7EF3841E" w:rsidR="000F167E" w:rsidRPr="00E006A9" w:rsidRDefault="0040551E" w:rsidP="00E70D5E">
      <w:pPr>
        <w:pStyle w:val="Footnote"/>
        <w:rPr>
          <w:lang w:val="en-GB"/>
        </w:rPr>
      </w:pPr>
      <w:r w:rsidRPr="00E006A9">
        <w:rPr>
          <w:color w:val="000000" w:themeColor="text1"/>
          <w:lang w:val="en-GB"/>
        </w:rPr>
        <w:t xml:space="preserve">Source: </w:t>
      </w:r>
      <w:r w:rsidR="009A06E0" w:rsidRPr="00E006A9">
        <w:rPr>
          <w:color w:val="000000" w:themeColor="text1"/>
          <w:lang w:val="en-GB"/>
        </w:rPr>
        <w:t xml:space="preserve">David </w:t>
      </w:r>
      <w:r w:rsidRPr="00E006A9">
        <w:rPr>
          <w:color w:val="000000" w:themeColor="text1"/>
          <w:lang w:val="en-GB"/>
        </w:rPr>
        <w:t>Curry</w:t>
      </w:r>
      <w:r w:rsidR="002A1C07" w:rsidRPr="00E006A9">
        <w:rPr>
          <w:color w:val="000000" w:themeColor="text1"/>
          <w:lang w:val="en-GB"/>
        </w:rPr>
        <w:t>,</w:t>
      </w:r>
      <w:r w:rsidRPr="00E006A9">
        <w:rPr>
          <w:color w:val="000000" w:themeColor="text1"/>
          <w:lang w:val="en-GB"/>
        </w:rPr>
        <w:t xml:space="preserve"> </w:t>
      </w:r>
      <w:r w:rsidR="002A1C07" w:rsidRPr="00E006A9">
        <w:rPr>
          <w:color w:val="000000" w:themeColor="text1"/>
          <w:lang w:val="en-GB"/>
        </w:rPr>
        <w:t>“</w:t>
      </w:r>
      <w:r w:rsidRPr="00E006A9">
        <w:rPr>
          <w:color w:val="000000" w:themeColor="text1"/>
          <w:lang w:val="en-GB"/>
        </w:rPr>
        <w:t>Apple Statistics (2021)</w:t>
      </w:r>
      <w:r w:rsidR="002A1C07" w:rsidRPr="00E006A9">
        <w:rPr>
          <w:color w:val="000000" w:themeColor="text1"/>
          <w:lang w:val="en-GB"/>
        </w:rPr>
        <w:t>,”</w:t>
      </w:r>
      <w:r w:rsidRPr="00E006A9">
        <w:rPr>
          <w:color w:val="000000" w:themeColor="text1"/>
          <w:lang w:val="en-GB"/>
        </w:rPr>
        <w:t xml:space="preserve"> Business of Apps</w:t>
      </w:r>
      <w:r w:rsidR="002A1C07" w:rsidRPr="00E006A9">
        <w:rPr>
          <w:color w:val="000000" w:themeColor="text1"/>
          <w:lang w:val="en-GB"/>
        </w:rPr>
        <w:t>,</w:t>
      </w:r>
      <w:r w:rsidRPr="00E006A9">
        <w:rPr>
          <w:color w:val="000000" w:themeColor="text1"/>
          <w:lang w:val="en-GB"/>
        </w:rPr>
        <w:t xml:space="preserve"> March 31, 2021, accessed April 17, 2021</w:t>
      </w:r>
      <w:r w:rsidR="002A1C07" w:rsidRPr="00E006A9">
        <w:rPr>
          <w:color w:val="000000" w:themeColor="text1"/>
          <w:lang w:val="en-GB"/>
        </w:rPr>
        <w:t>,</w:t>
      </w:r>
      <w:r w:rsidRPr="00E006A9">
        <w:rPr>
          <w:color w:val="000000" w:themeColor="text1"/>
          <w:lang w:val="en-GB"/>
        </w:rPr>
        <w:t xml:space="preserve"> https://www.businessofapps.com/data/apple-statistics/</w:t>
      </w:r>
      <w:r w:rsidR="00413342" w:rsidRPr="00E006A9">
        <w:rPr>
          <w:color w:val="000000" w:themeColor="text1"/>
          <w:lang w:val="en-GB"/>
        </w:rPr>
        <w:t xml:space="preserve">; </w:t>
      </w:r>
      <w:r w:rsidR="009A06E0" w:rsidRPr="00E006A9">
        <w:rPr>
          <w:color w:val="000000" w:themeColor="text1"/>
          <w:lang w:val="en-GB"/>
        </w:rPr>
        <w:t>Sean</w:t>
      </w:r>
      <w:r w:rsidR="00413342" w:rsidRPr="00E006A9">
        <w:rPr>
          <w:color w:val="000000" w:themeColor="text1"/>
          <w:lang w:val="en-GB"/>
        </w:rPr>
        <w:t>,</w:t>
      </w:r>
      <w:r w:rsidR="009A06E0" w:rsidRPr="00E006A9">
        <w:rPr>
          <w:color w:val="000000" w:themeColor="text1"/>
          <w:lang w:val="en-GB"/>
        </w:rPr>
        <w:t xml:space="preserve"> </w:t>
      </w:r>
      <w:r w:rsidR="00413342" w:rsidRPr="00E006A9">
        <w:rPr>
          <w:color w:val="000000" w:themeColor="text1"/>
          <w:lang w:val="en-GB"/>
        </w:rPr>
        <w:t>“</w:t>
      </w:r>
      <w:r w:rsidR="009A06E0" w:rsidRPr="00E006A9">
        <w:rPr>
          <w:color w:val="000000" w:themeColor="text1"/>
          <w:lang w:val="en-GB"/>
        </w:rPr>
        <w:t xml:space="preserve">Huawei </w:t>
      </w:r>
      <w:r w:rsidR="00413342" w:rsidRPr="00E006A9">
        <w:rPr>
          <w:color w:val="000000" w:themeColor="text1"/>
          <w:lang w:val="en-GB"/>
        </w:rPr>
        <w:t>S</w:t>
      </w:r>
      <w:r w:rsidR="009A06E0" w:rsidRPr="00E006A9">
        <w:rPr>
          <w:color w:val="000000" w:themeColor="text1"/>
          <w:lang w:val="en-GB"/>
        </w:rPr>
        <w:t xml:space="preserve">ees 3.2% </w:t>
      </w:r>
      <w:r w:rsidR="00413342" w:rsidRPr="00E006A9">
        <w:rPr>
          <w:color w:val="000000" w:themeColor="text1"/>
          <w:lang w:val="en-GB"/>
        </w:rPr>
        <w:t>R</w:t>
      </w:r>
      <w:r w:rsidR="009A06E0" w:rsidRPr="00E006A9">
        <w:rPr>
          <w:color w:val="000000" w:themeColor="text1"/>
          <w:lang w:val="en-GB"/>
        </w:rPr>
        <w:t xml:space="preserve">ise in </w:t>
      </w:r>
      <w:r w:rsidR="00413342" w:rsidRPr="00E006A9">
        <w:rPr>
          <w:color w:val="000000" w:themeColor="text1"/>
          <w:lang w:val="en-GB"/>
        </w:rPr>
        <w:t>P</w:t>
      </w:r>
      <w:r w:rsidR="009A06E0" w:rsidRPr="00E006A9">
        <w:rPr>
          <w:color w:val="000000" w:themeColor="text1"/>
          <w:lang w:val="en-GB"/>
        </w:rPr>
        <w:t xml:space="preserve">rofits in 2020, while </w:t>
      </w:r>
      <w:r w:rsidR="00413342" w:rsidRPr="00E006A9">
        <w:rPr>
          <w:color w:val="000000" w:themeColor="text1"/>
          <w:lang w:val="en-GB"/>
        </w:rPr>
        <w:t>R</w:t>
      </w:r>
      <w:r w:rsidR="009A06E0" w:rsidRPr="00E006A9">
        <w:rPr>
          <w:color w:val="000000" w:themeColor="text1"/>
          <w:lang w:val="en-GB"/>
        </w:rPr>
        <w:t xml:space="preserve">evenue </w:t>
      </w:r>
      <w:r w:rsidR="00413342" w:rsidRPr="00E006A9">
        <w:rPr>
          <w:color w:val="000000" w:themeColor="text1"/>
          <w:lang w:val="en-GB"/>
        </w:rPr>
        <w:t>D</w:t>
      </w:r>
      <w:r w:rsidR="009A06E0" w:rsidRPr="00E006A9">
        <w:rPr>
          <w:color w:val="000000" w:themeColor="text1"/>
          <w:lang w:val="en-GB"/>
        </w:rPr>
        <w:t xml:space="preserve">eclines </w:t>
      </w:r>
      <w:r w:rsidR="00413342" w:rsidRPr="00E006A9">
        <w:rPr>
          <w:color w:val="000000" w:themeColor="text1"/>
          <w:lang w:val="en-GB"/>
        </w:rPr>
        <w:t>O</w:t>
      </w:r>
      <w:r w:rsidR="009A06E0" w:rsidRPr="00E006A9">
        <w:rPr>
          <w:color w:val="000000" w:themeColor="text1"/>
          <w:lang w:val="en-GB"/>
        </w:rPr>
        <w:t xml:space="preserve">utside of </w:t>
      </w:r>
      <w:r w:rsidR="00413342" w:rsidRPr="00E006A9">
        <w:rPr>
          <w:color w:val="000000" w:themeColor="text1"/>
          <w:lang w:val="en-GB"/>
        </w:rPr>
        <w:t>C</w:t>
      </w:r>
      <w:r w:rsidR="009A06E0" w:rsidRPr="00E006A9">
        <w:rPr>
          <w:color w:val="000000" w:themeColor="text1"/>
          <w:lang w:val="en-GB"/>
        </w:rPr>
        <w:t>hina</w:t>
      </w:r>
      <w:r w:rsidR="00413342" w:rsidRPr="00E006A9">
        <w:rPr>
          <w:color w:val="000000" w:themeColor="text1"/>
          <w:lang w:val="en-GB"/>
        </w:rPr>
        <w:t>,</w:t>
      </w:r>
      <w:r w:rsidR="009A06E0" w:rsidRPr="00E006A9">
        <w:rPr>
          <w:color w:val="000000" w:themeColor="text1"/>
          <w:lang w:val="en-GB"/>
        </w:rPr>
        <w:t>” Gizmochina</w:t>
      </w:r>
      <w:r w:rsidR="00413342" w:rsidRPr="00E006A9">
        <w:rPr>
          <w:color w:val="000000" w:themeColor="text1"/>
          <w:lang w:val="en-GB"/>
        </w:rPr>
        <w:t>,</w:t>
      </w:r>
      <w:r w:rsidR="009A06E0" w:rsidRPr="00E006A9">
        <w:rPr>
          <w:color w:val="000000" w:themeColor="text1"/>
          <w:lang w:val="en-GB"/>
        </w:rPr>
        <w:t xml:space="preserve"> March 31, 2021</w:t>
      </w:r>
      <w:r w:rsidR="00683C96" w:rsidRPr="00E006A9">
        <w:rPr>
          <w:color w:val="000000" w:themeColor="text1"/>
          <w:lang w:val="en-GB"/>
        </w:rPr>
        <w:t>, accessed April 17, 2021</w:t>
      </w:r>
      <w:r w:rsidR="00725308" w:rsidRPr="00E006A9">
        <w:rPr>
          <w:color w:val="000000" w:themeColor="text1"/>
          <w:lang w:val="en-GB"/>
        </w:rPr>
        <w:t>,</w:t>
      </w:r>
      <w:r w:rsidR="009A06E0" w:rsidRPr="00E006A9">
        <w:rPr>
          <w:color w:val="000000" w:themeColor="text1"/>
          <w:lang w:val="en-GB"/>
        </w:rPr>
        <w:t xml:space="preserve"> </w:t>
      </w:r>
      <w:r w:rsidR="003D22D3" w:rsidRPr="00E006A9">
        <w:rPr>
          <w:rStyle w:val="Hyperlink"/>
          <w:color w:val="000000" w:themeColor="text1"/>
          <w:u w:val="none"/>
          <w:lang w:val="en-GB"/>
        </w:rPr>
        <w:t>https://www.gizmochina.com/2021/03/31/huawei-rise-profits-2020-revenue-declines-outside-china/</w:t>
      </w:r>
      <w:r w:rsidR="00725308" w:rsidRPr="00E006A9">
        <w:rPr>
          <w:color w:val="000000" w:themeColor="text1"/>
          <w:lang w:val="en-GB"/>
        </w:rPr>
        <w:t>;</w:t>
      </w:r>
      <w:r w:rsidR="003D22D3" w:rsidRPr="00E006A9">
        <w:rPr>
          <w:color w:val="000000" w:themeColor="text1"/>
          <w:lang w:val="en-GB"/>
        </w:rPr>
        <w:t xml:space="preserve"> </w:t>
      </w:r>
      <w:r w:rsidR="00683C96" w:rsidRPr="00E006A9">
        <w:rPr>
          <w:color w:val="000000" w:themeColor="text1"/>
          <w:lang w:val="en-GB"/>
        </w:rPr>
        <w:t>Sean</w:t>
      </w:r>
      <w:r w:rsidR="00725308" w:rsidRPr="00E006A9">
        <w:rPr>
          <w:color w:val="000000" w:themeColor="text1"/>
          <w:lang w:val="en-GB"/>
        </w:rPr>
        <w:t>,</w:t>
      </w:r>
      <w:r w:rsidR="00683C96" w:rsidRPr="00E006A9">
        <w:rPr>
          <w:color w:val="000000" w:themeColor="text1"/>
          <w:lang w:val="en-GB"/>
        </w:rPr>
        <w:t xml:space="preserve"> </w:t>
      </w:r>
      <w:r w:rsidR="00725308" w:rsidRPr="00E006A9">
        <w:rPr>
          <w:color w:val="000000" w:themeColor="text1"/>
          <w:lang w:val="en-GB"/>
        </w:rPr>
        <w:t>“</w:t>
      </w:r>
      <w:r w:rsidR="00683C96" w:rsidRPr="00E006A9">
        <w:rPr>
          <w:color w:val="000000" w:themeColor="text1"/>
          <w:lang w:val="en-GB"/>
        </w:rPr>
        <w:t xml:space="preserve">Xiaomi </w:t>
      </w:r>
      <w:r w:rsidR="00725308" w:rsidRPr="00E006A9">
        <w:rPr>
          <w:color w:val="000000" w:themeColor="text1"/>
          <w:lang w:val="en-GB"/>
        </w:rPr>
        <w:t>R</w:t>
      </w:r>
      <w:r w:rsidR="00683C96" w:rsidRPr="00E006A9">
        <w:rPr>
          <w:color w:val="000000" w:themeColor="text1"/>
          <w:lang w:val="en-GB"/>
        </w:rPr>
        <w:t xml:space="preserve">ecords </w:t>
      </w:r>
      <w:r w:rsidR="00725308" w:rsidRPr="00E006A9">
        <w:rPr>
          <w:color w:val="000000" w:themeColor="text1"/>
          <w:lang w:val="en-GB"/>
        </w:rPr>
        <w:t>S</w:t>
      </w:r>
      <w:r w:rsidR="00683C96" w:rsidRPr="00E006A9">
        <w:rPr>
          <w:color w:val="000000" w:themeColor="text1"/>
          <w:lang w:val="en-GB"/>
        </w:rPr>
        <w:t xml:space="preserve">trong 2020 </w:t>
      </w:r>
      <w:r w:rsidR="00725308" w:rsidRPr="00E006A9">
        <w:rPr>
          <w:color w:val="000000" w:themeColor="text1"/>
          <w:lang w:val="en-GB"/>
        </w:rPr>
        <w:t>A</w:t>
      </w:r>
      <w:r w:rsidR="00683C96" w:rsidRPr="00E006A9">
        <w:rPr>
          <w:color w:val="000000" w:themeColor="text1"/>
          <w:lang w:val="en-GB"/>
        </w:rPr>
        <w:t xml:space="preserve">nnual </w:t>
      </w:r>
      <w:r w:rsidR="00725308" w:rsidRPr="00E006A9">
        <w:rPr>
          <w:color w:val="000000" w:themeColor="text1"/>
          <w:lang w:val="en-GB"/>
        </w:rPr>
        <w:t>R</w:t>
      </w:r>
      <w:r w:rsidR="00683C96" w:rsidRPr="00E006A9">
        <w:rPr>
          <w:color w:val="000000" w:themeColor="text1"/>
          <w:lang w:val="en-GB"/>
        </w:rPr>
        <w:t xml:space="preserve">esults, </w:t>
      </w:r>
      <w:r w:rsidR="00725308" w:rsidRPr="00E006A9">
        <w:rPr>
          <w:color w:val="000000" w:themeColor="text1"/>
          <w:lang w:val="en-GB"/>
        </w:rPr>
        <w:t>S</w:t>
      </w:r>
      <w:r w:rsidR="00683C96" w:rsidRPr="00E006A9">
        <w:rPr>
          <w:color w:val="000000" w:themeColor="text1"/>
          <w:lang w:val="en-GB"/>
        </w:rPr>
        <w:t xml:space="preserve">old over 10 </w:t>
      </w:r>
      <w:r w:rsidR="00725308" w:rsidRPr="00E006A9">
        <w:rPr>
          <w:color w:val="000000" w:themeColor="text1"/>
          <w:lang w:val="en-GB"/>
        </w:rPr>
        <w:t>M</w:t>
      </w:r>
      <w:r w:rsidR="00683C96" w:rsidRPr="00E006A9">
        <w:rPr>
          <w:color w:val="000000" w:themeColor="text1"/>
          <w:lang w:val="en-GB"/>
        </w:rPr>
        <w:t xml:space="preserve">illion </w:t>
      </w:r>
      <w:r w:rsidR="00725308" w:rsidRPr="00E006A9">
        <w:rPr>
          <w:color w:val="000000" w:themeColor="text1"/>
          <w:lang w:val="en-GB"/>
        </w:rPr>
        <w:t>P</w:t>
      </w:r>
      <w:r w:rsidR="00683C96" w:rsidRPr="00E006A9">
        <w:rPr>
          <w:color w:val="000000" w:themeColor="text1"/>
          <w:lang w:val="en-GB"/>
        </w:rPr>
        <w:t xml:space="preserve">remium </w:t>
      </w:r>
      <w:r w:rsidR="00725308" w:rsidRPr="00E006A9">
        <w:rPr>
          <w:color w:val="000000" w:themeColor="text1"/>
          <w:lang w:val="en-GB"/>
        </w:rPr>
        <w:t>S</w:t>
      </w:r>
      <w:r w:rsidR="00683C96" w:rsidRPr="00E006A9">
        <w:rPr>
          <w:color w:val="000000" w:themeColor="text1"/>
          <w:lang w:val="en-GB"/>
        </w:rPr>
        <w:t>martphones</w:t>
      </w:r>
      <w:r w:rsidR="00725308" w:rsidRPr="00E006A9">
        <w:rPr>
          <w:color w:val="000000" w:themeColor="text1"/>
          <w:lang w:val="en-GB"/>
        </w:rPr>
        <w:t>,</w:t>
      </w:r>
      <w:r w:rsidR="00683C96" w:rsidRPr="00E006A9">
        <w:rPr>
          <w:color w:val="000000" w:themeColor="text1"/>
          <w:lang w:val="en-GB"/>
        </w:rPr>
        <w:t>” Gizmochina</w:t>
      </w:r>
      <w:r w:rsidR="00725308" w:rsidRPr="00E006A9">
        <w:rPr>
          <w:color w:val="000000" w:themeColor="text1"/>
          <w:lang w:val="en-GB"/>
        </w:rPr>
        <w:t>,</w:t>
      </w:r>
      <w:r w:rsidR="00683C96" w:rsidRPr="00E006A9">
        <w:rPr>
          <w:color w:val="000000" w:themeColor="text1"/>
          <w:lang w:val="en-GB"/>
        </w:rPr>
        <w:t xml:space="preserve"> March 25, 2021, accessed April 17, 2021</w:t>
      </w:r>
      <w:r w:rsidR="00725308" w:rsidRPr="00E006A9">
        <w:rPr>
          <w:color w:val="000000" w:themeColor="text1"/>
          <w:lang w:val="en-GB"/>
        </w:rPr>
        <w:t>,</w:t>
      </w:r>
      <w:r w:rsidR="00683C96" w:rsidRPr="00E006A9">
        <w:rPr>
          <w:color w:val="000000" w:themeColor="text1"/>
          <w:lang w:val="en-GB"/>
        </w:rPr>
        <w:t xml:space="preserve"> </w:t>
      </w:r>
      <w:hyperlink r:id="rId13" w:history="1">
        <w:r w:rsidR="003D22D3" w:rsidRPr="00E006A9">
          <w:rPr>
            <w:lang w:val="en-GB"/>
          </w:rPr>
          <w:t>https://www.gizmochina.com/2021/03/25/xiaomi-strong-2020-results-sold-10m-premium-smartphones</w:t>
        </w:r>
      </w:hyperlink>
      <w:r w:rsidR="00725308" w:rsidRPr="00E006A9">
        <w:rPr>
          <w:color w:val="000000" w:themeColor="text1"/>
          <w:lang w:val="en-GB"/>
        </w:rPr>
        <w:t>;</w:t>
      </w:r>
      <w:r w:rsidR="003D22D3" w:rsidRPr="00E006A9">
        <w:rPr>
          <w:color w:val="000000" w:themeColor="text1"/>
          <w:lang w:val="en-GB"/>
        </w:rPr>
        <w:t xml:space="preserve"> </w:t>
      </w:r>
      <w:r w:rsidR="00683C96" w:rsidRPr="00E006A9">
        <w:rPr>
          <w:color w:val="000000" w:themeColor="text1"/>
          <w:lang w:val="en-GB"/>
        </w:rPr>
        <w:t>Song Su-hyun</w:t>
      </w:r>
      <w:r w:rsidR="00725308" w:rsidRPr="00E006A9">
        <w:rPr>
          <w:color w:val="000000" w:themeColor="text1"/>
          <w:lang w:val="en-GB"/>
        </w:rPr>
        <w:t>,</w:t>
      </w:r>
      <w:r w:rsidR="00683C96" w:rsidRPr="00E006A9">
        <w:rPr>
          <w:color w:val="000000" w:themeColor="text1"/>
          <w:lang w:val="en-GB"/>
        </w:rPr>
        <w:t xml:space="preserve"> </w:t>
      </w:r>
      <w:r w:rsidR="00725308" w:rsidRPr="00E006A9">
        <w:rPr>
          <w:color w:val="000000" w:themeColor="text1"/>
          <w:lang w:val="en-GB"/>
        </w:rPr>
        <w:t>“</w:t>
      </w:r>
      <w:r w:rsidR="00683C96" w:rsidRPr="00E006A9">
        <w:rPr>
          <w:color w:val="000000" w:themeColor="text1"/>
          <w:lang w:val="en-GB"/>
        </w:rPr>
        <w:t>Samsung</w:t>
      </w:r>
      <w:r w:rsidR="00725308" w:rsidRPr="00E006A9">
        <w:rPr>
          <w:color w:val="000000" w:themeColor="text1"/>
          <w:lang w:val="en-GB"/>
        </w:rPr>
        <w:t>’</w:t>
      </w:r>
      <w:r w:rsidR="00683C96" w:rsidRPr="00E006A9">
        <w:rPr>
          <w:color w:val="000000" w:themeColor="text1"/>
          <w:lang w:val="en-GB"/>
        </w:rPr>
        <w:t>s 2020 Operating Profit Up Nearly 30% On-year</w:t>
      </w:r>
      <w:r w:rsidR="00725308" w:rsidRPr="00E006A9">
        <w:rPr>
          <w:color w:val="000000" w:themeColor="text1"/>
          <w:lang w:val="en-GB"/>
        </w:rPr>
        <w:t>,”</w:t>
      </w:r>
      <w:r w:rsidR="00683C96" w:rsidRPr="00E006A9">
        <w:rPr>
          <w:color w:val="000000" w:themeColor="text1"/>
          <w:lang w:val="en-GB"/>
        </w:rPr>
        <w:t xml:space="preserve"> </w:t>
      </w:r>
      <w:r w:rsidR="00683C96" w:rsidRPr="00E006A9">
        <w:rPr>
          <w:i/>
          <w:color w:val="000000" w:themeColor="text1"/>
          <w:lang w:val="en-GB"/>
        </w:rPr>
        <w:t>The Korea Herald</w:t>
      </w:r>
      <w:r w:rsidR="00725308" w:rsidRPr="00E006A9">
        <w:rPr>
          <w:color w:val="000000" w:themeColor="text1"/>
          <w:lang w:val="en-GB"/>
        </w:rPr>
        <w:t>,</w:t>
      </w:r>
      <w:r w:rsidR="00683C96" w:rsidRPr="00E006A9">
        <w:rPr>
          <w:color w:val="000000" w:themeColor="text1"/>
          <w:lang w:val="en-GB"/>
        </w:rPr>
        <w:t xml:space="preserve"> January 28, 2021, accessed April 17, 2021</w:t>
      </w:r>
      <w:r w:rsidR="00725308" w:rsidRPr="00E006A9">
        <w:rPr>
          <w:color w:val="000000" w:themeColor="text1"/>
          <w:lang w:val="en-GB"/>
        </w:rPr>
        <w:t>,</w:t>
      </w:r>
      <w:r w:rsidR="00683C96" w:rsidRPr="00E006A9">
        <w:rPr>
          <w:color w:val="000000" w:themeColor="text1"/>
          <w:lang w:val="en-GB"/>
        </w:rPr>
        <w:t xml:space="preserve"> https://www.koreaherald.com/view.php?ud=20210128000156</w:t>
      </w:r>
      <w:r w:rsidR="00725308" w:rsidRPr="00E006A9">
        <w:rPr>
          <w:color w:val="000000" w:themeColor="text1"/>
          <w:lang w:val="en-GB"/>
        </w:rPr>
        <w:t xml:space="preserve">; </w:t>
      </w:r>
      <w:r w:rsidR="000F167E" w:rsidRPr="00E006A9">
        <w:rPr>
          <w:lang w:val="en-GB"/>
        </w:rPr>
        <w:t>Joseph Johnson</w:t>
      </w:r>
      <w:r w:rsidR="00725308" w:rsidRPr="00E006A9">
        <w:rPr>
          <w:lang w:val="en-GB"/>
        </w:rPr>
        <w:t>,</w:t>
      </w:r>
      <w:r w:rsidR="000F167E" w:rsidRPr="00E006A9">
        <w:rPr>
          <w:lang w:val="en-GB"/>
        </w:rPr>
        <w:t xml:space="preserve"> </w:t>
      </w:r>
      <w:r w:rsidR="00725308" w:rsidRPr="00E006A9">
        <w:rPr>
          <w:lang w:val="en-GB"/>
        </w:rPr>
        <w:t>“</w:t>
      </w:r>
      <w:r w:rsidR="000F167E" w:rsidRPr="00E006A9">
        <w:rPr>
          <w:lang w:val="en-GB"/>
        </w:rPr>
        <w:t>Google: Annual Revenue</w:t>
      </w:r>
      <w:r w:rsidR="00725308" w:rsidRPr="00E006A9">
        <w:rPr>
          <w:lang w:val="en-GB"/>
        </w:rPr>
        <w:t>,”</w:t>
      </w:r>
      <w:r w:rsidR="000F167E" w:rsidRPr="00E006A9">
        <w:rPr>
          <w:lang w:val="en-GB"/>
        </w:rPr>
        <w:t xml:space="preserve"> Statista</w:t>
      </w:r>
      <w:r w:rsidR="00725308" w:rsidRPr="00E006A9">
        <w:rPr>
          <w:lang w:val="en-GB"/>
        </w:rPr>
        <w:t>,</w:t>
      </w:r>
      <w:r w:rsidR="000F167E" w:rsidRPr="00E006A9">
        <w:rPr>
          <w:lang w:val="en-GB"/>
        </w:rPr>
        <w:t xml:space="preserve"> February 8, 2021, accessed April 18, 2021</w:t>
      </w:r>
      <w:r w:rsidR="00725308" w:rsidRPr="00E006A9">
        <w:rPr>
          <w:lang w:val="en-GB"/>
        </w:rPr>
        <w:t>,</w:t>
      </w:r>
      <w:r w:rsidR="000F167E" w:rsidRPr="00E006A9">
        <w:rPr>
          <w:lang w:val="en-GB"/>
        </w:rPr>
        <w:t xml:space="preserve"> </w:t>
      </w:r>
      <w:hyperlink r:id="rId14" w:history="1">
        <w:r w:rsidR="003D22D3" w:rsidRPr="00E006A9">
          <w:rPr>
            <w:lang w:val="en-GB"/>
          </w:rPr>
          <w:t>https://www.statista.com/statistics/266206/googles-annual-global-revenue/</w:t>
        </w:r>
      </w:hyperlink>
      <w:r w:rsidR="00725308" w:rsidRPr="00E006A9">
        <w:rPr>
          <w:lang w:val="en-GB"/>
        </w:rPr>
        <w:t>;</w:t>
      </w:r>
      <w:r w:rsidR="003D22D3" w:rsidRPr="00E006A9">
        <w:rPr>
          <w:lang w:val="en-GB"/>
        </w:rPr>
        <w:t xml:space="preserve"> </w:t>
      </w:r>
      <w:r w:rsidR="000F167E" w:rsidRPr="00E006A9">
        <w:rPr>
          <w:lang w:val="en-GB"/>
        </w:rPr>
        <w:t>David Curry</w:t>
      </w:r>
      <w:r w:rsidR="00725308" w:rsidRPr="00E006A9">
        <w:rPr>
          <w:lang w:val="en-GB"/>
        </w:rPr>
        <w:t>,</w:t>
      </w:r>
      <w:r w:rsidR="000F167E" w:rsidRPr="00E006A9">
        <w:rPr>
          <w:lang w:val="en-GB"/>
        </w:rPr>
        <w:t xml:space="preserve"> </w:t>
      </w:r>
      <w:r w:rsidR="00725308" w:rsidRPr="00E006A9">
        <w:rPr>
          <w:lang w:val="en-GB"/>
        </w:rPr>
        <w:t>“</w:t>
      </w:r>
      <w:r w:rsidR="000F167E" w:rsidRPr="00E006A9">
        <w:rPr>
          <w:lang w:val="en-GB"/>
        </w:rPr>
        <w:t>Fitbit Revenue and Usage Statistics (2020)</w:t>
      </w:r>
      <w:r w:rsidR="00725308" w:rsidRPr="00E006A9">
        <w:rPr>
          <w:lang w:val="en-GB"/>
        </w:rPr>
        <w:t>,”</w:t>
      </w:r>
      <w:r w:rsidR="000F167E" w:rsidRPr="00E006A9">
        <w:rPr>
          <w:lang w:val="en-GB"/>
        </w:rPr>
        <w:t xml:space="preserve"> Business of Apps</w:t>
      </w:r>
      <w:r w:rsidR="00725308" w:rsidRPr="00E006A9">
        <w:rPr>
          <w:lang w:val="en-GB"/>
        </w:rPr>
        <w:t>,</w:t>
      </w:r>
      <w:r w:rsidR="000F167E" w:rsidRPr="00E006A9">
        <w:rPr>
          <w:lang w:val="en-GB"/>
        </w:rPr>
        <w:t xml:space="preserve"> March 28, 2021, accessed April 18, 2021</w:t>
      </w:r>
      <w:r w:rsidR="00725308" w:rsidRPr="00E006A9">
        <w:rPr>
          <w:lang w:val="en-GB"/>
        </w:rPr>
        <w:t>,</w:t>
      </w:r>
      <w:r w:rsidR="000F167E" w:rsidRPr="00E006A9">
        <w:rPr>
          <w:lang w:val="en-GB"/>
        </w:rPr>
        <w:t xml:space="preserve"> </w:t>
      </w:r>
      <w:hyperlink r:id="rId15" w:history="1">
        <w:r w:rsidR="00725308" w:rsidRPr="00E006A9">
          <w:rPr>
            <w:lang w:val="en-GB"/>
          </w:rPr>
          <w:t>https://www.businessofapps.com/data/fitbit-statistics/</w:t>
        </w:r>
      </w:hyperlink>
      <w:r w:rsidR="00725308" w:rsidRPr="00E006A9">
        <w:rPr>
          <w:lang w:val="en-GB"/>
        </w:rPr>
        <w:t>; “</w:t>
      </w:r>
      <w:r w:rsidR="00C60C12" w:rsidRPr="00E006A9">
        <w:rPr>
          <w:lang w:val="en-GB"/>
        </w:rPr>
        <w:t>Global TWS and Wearables Q4 2020</w:t>
      </w:r>
      <w:r w:rsidR="00725308" w:rsidRPr="00E006A9">
        <w:rPr>
          <w:lang w:val="en-GB"/>
        </w:rPr>
        <w:t>,</w:t>
      </w:r>
      <w:r w:rsidR="0043052B">
        <w:rPr>
          <w:lang w:val="en-GB"/>
        </w:rPr>
        <w:t>”</w:t>
      </w:r>
      <w:r w:rsidR="00C60C12" w:rsidRPr="00E006A9">
        <w:rPr>
          <w:lang w:val="en-GB"/>
        </w:rPr>
        <w:t xml:space="preserve"> </w:t>
      </w:r>
      <w:proofErr w:type="spellStart"/>
      <w:r w:rsidR="00C60C12" w:rsidRPr="00E006A9">
        <w:rPr>
          <w:lang w:val="en-GB"/>
        </w:rPr>
        <w:t>Canalys</w:t>
      </w:r>
      <w:proofErr w:type="spellEnd"/>
      <w:r w:rsidR="00725308" w:rsidRPr="00E006A9">
        <w:rPr>
          <w:lang w:val="en-GB"/>
        </w:rPr>
        <w:t>,</w:t>
      </w:r>
      <w:r w:rsidR="00C60C12" w:rsidRPr="00E006A9">
        <w:rPr>
          <w:lang w:val="en-GB"/>
        </w:rPr>
        <w:t xml:space="preserve"> March 30, 2021, accessed April 18, 2021</w:t>
      </w:r>
      <w:r w:rsidR="00725308" w:rsidRPr="00E006A9">
        <w:rPr>
          <w:lang w:val="en-GB"/>
        </w:rPr>
        <w:t>,</w:t>
      </w:r>
      <w:r w:rsidR="00C60C12" w:rsidRPr="00E006A9">
        <w:rPr>
          <w:lang w:val="en-GB"/>
        </w:rPr>
        <w:t xml:space="preserve"> https://www.canalys.com/newsroom/canalys-tws-and-wearables-q4-2020.</w:t>
      </w:r>
    </w:p>
    <w:p w14:paraId="3EE7BD9D" w14:textId="77777777" w:rsidR="003D22D3" w:rsidRPr="00E006A9" w:rsidRDefault="003D22D3" w:rsidP="001C2E8D">
      <w:pPr>
        <w:rPr>
          <w:rFonts w:ascii="Arial" w:hAnsi="Arial" w:cs="Arial"/>
          <w:b/>
          <w:color w:val="000000" w:themeColor="text1"/>
          <w:lang w:val="en-GB"/>
        </w:rPr>
      </w:pPr>
    </w:p>
    <w:p w14:paraId="427AD15F" w14:textId="5F205D5F" w:rsidR="00BA795F" w:rsidRPr="00E006A9" w:rsidRDefault="00BA795F" w:rsidP="00E70D5E">
      <w:pPr>
        <w:pStyle w:val="ExhibitHeading"/>
        <w:rPr>
          <w:lang w:val="en-GB"/>
        </w:rPr>
      </w:pPr>
      <w:r w:rsidRPr="00E006A9">
        <w:rPr>
          <w:lang w:val="en-GB"/>
        </w:rPr>
        <w:t xml:space="preserve">EXHIBIT </w:t>
      </w:r>
      <w:r w:rsidR="008642D1" w:rsidRPr="00E006A9">
        <w:rPr>
          <w:lang w:val="en-GB"/>
        </w:rPr>
        <w:t>6</w:t>
      </w:r>
      <w:r w:rsidRPr="00E006A9">
        <w:rPr>
          <w:lang w:val="en-GB"/>
        </w:rPr>
        <w:t xml:space="preserve">: TOP </w:t>
      </w:r>
      <w:r w:rsidR="00354EC9">
        <w:rPr>
          <w:lang w:val="en-GB"/>
        </w:rPr>
        <w:t>Five</w:t>
      </w:r>
      <w:r w:rsidRPr="00E006A9">
        <w:rPr>
          <w:lang w:val="en-GB"/>
        </w:rPr>
        <w:t xml:space="preserve"> WEARABLES COMPANIES</w:t>
      </w:r>
    </w:p>
    <w:p w14:paraId="31EC643C" w14:textId="77777777" w:rsidR="00BA795F" w:rsidRPr="00E006A9" w:rsidRDefault="00BA795F" w:rsidP="00BA795F">
      <w:pPr>
        <w:ind w:left="2160" w:firstLine="720"/>
        <w:rPr>
          <w:rFonts w:ascii="Arial" w:hAnsi="Arial" w:cs="Arial"/>
          <w:b/>
          <w:color w:val="000000" w:themeColor="text1"/>
          <w:lang w:val="en-GB"/>
        </w:rPr>
      </w:pPr>
    </w:p>
    <w:tbl>
      <w:tblPr>
        <w:tblW w:w="9270" w:type="dxa"/>
        <w:jc w:val="center"/>
        <w:tblLook w:val="04A0" w:firstRow="1" w:lastRow="0" w:firstColumn="1" w:lastColumn="0" w:noHBand="0" w:noVBand="1"/>
      </w:tblPr>
      <w:tblGrid>
        <w:gridCol w:w="1165"/>
        <w:gridCol w:w="1741"/>
        <w:gridCol w:w="1607"/>
        <w:gridCol w:w="1741"/>
        <w:gridCol w:w="1607"/>
        <w:gridCol w:w="1409"/>
      </w:tblGrid>
      <w:tr w:rsidR="005D5493" w:rsidRPr="00E006A9" w14:paraId="41F13D4F" w14:textId="77777777" w:rsidTr="00E70D5E">
        <w:trPr>
          <w:trHeight w:val="288"/>
          <w:jc w:val="center"/>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F0C57" w14:textId="77777777" w:rsidR="00BA795F" w:rsidRPr="00E006A9" w:rsidRDefault="00BA795F" w:rsidP="00E70D5E">
            <w:pPr>
              <w:rPr>
                <w:rFonts w:ascii="Arial" w:hAnsi="Arial" w:cs="Arial"/>
                <w:b/>
                <w:bCs/>
                <w:color w:val="000000" w:themeColor="text1"/>
                <w:lang w:val="en-GB" w:eastAsia="en-IN"/>
              </w:rPr>
            </w:pPr>
            <w:r w:rsidRPr="00E006A9">
              <w:rPr>
                <w:rFonts w:ascii="Arial" w:hAnsi="Arial" w:cs="Arial"/>
                <w:b/>
                <w:bCs/>
                <w:color w:val="000000" w:themeColor="text1"/>
                <w:lang w:val="en-GB" w:eastAsia="en-IN"/>
              </w:rPr>
              <w:t>Company</w:t>
            </w:r>
          </w:p>
        </w:tc>
        <w:tc>
          <w:tcPr>
            <w:tcW w:w="1741" w:type="dxa"/>
            <w:tcBorders>
              <w:top w:val="single" w:sz="4" w:space="0" w:color="auto"/>
              <w:left w:val="nil"/>
              <w:bottom w:val="single" w:sz="4" w:space="0" w:color="auto"/>
              <w:right w:val="single" w:sz="4" w:space="0" w:color="auto"/>
            </w:tcBorders>
            <w:shd w:val="clear" w:color="auto" w:fill="auto"/>
            <w:noWrap/>
            <w:vAlign w:val="center"/>
            <w:hideMark/>
          </w:tcPr>
          <w:p w14:paraId="484955D9" w14:textId="77AAE3B2" w:rsidR="00BA795F" w:rsidRPr="00E006A9" w:rsidRDefault="00BA795F" w:rsidP="00316B58">
            <w:pPr>
              <w:jc w:val="center"/>
              <w:rPr>
                <w:rFonts w:ascii="Arial" w:hAnsi="Arial" w:cs="Arial"/>
                <w:b/>
                <w:bCs/>
                <w:color w:val="000000" w:themeColor="text1"/>
                <w:lang w:val="en-GB" w:eastAsia="en-IN"/>
              </w:rPr>
            </w:pPr>
            <w:r w:rsidRPr="00E006A9">
              <w:rPr>
                <w:rFonts w:ascii="Arial" w:hAnsi="Arial" w:cs="Arial"/>
                <w:b/>
                <w:bCs/>
                <w:color w:val="000000" w:themeColor="text1"/>
                <w:lang w:val="en-GB" w:eastAsia="en-IN"/>
              </w:rPr>
              <w:t>2019 Shipments (</w:t>
            </w:r>
            <w:r w:rsidR="00BA4B8B">
              <w:rPr>
                <w:rFonts w:ascii="Arial" w:hAnsi="Arial" w:cs="Arial"/>
                <w:b/>
                <w:bCs/>
                <w:color w:val="000000" w:themeColor="text1"/>
                <w:lang w:val="en-GB" w:eastAsia="en-IN"/>
              </w:rPr>
              <w:t>millions</w:t>
            </w:r>
            <w:r w:rsidRPr="00E006A9">
              <w:rPr>
                <w:rFonts w:ascii="Arial" w:hAnsi="Arial" w:cs="Arial"/>
                <w:b/>
                <w:bCs/>
                <w:color w:val="000000" w:themeColor="text1"/>
                <w:lang w:val="en-GB" w:eastAsia="en-IN"/>
              </w:rPr>
              <w:t>)</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406F4391" w14:textId="778BDB3B" w:rsidR="00BA795F" w:rsidRPr="00E006A9" w:rsidRDefault="00BA795F" w:rsidP="00065E9E">
            <w:pPr>
              <w:jc w:val="center"/>
              <w:rPr>
                <w:rFonts w:ascii="Arial" w:hAnsi="Arial" w:cs="Arial"/>
                <w:b/>
                <w:bCs/>
                <w:color w:val="000000" w:themeColor="text1"/>
                <w:lang w:val="en-GB" w:eastAsia="en-IN"/>
              </w:rPr>
            </w:pPr>
            <w:r w:rsidRPr="00E006A9">
              <w:rPr>
                <w:rFonts w:ascii="Arial" w:hAnsi="Arial" w:cs="Arial"/>
                <w:b/>
                <w:bCs/>
                <w:color w:val="000000" w:themeColor="text1"/>
                <w:lang w:val="en-GB" w:eastAsia="en-IN"/>
              </w:rPr>
              <w:t>2019 Market Share</w:t>
            </w:r>
            <w:r w:rsidR="00BA4B8B">
              <w:rPr>
                <w:rFonts w:ascii="Arial" w:hAnsi="Arial" w:cs="Arial"/>
                <w:b/>
                <w:bCs/>
                <w:color w:val="000000" w:themeColor="text1"/>
                <w:lang w:val="en-GB" w:eastAsia="en-IN"/>
              </w:rPr>
              <w:t xml:space="preserve"> (%)</w:t>
            </w:r>
          </w:p>
        </w:tc>
        <w:tc>
          <w:tcPr>
            <w:tcW w:w="1741" w:type="dxa"/>
            <w:tcBorders>
              <w:top w:val="single" w:sz="4" w:space="0" w:color="auto"/>
              <w:left w:val="nil"/>
              <w:bottom w:val="single" w:sz="4" w:space="0" w:color="auto"/>
              <w:right w:val="single" w:sz="4" w:space="0" w:color="auto"/>
            </w:tcBorders>
            <w:shd w:val="clear" w:color="auto" w:fill="auto"/>
            <w:noWrap/>
            <w:vAlign w:val="center"/>
            <w:hideMark/>
          </w:tcPr>
          <w:p w14:paraId="077FF46F" w14:textId="71EE09DD" w:rsidR="00BA795F" w:rsidRPr="00E006A9" w:rsidRDefault="00BA795F" w:rsidP="00065E9E">
            <w:pPr>
              <w:jc w:val="center"/>
              <w:rPr>
                <w:rFonts w:ascii="Arial" w:hAnsi="Arial" w:cs="Arial"/>
                <w:b/>
                <w:bCs/>
                <w:color w:val="000000" w:themeColor="text1"/>
                <w:lang w:val="en-GB" w:eastAsia="en-IN"/>
              </w:rPr>
            </w:pPr>
            <w:r w:rsidRPr="00E006A9">
              <w:rPr>
                <w:rFonts w:ascii="Arial" w:hAnsi="Arial" w:cs="Arial"/>
                <w:b/>
                <w:bCs/>
                <w:color w:val="000000" w:themeColor="text1"/>
                <w:lang w:val="en-GB" w:eastAsia="en-IN"/>
              </w:rPr>
              <w:t>2018 Shipments (</w:t>
            </w:r>
            <w:r w:rsidR="00BA4B8B">
              <w:rPr>
                <w:rFonts w:ascii="Arial" w:hAnsi="Arial" w:cs="Arial"/>
                <w:b/>
                <w:bCs/>
                <w:color w:val="000000" w:themeColor="text1"/>
                <w:lang w:val="en-GB" w:eastAsia="en-IN"/>
              </w:rPr>
              <w:t>millions</w:t>
            </w:r>
            <w:r w:rsidRPr="00E006A9">
              <w:rPr>
                <w:rFonts w:ascii="Arial" w:hAnsi="Arial" w:cs="Arial"/>
                <w:b/>
                <w:bCs/>
                <w:color w:val="000000" w:themeColor="text1"/>
                <w:lang w:val="en-GB" w:eastAsia="en-IN"/>
              </w:rPr>
              <w:t>)</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52D1093C" w14:textId="1236C785" w:rsidR="00BA795F" w:rsidRPr="00E006A9" w:rsidRDefault="00BA795F" w:rsidP="00065E9E">
            <w:pPr>
              <w:jc w:val="center"/>
              <w:rPr>
                <w:rFonts w:ascii="Arial" w:hAnsi="Arial" w:cs="Arial"/>
                <w:b/>
                <w:bCs/>
                <w:color w:val="000000" w:themeColor="text1"/>
                <w:lang w:val="en-GB" w:eastAsia="en-IN"/>
              </w:rPr>
            </w:pPr>
            <w:r w:rsidRPr="00E006A9">
              <w:rPr>
                <w:rFonts w:ascii="Arial" w:hAnsi="Arial" w:cs="Arial"/>
                <w:b/>
                <w:bCs/>
                <w:color w:val="000000" w:themeColor="text1"/>
                <w:lang w:val="en-GB" w:eastAsia="en-IN"/>
              </w:rPr>
              <w:t xml:space="preserve">2018 Market </w:t>
            </w:r>
            <w:r w:rsidR="003C7E87" w:rsidRPr="00E006A9">
              <w:rPr>
                <w:rFonts w:ascii="Arial" w:hAnsi="Arial" w:cs="Arial"/>
                <w:b/>
                <w:bCs/>
                <w:color w:val="000000" w:themeColor="text1"/>
                <w:lang w:val="en-GB" w:eastAsia="en-IN"/>
              </w:rPr>
              <w:t>S</w:t>
            </w:r>
            <w:r w:rsidRPr="00E006A9">
              <w:rPr>
                <w:rFonts w:ascii="Arial" w:hAnsi="Arial" w:cs="Arial"/>
                <w:b/>
                <w:bCs/>
                <w:color w:val="000000" w:themeColor="text1"/>
                <w:lang w:val="en-GB" w:eastAsia="en-IN"/>
              </w:rPr>
              <w:t>hare</w:t>
            </w:r>
            <w:r w:rsidR="00BA4B8B">
              <w:rPr>
                <w:rFonts w:ascii="Arial" w:hAnsi="Arial" w:cs="Arial"/>
                <w:b/>
                <w:bCs/>
                <w:color w:val="000000" w:themeColor="text1"/>
                <w:lang w:val="en-GB" w:eastAsia="en-IN"/>
              </w:rPr>
              <w:t xml:space="preserve"> (%)</w:t>
            </w:r>
          </w:p>
        </w:tc>
        <w:tc>
          <w:tcPr>
            <w:tcW w:w="1409" w:type="dxa"/>
            <w:tcBorders>
              <w:top w:val="single" w:sz="4" w:space="0" w:color="auto"/>
              <w:left w:val="nil"/>
              <w:bottom w:val="single" w:sz="4" w:space="0" w:color="auto"/>
              <w:right w:val="single" w:sz="4" w:space="0" w:color="auto"/>
            </w:tcBorders>
            <w:shd w:val="clear" w:color="auto" w:fill="auto"/>
            <w:noWrap/>
            <w:vAlign w:val="center"/>
            <w:hideMark/>
          </w:tcPr>
          <w:p w14:paraId="385C2481" w14:textId="433ABDCF" w:rsidR="00BA795F" w:rsidRPr="00E006A9" w:rsidRDefault="00BA795F" w:rsidP="00065E9E">
            <w:pPr>
              <w:jc w:val="center"/>
              <w:rPr>
                <w:rFonts w:ascii="Arial" w:hAnsi="Arial" w:cs="Arial"/>
                <w:b/>
                <w:bCs/>
                <w:color w:val="000000" w:themeColor="text1"/>
                <w:lang w:val="en-GB" w:eastAsia="en-IN"/>
              </w:rPr>
            </w:pPr>
            <w:r w:rsidRPr="00E006A9">
              <w:rPr>
                <w:rFonts w:ascii="Arial" w:hAnsi="Arial" w:cs="Arial"/>
                <w:b/>
                <w:bCs/>
                <w:color w:val="000000" w:themeColor="text1"/>
                <w:lang w:val="en-GB" w:eastAsia="en-IN"/>
              </w:rPr>
              <w:t>Year-over-Year Growth</w:t>
            </w:r>
            <w:r w:rsidR="00B54391">
              <w:rPr>
                <w:rFonts w:ascii="Arial" w:hAnsi="Arial" w:cs="Arial"/>
                <w:b/>
                <w:bCs/>
                <w:color w:val="000000" w:themeColor="text1"/>
                <w:lang w:val="en-GB" w:eastAsia="en-IN"/>
              </w:rPr>
              <w:t xml:space="preserve"> (%)</w:t>
            </w:r>
          </w:p>
        </w:tc>
      </w:tr>
      <w:tr w:rsidR="005D5493" w:rsidRPr="00E006A9" w14:paraId="47E78FB5"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EC9CE5F"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Apple</w:t>
            </w:r>
          </w:p>
        </w:tc>
        <w:tc>
          <w:tcPr>
            <w:tcW w:w="1741" w:type="dxa"/>
            <w:tcBorders>
              <w:top w:val="nil"/>
              <w:left w:val="nil"/>
              <w:bottom w:val="single" w:sz="4" w:space="0" w:color="auto"/>
              <w:right w:val="single" w:sz="4" w:space="0" w:color="auto"/>
            </w:tcBorders>
            <w:shd w:val="clear" w:color="auto" w:fill="auto"/>
            <w:noWrap/>
            <w:vAlign w:val="center"/>
            <w:hideMark/>
          </w:tcPr>
          <w:p w14:paraId="7EFF0812"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106.5</w:t>
            </w:r>
          </w:p>
        </w:tc>
        <w:tc>
          <w:tcPr>
            <w:tcW w:w="1607" w:type="dxa"/>
            <w:tcBorders>
              <w:top w:val="nil"/>
              <w:left w:val="nil"/>
              <w:bottom w:val="single" w:sz="4" w:space="0" w:color="auto"/>
              <w:right w:val="single" w:sz="4" w:space="0" w:color="auto"/>
            </w:tcBorders>
            <w:shd w:val="clear" w:color="auto" w:fill="auto"/>
            <w:noWrap/>
            <w:vAlign w:val="center"/>
            <w:hideMark/>
          </w:tcPr>
          <w:p w14:paraId="18E59A85" w14:textId="53FD5A32"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31.7</w:t>
            </w:r>
          </w:p>
        </w:tc>
        <w:tc>
          <w:tcPr>
            <w:tcW w:w="1741" w:type="dxa"/>
            <w:tcBorders>
              <w:top w:val="nil"/>
              <w:left w:val="nil"/>
              <w:bottom w:val="single" w:sz="4" w:space="0" w:color="auto"/>
              <w:right w:val="single" w:sz="4" w:space="0" w:color="auto"/>
            </w:tcBorders>
            <w:shd w:val="clear" w:color="auto" w:fill="auto"/>
            <w:noWrap/>
            <w:vAlign w:val="center"/>
            <w:hideMark/>
          </w:tcPr>
          <w:p w14:paraId="3B659D15"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48.0</w:t>
            </w:r>
          </w:p>
        </w:tc>
        <w:tc>
          <w:tcPr>
            <w:tcW w:w="1607" w:type="dxa"/>
            <w:tcBorders>
              <w:top w:val="nil"/>
              <w:left w:val="nil"/>
              <w:bottom w:val="single" w:sz="4" w:space="0" w:color="auto"/>
              <w:right w:val="single" w:sz="4" w:space="0" w:color="auto"/>
            </w:tcBorders>
            <w:shd w:val="clear" w:color="auto" w:fill="auto"/>
            <w:noWrap/>
            <w:vAlign w:val="center"/>
            <w:hideMark/>
          </w:tcPr>
          <w:p w14:paraId="44481462" w14:textId="397A1432"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27.0</w:t>
            </w:r>
          </w:p>
        </w:tc>
        <w:tc>
          <w:tcPr>
            <w:tcW w:w="1409" w:type="dxa"/>
            <w:tcBorders>
              <w:top w:val="nil"/>
              <w:left w:val="nil"/>
              <w:bottom w:val="single" w:sz="4" w:space="0" w:color="auto"/>
              <w:right w:val="single" w:sz="4" w:space="0" w:color="auto"/>
            </w:tcBorders>
            <w:shd w:val="clear" w:color="auto" w:fill="auto"/>
            <w:noWrap/>
            <w:vAlign w:val="center"/>
            <w:hideMark/>
          </w:tcPr>
          <w:p w14:paraId="1C42C0B5" w14:textId="1B658873"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121.7</w:t>
            </w:r>
          </w:p>
        </w:tc>
      </w:tr>
      <w:tr w:rsidR="005D5493" w:rsidRPr="00E006A9" w14:paraId="7EFDB6DB"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980F630"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Xiaomi</w:t>
            </w:r>
          </w:p>
        </w:tc>
        <w:tc>
          <w:tcPr>
            <w:tcW w:w="1741" w:type="dxa"/>
            <w:tcBorders>
              <w:top w:val="nil"/>
              <w:left w:val="nil"/>
              <w:bottom w:val="single" w:sz="4" w:space="0" w:color="auto"/>
              <w:right w:val="single" w:sz="4" w:space="0" w:color="auto"/>
            </w:tcBorders>
            <w:shd w:val="clear" w:color="auto" w:fill="auto"/>
            <w:noWrap/>
            <w:vAlign w:val="center"/>
            <w:hideMark/>
          </w:tcPr>
          <w:p w14:paraId="03714457"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41.7</w:t>
            </w:r>
          </w:p>
        </w:tc>
        <w:tc>
          <w:tcPr>
            <w:tcW w:w="1607" w:type="dxa"/>
            <w:tcBorders>
              <w:top w:val="nil"/>
              <w:left w:val="nil"/>
              <w:bottom w:val="single" w:sz="4" w:space="0" w:color="auto"/>
              <w:right w:val="single" w:sz="4" w:space="0" w:color="auto"/>
            </w:tcBorders>
            <w:shd w:val="clear" w:color="auto" w:fill="auto"/>
            <w:noWrap/>
            <w:vAlign w:val="center"/>
            <w:hideMark/>
          </w:tcPr>
          <w:p w14:paraId="2B577A39" w14:textId="213065CB"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12.4</w:t>
            </w:r>
          </w:p>
        </w:tc>
        <w:tc>
          <w:tcPr>
            <w:tcW w:w="1741" w:type="dxa"/>
            <w:tcBorders>
              <w:top w:val="nil"/>
              <w:left w:val="nil"/>
              <w:bottom w:val="single" w:sz="4" w:space="0" w:color="auto"/>
              <w:right w:val="single" w:sz="4" w:space="0" w:color="auto"/>
            </w:tcBorders>
            <w:shd w:val="clear" w:color="auto" w:fill="auto"/>
            <w:noWrap/>
            <w:vAlign w:val="center"/>
            <w:hideMark/>
          </w:tcPr>
          <w:p w14:paraId="55F8B486"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23.3</w:t>
            </w:r>
          </w:p>
        </w:tc>
        <w:tc>
          <w:tcPr>
            <w:tcW w:w="1607" w:type="dxa"/>
            <w:tcBorders>
              <w:top w:val="nil"/>
              <w:left w:val="nil"/>
              <w:bottom w:val="single" w:sz="4" w:space="0" w:color="auto"/>
              <w:right w:val="single" w:sz="4" w:space="0" w:color="auto"/>
            </w:tcBorders>
            <w:shd w:val="clear" w:color="auto" w:fill="auto"/>
            <w:noWrap/>
            <w:vAlign w:val="center"/>
            <w:hideMark/>
          </w:tcPr>
          <w:p w14:paraId="41324E06" w14:textId="58BDD132"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13.1</w:t>
            </w:r>
          </w:p>
        </w:tc>
        <w:tc>
          <w:tcPr>
            <w:tcW w:w="1409" w:type="dxa"/>
            <w:tcBorders>
              <w:top w:val="nil"/>
              <w:left w:val="nil"/>
              <w:bottom w:val="single" w:sz="4" w:space="0" w:color="auto"/>
              <w:right w:val="single" w:sz="4" w:space="0" w:color="auto"/>
            </w:tcBorders>
            <w:shd w:val="clear" w:color="auto" w:fill="auto"/>
            <w:noWrap/>
            <w:vAlign w:val="center"/>
            <w:hideMark/>
          </w:tcPr>
          <w:p w14:paraId="41E811BF" w14:textId="050F4AB4"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78.8</w:t>
            </w:r>
          </w:p>
        </w:tc>
      </w:tr>
      <w:tr w:rsidR="005D5493" w:rsidRPr="00E006A9" w14:paraId="09A2AB19"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65CF408"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Samsung</w:t>
            </w:r>
          </w:p>
        </w:tc>
        <w:tc>
          <w:tcPr>
            <w:tcW w:w="1741" w:type="dxa"/>
            <w:tcBorders>
              <w:top w:val="nil"/>
              <w:left w:val="nil"/>
              <w:bottom w:val="single" w:sz="4" w:space="0" w:color="auto"/>
              <w:right w:val="single" w:sz="4" w:space="0" w:color="auto"/>
            </w:tcBorders>
            <w:shd w:val="clear" w:color="auto" w:fill="auto"/>
            <w:noWrap/>
            <w:vAlign w:val="center"/>
            <w:hideMark/>
          </w:tcPr>
          <w:p w14:paraId="170AB625"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30.9</w:t>
            </w:r>
          </w:p>
        </w:tc>
        <w:tc>
          <w:tcPr>
            <w:tcW w:w="1607" w:type="dxa"/>
            <w:tcBorders>
              <w:top w:val="nil"/>
              <w:left w:val="nil"/>
              <w:bottom w:val="single" w:sz="4" w:space="0" w:color="auto"/>
              <w:right w:val="single" w:sz="4" w:space="0" w:color="auto"/>
            </w:tcBorders>
            <w:shd w:val="clear" w:color="auto" w:fill="auto"/>
            <w:noWrap/>
            <w:vAlign w:val="center"/>
            <w:hideMark/>
          </w:tcPr>
          <w:p w14:paraId="10FA57C0" w14:textId="36B17F35"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9.2</w:t>
            </w:r>
          </w:p>
        </w:tc>
        <w:tc>
          <w:tcPr>
            <w:tcW w:w="1741" w:type="dxa"/>
            <w:tcBorders>
              <w:top w:val="nil"/>
              <w:left w:val="nil"/>
              <w:bottom w:val="single" w:sz="4" w:space="0" w:color="auto"/>
              <w:right w:val="single" w:sz="4" w:space="0" w:color="auto"/>
            </w:tcBorders>
            <w:shd w:val="clear" w:color="auto" w:fill="auto"/>
            <w:noWrap/>
            <w:vAlign w:val="center"/>
            <w:hideMark/>
          </w:tcPr>
          <w:p w14:paraId="6F051DF7"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12.2</w:t>
            </w:r>
          </w:p>
        </w:tc>
        <w:tc>
          <w:tcPr>
            <w:tcW w:w="1607" w:type="dxa"/>
            <w:tcBorders>
              <w:top w:val="nil"/>
              <w:left w:val="nil"/>
              <w:bottom w:val="single" w:sz="4" w:space="0" w:color="auto"/>
              <w:right w:val="single" w:sz="4" w:space="0" w:color="auto"/>
            </w:tcBorders>
            <w:shd w:val="clear" w:color="auto" w:fill="auto"/>
            <w:noWrap/>
            <w:vAlign w:val="center"/>
            <w:hideMark/>
          </w:tcPr>
          <w:p w14:paraId="325B75EE" w14:textId="5269E759"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6.9</w:t>
            </w:r>
          </w:p>
        </w:tc>
        <w:tc>
          <w:tcPr>
            <w:tcW w:w="1409" w:type="dxa"/>
            <w:tcBorders>
              <w:top w:val="nil"/>
              <w:left w:val="nil"/>
              <w:bottom w:val="single" w:sz="4" w:space="0" w:color="auto"/>
              <w:right w:val="single" w:sz="4" w:space="0" w:color="auto"/>
            </w:tcBorders>
            <w:shd w:val="clear" w:color="auto" w:fill="auto"/>
            <w:noWrap/>
            <w:vAlign w:val="center"/>
            <w:hideMark/>
          </w:tcPr>
          <w:p w14:paraId="79C80632" w14:textId="43DD2C08"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153.3</w:t>
            </w:r>
          </w:p>
        </w:tc>
      </w:tr>
      <w:tr w:rsidR="005D5493" w:rsidRPr="00E006A9" w14:paraId="0E9857BC"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08A862B"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Huawei</w:t>
            </w:r>
          </w:p>
        </w:tc>
        <w:tc>
          <w:tcPr>
            <w:tcW w:w="1741" w:type="dxa"/>
            <w:tcBorders>
              <w:top w:val="nil"/>
              <w:left w:val="nil"/>
              <w:bottom w:val="single" w:sz="4" w:space="0" w:color="auto"/>
              <w:right w:val="single" w:sz="4" w:space="0" w:color="auto"/>
            </w:tcBorders>
            <w:shd w:val="clear" w:color="auto" w:fill="auto"/>
            <w:noWrap/>
            <w:vAlign w:val="center"/>
            <w:hideMark/>
          </w:tcPr>
          <w:p w14:paraId="1D4A0048"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27.9</w:t>
            </w:r>
          </w:p>
        </w:tc>
        <w:tc>
          <w:tcPr>
            <w:tcW w:w="1607" w:type="dxa"/>
            <w:tcBorders>
              <w:top w:val="nil"/>
              <w:left w:val="nil"/>
              <w:bottom w:val="single" w:sz="4" w:space="0" w:color="auto"/>
              <w:right w:val="single" w:sz="4" w:space="0" w:color="auto"/>
            </w:tcBorders>
            <w:shd w:val="clear" w:color="auto" w:fill="auto"/>
            <w:noWrap/>
            <w:vAlign w:val="center"/>
            <w:hideMark/>
          </w:tcPr>
          <w:p w14:paraId="3AF989C5" w14:textId="16EEFB90"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8.3</w:t>
            </w:r>
          </w:p>
        </w:tc>
        <w:tc>
          <w:tcPr>
            <w:tcW w:w="1741" w:type="dxa"/>
            <w:tcBorders>
              <w:top w:val="nil"/>
              <w:left w:val="nil"/>
              <w:bottom w:val="single" w:sz="4" w:space="0" w:color="auto"/>
              <w:right w:val="single" w:sz="4" w:space="0" w:color="auto"/>
            </w:tcBorders>
            <w:shd w:val="clear" w:color="auto" w:fill="auto"/>
            <w:noWrap/>
            <w:vAlign w:val="center"/>
            <w:hideMark/>
          </w:tcPr>
          <w:p w14:paraId="12272C93"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11.2</w:t>
            </w:r>
          </w:p>
        </w:tc>
        <w:tc>
          <w:tcPr>
            <w:tcW w:w="1607" w:type="dxa"/>
            <w:tcBorders>
              <w:top w:val="nil"/>
              <w:left w:val="nil"/>
              <w:bottom w:val="single" w:sz="4" w:space="0" w:color="auto"/>
              <w:right w:val="single" w:sz="4" w:space="0" w:color="auto"/>
            </w:tcBorders>
            <w:shd w:val="clear" w:color="auto" w:fill="auto"/>
            <w:noWrap/>
            <w:vAlign w:val="center"/>
            <w:hideMark/>
          </w:tcPr>
          <w:p w14:paraId="03E5CD5C" w14:textId="69356FD1"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6.3</w:t>
            </w:r>
          </w:p>
        </w:tc>
        <w:tc>
          <w:tcPr>
            <w:tcW w:w="1409" w:type="dxa"/>
            <w:tcBorders>
              <w:top w:val="nil"/>
              <w:left w:val="nil"/>
              <w:bottom w:val="single" w:sz="4" w:space="0" w:color="auto"/>
              <w:right w:val="single" w:sz="4" w:space="0" w:color="auto"/>
            </w:tcBorders>
            <w:shd w:val="clear" w:color="auto" w:fill="auto"/>
            <w:noWrap/>
            <w:vAlign w:val="center"/>
            <w:hideMark/>
          </w:tcPr>
          <w:p w14:paraId="2204009D" w14:textId="420FA115"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148.8</w:t>
            </w:r>
          </w:p>
        </w:tc>
      </w:tr>
      <w:tr w:rsidR="005D5493" w:rsidRPr="00E006A9" w14:paraId="0B23410E"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56A92D4"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Fitbit</w:t>
            </w:r>
          </w:p>
        </w:tc>
        <w:tc>
          <w:tcPr>
            <w:tcW w:w="1741" w:type="dxa"/>
            <w:tcBorders>
              <w:top w:val="nil"/>
              <w:left w:val="nil"/>
              <w:bottom w:val="single" w:sz="4" w:space="0" w:color="auto"/>
              <w:right w:val="single" w:sz="4" w:space="0" w:color="auto"/>
            </w:tcBorders>
            <w:shd w:val="clear" w:color="auto" w:fill="auto"/>
            <w:noWrap/>
            <w:vAlign w:val="center"/>
            <w:hideMark/>
          </w:tcPr>
          <w:p w14:paraId="648F8616"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15.9</w:t>
            </w:r>
          </w:p>
        </w:tc>
        <w:tc>
          <w:tcPr>
            <w:tcW w:w="1607" w:type="dxa"/>
            <w:tcBorders>
              <w:top w:val="nil"/>
              <w:left w:val="nil"/>
              <w:bottom w:val="single" w:sz="4" w:space="0" w:color="auto"/>
              <w:right w:val="single" w:sz="4" w:space="0" w:color="auto"/>
            </w:tcBorders>
            <w:shd w:val="clear" w:color="auto" w:fill="auto"/>
            <w:noWrap/>
            <w:vAlign w:val="center"/>
            <w:hideMark/>
          </w:tcPr>
          <w:p w14:paraId="7117E73C" w14:textId="6CA37BA4"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4.7</w:t>
            </w:r>
          </w:p>
        </w:tc>
        <w:tc>
          <w:tcPr>
            <w:tcW w:w="1741" w:type="dxa"/>
            <w:tcBorders>
              <w:top w:val="nil"/>
              <w:left w:val="nil"/>
              <w:bottom w:val="single" w:sz="4" w:space="0" w:color="auto"/>
              <w:right w:val="single" w:sz="4" w:space="0" w:color="auto"/>
            </w:tcBorders>
            <w:shd w:val="clear" w:color="auto" w:fill="auto"/>
            <w:noWrap/>
            <w:vAlign w:val="center"/>
            <w:hideMark/>
          </w:tcPr>
          <w:p w14:paraId="3D0EE28E"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13.8</w:t>
            </w:r>
          </w:p>
        </w:tc>
        <w:tc>
          <w:tcPr>
            <w:tcW w:w="1607" w:type="dxa"/>
            <w:tcBorders>
              <w:top w:val="nil"/>
              <w:left w:val="nil"/>
              <w:bottom w:val="single" w:sz="4" w:space="0" w:color="auto"/>
              <w:right w:val="single" w:sz="4" w:space="0" w:color="auto"/>
            </w:tcBorders>
            <w:shd w:val="clear" w:color="auto" w:fill="auto"/>
            <w:noWrap/>
            <w:vAlign w:val="center"/>
            <w:hideMark/>
          </w:tcPr>
          <w:p w14:paraId="7F1641DE" w14:textId="56CB3AB0"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7.8</w:t>
            </w:r>
          </w:p>
        </w:tc>
        <w:tc>
          <w:tcPr>
            <w:tcW w:w="1409" w:type="dxa"/>
            <w:tcBorders>
              <w:top w:val="nil"/>
              <w:left w:val="nil"/>
              <w:bottom w:val="single" w:sz="4" w:space="0" w:color="auto"/>
              <w:right w:val="single" w:sz="4" w:space="0" w:color="auto"/>
            </w:tcBorders>
            <w:shd w:val="clear" w:color="auto" w:fill="auto"/>
            <w:noWrap/>
            <w:vAlign w:val="center"/>
            <w:hideMark/>
          </w:tcPr>
          <w:p w14:paraId="13E9CB27" w14:textId="4D97525F"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14.8</w:t>
            </w:r>
          </w:p>
        </w:tc>
      </w:tr>
      <w:tr w:rsidR="005D5493" w:rsidRPr="00E006A9" w14:paraId="5F87C1C8"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2837E2A"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Others</w:t>
            </w:r>
          </w:p>
        </w:tc>
        <w:tc>
          <w:tcPr>
            <w:tcW w:w="1741" w:type="dxa"/>
            <w:tcBorders>
              <w:top w:val="nil"/>
              <w:left w:val="nil"/>
              <w:bottom w:val="single" w:sz="4" w:space="0" w:color="auto"/>
              <w:right w:val="single" w:sz="4" w:space="0" w:color="auto"/>
            </w:tcBorders>
            <w:shd w:val="clear" w:color="auto" w:fill="auto"/>
            <w:noWrap/>
            <w:vAlign w:val="center"/>
            <w:hideMark/>
          </w:tcPr>
          <w:p w14:paraId="698C076B"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113.5</w:t>
            </w:r>
          </w:p>
        </w:tc>
        <w:tc>
          <w:tcPr>
            <w:tcW w:w="1607" w:type="dxa"/>
            <w:tcBorders>
              <w:top w:val="nil"/>
              <w:left w:val="nil"/>
              <w:bottom w:val="single" w:sz="4" w:space="0" w:color="auto"/>
              <w:right w:val="single" w:sz="4" w:space="0" w:color="auto"/>
            </w:tcBorders>
            <w:shd w:val="clear" w:color="auto" w:fill="auto"/>
            <w:noWrap/>
            <w:vAlign w:val="center"/>
            <w:hideMark/>
          </w:tcPr>
          <w:p w14:paraId="3C057EDF" w14:textId="413FD796"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33.7</w:t>
            </w:r>
          </w:p>
        </w:tc>
        <w:tc>
          <w:tcPr>
            <w:tcW w:w="1741" w:type="dxa"/>
            <w:tcBorders>
              <w:top w:val="nil"/>
              <w:left w:val="nil"/>
              <w:bottom w:val="single" w:sz="4" w:space="0" w:color="auto"/>
              <w:right w:val="single" w:sz="4" w:space="0" w:color="auto"/>
            </w:tcBorders>
            <w:shd w:val="clear" w:color="auto" w:fill="auto"/>
            <w:noWrap/>
            <w:vAlign w:val="center"/>
            <w:hideMark/>
          </w:tcPr>
          <w:p w14:paraId="39E0F32D"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69.4</w:t>
            </w:r>
          </w:p>
        </w:tc>
        <w:tc>
          <w:tcPr>
            <w:tcW w:w="1607" w:type="dxa"/>
            <w:tcBorders>
              <w:top w:val="nil"/>
              <w:left w:val="nil"/>
              <w:bottom w:val="single" w:sz="4" w:space="0" w:color="auto"/>
              <w:right w:val="single" w:sz="4" w:space="0" w:color="auto"/>
            </w:tcBorders>
            <w:shd w:val="clear" w:color="auto" w:fill="auto"/>
            <w:noWrap/>
            <w:vAlign w:val="center"/>
            <w:hideMark/>
          </w:tcPr>
          <w:p w14:paraId="05DDC7BD" w14:textId="493E5D7F"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39.</w:t>
            </w:r>
          </w:p>
        </w:tc>
        <w:tc>
          <w:tcPr>
            <w:tcW w:w="1409" w:type="dxa"/>
            <w:tcBorders>
              <w:top w:val="nil"/>
              <w:left w:val="nil"/>
              <w:bottom w:val="single" w:sz="4" w:space="0" w:color="auto"/>
              <w:right w:val="single" w:sz="4" w:space="0" w:color="auto"/>
            </w:tcBorders>
            <w:shd w:val="clear" w:color="auto" w:fill="auto"/>
            <w:noWrap/>
            <w:vAlign w:val="center"/>
            <w:hideMark/>
          </w:tcPr>
          <w:p w14:paraId="28444E97" w14:textId="7895C054"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63.7</w:t>
            </w:r>
          </w:p>
        </w:tc>
      </w:tr>
      <w:tr w:rsidR="00BA795F" w:rsidRPr="00E006A9" w14:paraId="288D7D0D" w14:textId="77777777" w:rsidTr="00E70D5E">
        <w:trPr>
          <w:trHeight w:val="47"/>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6220812" w14:textId="77777777" w:rsidR="00BA795F" w:rsidRPr="00E006A9" w:rsidRDefault="00BA795F" w:rsidP="00E70D5E">
            <w:pP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Total</w:t>
            </w:r>
          </w:p>
        </w:tc>
        <w:tc>
          <w:tcPr>
            <w:tcW w:w="1741" w:type="dxa"/>
            <w:tcBorders>
              <w:top w:val="nil"/>
              <w:left w:val="nil"/>
              <w:bottom w:val="single" w:sz="4" w:space="0" w:color="auto"/>
              <w:right w:val="single" w:sz="4" w:space="0" w:color="auto"/>
            </w:tcBorders>
            <w:shd w:val="clear" w:color="auto" w:fill="auto"/>
            <w:noWrap/>
            <w:vAlign w:val="center"/>
            <w:hideMark/>
          </w:tcPr>
          <w:p w14:paraId="129C8265"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336.4</w:t>
            </w:r>
          </w:p>
        </w:tc>
        <w:tc>
          <w:tcPr>
            <w:tcW w:w="1607" w:type="dxa"/>
            <w:tcBorders>
              <w:top w:val="nil"/>
              <w:left w:val="nil"/>
              <w:bottom w:val="single" w:sz="4" w:space="0" w:color="auto"/>
              <w:right w:val="single" w:sz="4" w:space="0" w:color="auto"/>
            </w:tcBorders>
            <w:shd w:val="clear" w:color="auto" w:fill="auto"/>
            <w:noWrap/>
            <w:vAlign w:val="center"/>
            <w:hideMark/>
          </w:tcPr>
          <w:p w14:paraId="194306E1" w14:textId="240045A3"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100</w:t>
            </w:r>
          </w:p>
        </w:tc>
        <w:tc>
          <w:tcPr>
            <w:tcW w:w="1741" w:type="dxa"/>
            <w:tcBorders>
              <w:top w:val="nil"/>
              <w:left w:val="nil"/>
              <w:bottom w:val="single" w:sz="4" w:space="0" w:color="auto"/>
              <w:right w:val="single" w:sz="4" w:space="0" w:color="auto"/>
            </w:tcBorders>
            <w:shd w:val="clear" w:color="auto" w:fill="auto"/>
            <w:noWrap/>
            <w:vAlign w:val="center"/>
            <w:hideMark/>
          </w:tcPr>
          <w:p w14:paraId="3B6BA354"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178</w:t>
            </w:r>
          </w:p>
        </w:tc>
        <w:tc>
          <w:tcPr>
            <w:tcW w:w="1607" w:type="dxa"/>
            <w:tcBorders>
              <w:top w:val="nil"/>
              <w:left w:val="nil"/>
              <w:bottom w:val="single" w:sz="4" w:space="0" w:color="auto"/>
              <w:right w:val="single" w:sz="4" w:space="0" w:color="auto"/>
            </w:tcBorders>
            <w:shd w:val="clear" w:color="auto" w:fill="auto"/>
            <w:noWrap/>
            <w:vAlign w:val="center"/>
            <w:hideMark/>
          </w:tcPr>
          <w:p w14:paraId="2B65B332" w14:textId="77777777"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100%</w:t>
            </w:r>
          </w:p>
        </w:tc>
        <w:tc>
          <w:tcPr>
            <w:tcW w:w="1409" w:type="dxa"/>
            <w:tcBorders>
              <w:top w:val="nil"/>
              <w:left w:val="nil"/>
              <w:bottom w:val="single" w:sz="4" w:space="0" w:color="auto"/>
              <w:right w:val="single" w:sz="4" w:space="0" w:color="auto"/>
            </w:tcBorders>
            <w:shd w:val="clear" w:color="auto" w:fill="auto"/>
            <w:noWrap/>
            <w:vAlign w:val="center"/>
            <w:hideMark/>
          </w:tcPr>
          <w:p w14:paraId="77984B4B" w14:textId="397C4014" w:rsidR="00BA795F" w:rsidRPr="00E006A9" w:rsidRDefault="00BA795F" w:rsidP="00F825D9">
            <w:pPr>
              <w:jc w:val="center"/>
              <w:rPr>
                <w:rFonts w:ascii="Arial" w:hAnsi="Arial" w:cs="Arial"/>
                <w:color w:val="000000" w:themeColor="text1"/>
                <w:sz w:val="18"/>
                <w:lang w:val="en-GB" w:eastAsia="en-IN"/>
              </w:rPr>
            </w:pPr>
            <w:r w:rsidRPr="00E006A9">
              <w:rPr>
                <w:rFonts w:ascii="Arial" w:hAnsi="Arial" w:cs="Arial"/>
                <w:color w:val="000000" w:themeColor="text1"/>
                <w:sz w:val="18"/>
                <w:lang w:val="en-GB" w:eastAsia="en-IN"/>
              </w:rPr>
              <w:t>89</w:t>
            </w:r>
          </w:p>
        </w:tc>
      </w:tr>
    </w:tbl>
    <w:p w14:paraId="04D7391B" w14:textId="77777777" w:rsidR="00BA795F" w:rsidRPr="00E006A9" w:rsidRDefault="00BA795F" w:rsidP="00BA795F">
      <w:pPr>
        <w:pStyle w:val="Footnote"/>
        <w:rPr>
          <w:color w:val="000000" w:themeColor="text1"/>
          <w:lang w:val="en-GB"/>
        </w:rPr>
      </w:pPr>
    </w:p>
    <w:p w14:paraId="3B2ABB5F" w14:textId="51E6C076" w:rsidR="00241C57" w:rsidRPr="00E006A9" w:rsidRDefault="00BA795F" w:rsidP="007B5252">
      <w:pPr>
        <w:pStyle w:val="Footnote"/>
        <w:rPr>
          <w:rStyle w:val="Hyperlink"/>
          <w:color w:val="000000" w:themeColor="text1"/>
          <w:u w:val="none"/>
          <w:lang w:val="en-GB"/>
        </w:rPr>
      </w:pPr>
      <w:r w:rsidRPr="00E006A9">
        <w:rPr>
          <w:color w:val="000000" w:themeColor="text1"/>
          <w:lang w:val="en-GB"/>
        </w:rPr>
        <w:t xml:space="preserve">Source: </w:t>
      </w:r>
      <w:r w:rsidR="00725308" w:rsidRPr="00E006A9">
        <w:rPr>
          <w:color w:val="000000" w:themeColor="text1"/>
          <w:lang w:val="en-GB"/>
        </w:rPr>
        <w:t>Damien Wilde</w:t>
      </w:r>
      <w:r w:rsidRPr="00E006A9">
        <w:rPr>
          <w:color w:val="000000" w:themeColor="text1"/>
          <w:lang w:val="en-GB"/>
        </w:rPr>
        <w:t xml:space="preserve">, </w:t>
      </w:r>
      <w:r w:rsidR="00725308" w:rsidRPr="00E006A9">
        <w:rPr>
          <w:color w:val="000000" w:themeColor="text1"/>
          <w:lang w:val="en-GB"/>
        </w:rPr>
        <w:t>“Report: Google’s Recently Acquired Fitbit Accounted for 6% of Wearable Market in 2019,”</w:t>
      </w:r>
      <w:r w:rsidRPr="00E006A9">
        <w:rPr>
          <w:color w:val="000000" w:themeColor="text1"/>
          <w:lang w:val="en-GB"/>
        </w:rPr>
        <w:t xml:space="preserve"> </w:t>
      </w:r>
      <w:r w:rsidR="00725308" w:rsidRPr="00E006A9">
        <w:rPr>
          <w:color w:val="000000" w:themeColor="text1"/>
          <w:lang w:val="en-GB"/>
        </w:rPr>
        <w:t xml:space="preserve">9to5Google, </w:t>
      </w:r>
      <w:r w:rsidRPr="00E006A9">
        <w:rPr>
          <w:color w:val="000000" w:themeColor="text1"/>
          <w:lang w:val="en-GB"/>
        </w:rPr>
        <w:t xml:space="preserve">March </w:t>
      </w:r>
      <w:r w:rsidR="00725308" w:rsidRPr="00E006A9">
        <w:rPr>
          <w:color w:val="000000" w:themeColor="text1"/>
          <w:lang w:val="en-GB"/>
        </w:rPr>
        <w:t xml:space="preserve">11, </w:t>
      </w:r>
      <w:r w:rsidRPr="00E006A9">
        <w:rPr>
          <w:color w:val="000000" w:themeColor="text1"/>
          <w:lang w:val="en-GB"/>
        </w:rPr>
        <w:t xml:space="preserve">2020, accessed August 4, 2020, </w:t>
      </w:r>
      <w:hyperlink r:id="rId16" w:history="1">
        <w:r w:rsidRPr="00E006A9">
          <w:rPr>
            <w:rStyle w:val="Hyperlink"/>
            <w:color w:val="000000" w:themeColor="text1"/>
            <w:u w:val="none"/>
            <w:lang w:val="en-GB"/>
          </w:rPr>
          <w:t>https://9to5google.com/2020/03/11/report-googles-recently-acquired-fitbit-accounted-for-6-of-wearable</w:t>
        </w:r>
      </w:hyperlink>
      <w:r w:rsidR="00725308" w:rsidRPr="00E006A9">
        <w:rPr>
          <w:rStyle w:val="Hyperlink"/>
          <w:color w:val="000000" w:themeColor="text1"/>
          <w:u w:val="none"/>
          <w:lang w:val="en-GB"/>
        </w:rPr>
        <w:t>.</w:t>
      </w:r>
    </w:p>
    <w:p w14:paraId="5C1860EC" w14:textId="77777777" w:rsidR="005E3940" w:rsidRPr="00E006A9" w:rsidRDefault="005E3940" w:rsidP="007B5252">
      <w:pPr>
        <w:pStyle w:val="Footnote"/>
        <w:rPr>
          <w:rStyle w:val="Hyperlink"/>
          <w:color w:val="000000" w:themeColor="text1"/>
          <w:u w:val="none"/>
          <w:lang w:val="en-GB"/>
        </w:rPr>
      </w:pPr>
    </w:p>
    <w:p w14:paraId="5600213A" w14:textId="5E079FF6" w:rsidR="00241C57" w:rsidRPr="00E006A9" w:rsidRDefault="00241C57" w:rsidP="007B5252">
      <w:pPr>
        <w:pStyle w:val="Footnote"/>
        <w:rPr>
          <w:rStyle w:val="Hyperlink"/>
          <w:color w:val="000000" w:themeColor="text1"/>
          <w:u w:val="none"/>
          <w:lang w:val="en-GB"/>
        </w:rPr>
      </w:pPr>
    </w:p>
    <w:p w14:paraId="4E384884" w14:textId="3C1A89CC" w:rsidR="00476844" w:rsidRPr="00E006A9" w:rsidRDefault="00476844" w:rsidP="00BF4EA0">
      <w:pPr>
        <w:jc w:val="center"/>
        <w:rPr>
          <w:rStyle w:val="Hyperlink"/>
          <w:rFonts w:ascii="Arial" w:hAnsi="Arial" w:cs="Arial"/>
          <w:b/>
          <w:color w:val="000000" w:themeColor="text1"/>
          <w:u w:val="none"/>
          <w:lang w:val="en-GB"/>
        </w:rPr>
      </w:pPr>
      <w:r w:rsidRPr="00E006A9">
        <w:rPr>
          <w:rFonts w:ascii="Arial" w:hAnsi="Arial" w:cs="Arial"/>
          <w:b/>
          <w:color w:val="000000" w:themeColor="text1"/>
          <w:lang w:val="en-GB"/>
        </w:rPr>
        <w:t xml:space="preserve">EXHIBIT 7: MAJOR </w:t>
      </w:r>
      <w:r w:rsidR="00D83596" w:rsidRPr="00E006A9">
        <w:rPr>
          <w:rFonts w:ascii="Arial" w:hAnsi="Arial" w:cs="Arial"/>
          <w:b/>
          <w:color w:val="000000" w:themeColor="text1"/>
          <w:lang w:val="en-GB"/>
        </w:rPr>
        <w:t>HEALTH CARE</w:t>
      </w:r>
      <w:r w:rsidRPr="00E006A9">
        <w:rPr>
          <w:rFonts w:ascii="Arial" w:hAnsi="Arial" w:cs="Arial"/>
          <w:b/>
          <w:color w:val="000000" w:themeColor="text1"/>
          <w:lang w:val="en-GB"/>
        </w:rPr>
        <w:t xml:space="preserve"> COMPANIES</w:t>
      </w:r>
    </w:p>
    <w:p w14:paraId="6042C8D1" w14:textId="77777777" w:rsidR="00476844" w:rsidRPr="00E006A9" w:rsidRDefault="00476844" w:rsidP="00476844">
      <w:pPr>
        <w:pStyle w:val="Footnote"/>
        <w:rPr>
          <w:rStyle w:val="Hyperlink"/>
          <w:color w:val="000000" w:themeColor="text1"/>
          <w:sz w:val="20"/>
          <w:szCs w:val="20"/>
          <w:u w:val="none"/>
          <w:lang w:val="en-GB"/>
        </w:rPr>
      </w:pPr>
    </w:p>
    <w:tbl>
      <w:tblPr>
        <w:tblW w:w="4541" w:type="dxa"/>
        <w:jc w:val="center"/>
        <w:tblCellMar>
          <w:left w:w="0" w:type="dxa"/>
          <w:right w:w="0" w:type="dxa"/>
        </w:tblCellMar>
        <w:tblLook w:val="04A0" w:firstRow="1" w:lastRow="0" w:firstColumn="1" w:lastColumn="0" w:noHBand="0" w:noVBand="1"/>
      </w:tblPr>
      <w:tblGrid>
        <w:gridCol w:w="2829"/>
        <w:gridCol w:w="1712"/>
      </w:tblGrid>
      <w:tr w:rsidR="00476844" w:rsidRPr="00E006A9" w14:paraId="1092B1EF" w14:textId="77777777" w:rsidTr="00F825D9">
        <w:trPr>
          <w:trHeight w:val="282"/>
          <w:jc w:val="center"/>
        </w:trPr>
        <w:tc>
          <w:tcPr>
            <w:tcW w:w="28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1EE419" w14:textId="77777777" w:rsidR="00476844" w:rsidRPr="00E006A9" w:rsidRDefault="00476844" w:rsidP="00E70D5E">
            <w:pPr>
              <w:rPr>
                <w:rFonts w:ascii="Arial" w:hAnsi="Arial" w:cs="Arial"/>
                <w:b/>
                <w:bCs/>
                <w:color w:val="000000"/>
                <w:sz w:val="18"/>
                <w:szCs w:val="18"/>
                <w:lang w:val="en-GB"/>
              </w:rPr>
            </w:pPr>
            <w:r w:rsidRPr="00E006A9">
              <w:rPr>
                <w:rFonts w:ascii="Arial" w:hAnsi="Arial" w:cs="Arial"/>
                <w:b/>
                <w:bCs/>
                <w:color w:val="000000"/>
                <w:sz w:val="18"/>
                <w:szCs w:val="18"/>
                <w:lang w:val="en-GB"/>
              </w:rPr>
              <w:t>Company</w:t>
            </w:r>
          </w:p>
        </w:tc>
        <w:tc>
          <w:tcPr>
            <w:tcW w:w="171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217BAF" w14:textId="6F8EBE52" w:rsidR="00476844" w:rsidRPr="00E006A9" w:rsidRDefault="00476844" w:rsidP="00316B58">
            <w:pPr>
              <w:jc w:val="center"/>
              <w:rPr>
                <w:rFonts w:ascii="Arial" w:hAnsi="Arial" w:cs="Arial"/>
                <w:b/>
                <w:bCs/>
                <w:color w:val="000000"/>
                <w:sz w:val="18"/>
                <w:szCs w:val="18"/>
                <w:lang w:val="en-GB"/>
              </w:rPr>
            </w:pPr>
            <w:r w:rsidRPr="00E006A9">
              <w:rPr>
                <w:rFonts w:ascii="Arial" w:hAnsi="Arial" w:cs="Arial"/>
                <w:b/>
                <w:bCs/>
                <w:color w:val="000000"/>
                <w:sz w:val="18"/>
                <w:szCs w:val="18"/>
                <w:lang w:val="en-GB"/>
              </w:rPr>
              <w:t>Annual Revenue</w:t>
            </w:r>
            <w:r w:rsidR="001C31B6">
              <w:rPr>
                <w:rFonts w:ascii="Arial" w:hAnsi="Arial" w:cs="Arial"/>
                <w:b/>
                <w:bCs/>
                <w:color w:val="000000"/>
                <w:sz w:val="18"/>
                <w:szCs w:val="18"/>
                <w:lang w:val="en-GB"/>
              </w:rPr>
              <w:t xml:space="preserve"> (US$ billions)</w:t>
            </w:r>
          </w:p>
        </w:tc>
      </w:tr>
      <w:tr w:rsidR="00476844" w:rsidRPr="00E006A9" w14:paraId="30B6EB10" w14:textId="77777777" w:rsidTr="00F825D9">
        <w:trPr>
          <w:trHeight w:val="282"/>
          <w:jc w:val="center"/>
        </w:trPr>
        <w:tc>
          <w:tcPr>
            <w:tcW w:w="28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C0CAA1" w14:textId="48BEA9DC" w:rsidR="00476844" w:rsidRPr="00E006A9" w:rsidRDefault="00476844" w:rsidP="00E70D5E">
            <w:pPr>
              <w:rPr>
                <w:rFonts w:ascii="Arial" w:hAnsi="Arial" w:cs="Arial"/>
                <w:color w:val="000000"/>
                <w:sz w:val="18"/>
                <w:szCs w:val="18"/>
                <w:lang w:val="en-GB"/>
              </w:rPr>
            </w:pPr>
            <w:r w:rsidRPr="00E006A9">
              <w:rPr>
                <w:rFonts w:ascii="Arial" w:hAnsi="Arial" w:cs="Arial"/>
                <w:color w:val="000000"/>
                <w:sz w:val="18"/>
                <w:szCs w:val="18"/>
                <w:lang w:val="en-GB"/>
              </w:rPr>
              <w:t>McKesson</w:t>
            </w:r>
            <w:r w:rsidR="00482F58" w:rsidRPr="00E006A9">
              <w:rPr>
                <w:rFonts w:ascii="Arial" w:hAnsi="Arial" w:cs="Arial"/>
                <w:color w:val="000000"/>
                <w:sz w:val="18"/>
                <w:szCs w:val="18"/>
                <w:lang w:val="en-GB"/>
              </w:rPr>
              <w:t xml:space="preserve"> Corporation</w:t>
            </w:r>
          </w:p>
        </w:tc>
        <w:tc>
          <w:tcPr>
            <w:tcW w:w="171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2A7428" w14:textId="77777777" w:rsidR="00476844" w:rsidRPr="00E006A9" w:rsidRDefault="00476844" w:rsidP="00F825D9">
            <w:pPr>
              <w:jc w:val="center"/>
              <w:rPr>
                <w:rFonts w:ascii="Arial" w:hAnsi="Arial" w:cs="Arial"/>
                <w:color w:val="000000"/>
                <w:sz w:val="18"/>
                <w:szCs w:val="18"/>
                <w:lang w:val="en-GB"/>
              </w:rPr>
            </w:pPr>
            <w:r w:rsidRPr="00E006A9">
              <w:rPr>
                <w:rFonts w:ascii="Arial" w:hAnsi="Arial" w:cs="Arial"/>
                <w:color w:val="000000"/>
                <w:sz w:val="18"/>
                <w:szCs w:val="18"/>
                <w:lang w:val="en-GB"/>
              </w:rPr>
              <w:t>208.3</w:t>
            </w:r>
          </w:p>
        </w:tc>
      </w:tr>
      <w:tr w:rsidR="00476844" w:rsidRPr="00E006A9" w14:paraId="3B5B02C4" w14:textId="77777777" w:rsidTr="00F825D9">
        <w:trPr>
          <w:trHeight w:val="282"/>
          <w:jc w:val="center"/>
        </w:trPr>
        <w:tc>
          <w:tcPr>
            <w:tcW w:w="28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64980E" w14:textId="61252063" w:rsidR="00476844" w:rsidRPr="00E006A9" w:rsidRDefault="00476844" w:rsidP="00E70D5E">
            <w:pPr>
              <w:rPr>
                <w:rFonts w:ascii="Arial" w:hAnsi="Arial" w:cs="Arial"/>
                <w:color w:val="000000"/>
                <w:sz w:val="18"/>
                <w:szCs w:val="18"/>
                <w:lang w:val="en-GB"/>
              </w:rPr>
            </w:pPr>
            <w:r w:rsidRPr="00E006A9">
              <w:rPr>
                <w:rFonts w:ascii="Arial" w:hAnsi="Arial" w:cs="Arial"/>
                <w:color w:val="000000"/>
                <w:sz w:val="18"/>
                <w:szCs w:val="18"/>
                <w:lang w:val="en-GB"/>
              </w:rPr>
              <w:t>UnitedHealth Group</w:t>
            </w:r>
            <w:r w:rsidR="00482F58" w:rsidRPr="00E006A9">
              <w:rPr>
                <w:rFonts w:ascii="Arial" w:hAnsi="Arial" w:cs="Arial"/>
                <w:color w:val="000000"/>
                <w:sz w:val="18"/>
                <w:szCs w:val="18"/>
                <w:lang w:val="en-GB"/>
              </w:rPr>
              <w:t xml:space="preserve"> </w:t>
            </w:r>
            <w:r w:rsidR="00B5544A">
              <w:rPr>
                <w:rFonts w:ascii="Arial" w:hAnsi="Arial" w:cs="Arial"/>
                <w:color w:val="000000"/>
                <w:sz w:val="18"/>
                <w:szCs w:val="18"/>
                <w:lang w:val="en-GB"/>
              </w:rPr>
              <w:t>Incorporated</w:t>
            </w:r>
          </w:p>
        </w:tc>
        <w:tc>
          <w:tcPr>
            <w:tcW w:w="171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2A49B8" w14:textId="77777777" w:rsidR="00476844" w:rsidRPr="00E006A9" w:rsidRDefault="00476844" w:rsidP="00F825D9">
            <w:pPr>
              <w:jc w:val="center"/>
              <w:rPr>
                <w:rFonts w:ascii="Arial" w:hAnsi="Arial" w:cs="Arial"/>
                <w:color w:val="000000"/>
                <w:sz w:val="18"/>
                <w:szCs w:val="18"/>
                <w:lang w:val="en-GB"/>
              </w:rPr>
            </w:pPr>
            <w:r w:rsidRPr="00E006A9">
              <w:rPr>
                <w:rFonts w:ascii="Arial" w:hAnsi="Arial" w:cs="Arial"/>
                <w:color w:val="000000"/>
                <w:sz w:val="18"/>
                <w:szCs w:val="18"/>
                <w:lang w:val="en-GB"/>
              </w:rPr>
              <w:t>201</w:t>
            </w:r>
          </w:p>
        </w:tc>
      </w:tr>
      <w:tr w:rsidR="00476844" w:rsidRPr="00E006A9" w14:paraId="62F91A3F" w14:textId="77777777" w:rsidTr="00F825D9">
        <w:trPr>
          <w:trHeight w:val="282"/>
          <w:jc w:val="center"/>
        </w:trPr>
        <w:tc>
          <w:tcPr>
            <w:tcW w:w="28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85FAC3" w14:textId="68586887" w:rsidR="00476844" w:rsidRPr="00E006A9" w:rsidRDefault="00476844" w:rsidP="00E70D5E">
            <w:pPr>
              <w:rPr>
                <w:rFonts w:ascii="Arial" w:hAnsi="Arial" w:cs="Arial"/>
                <w:color w:val="000000"/>
                <w:sz w:val="18"/>
                <w:szCs w:val="18"/>
                <w:lang w:val="en-GB"/>
              </w:rPr>
            </w:pPr>
            <w:r w:rsidRPr="00E006A9">
              <w:rPr>
                <w:rFonts w:ascii="Arial" w:hAnsi="Arial" w:cs="Arial"/>
                <w:color w:val="000000"/>
                <w:sz w:val="18"/>
                <w:szCs w:val="18"/>
                <w:lang w:val="en-GB"/>
              </w:rPr>
              <w:t>CVS Health</w:t>
            </w:r>
            <w:r w:rsidR="00482F58" w:rsidRPr="00E006A9">
              <w:rPr>
                <w:rFonts w:ascii="Arial" w:hAnsi="Arial" w:cs="Arial"/>
                <w:color w:val="000000"/>
                <w:sz w:val="18"/>
                <w:szCs w:val="18"/>
                <w:lang w:val="en-GB"/>
              </w:rPr>
              <w:t xml:space="preserve"> </w:t>
            </w:r>
            <w:r w:rsidR="00B5544A">
              <w:rPr>
                <w:rFonts w:ascii="Arial" w:hAnsi="Arial" w:cs="Arial"/>
                <w:color w:val="000000"/>
                <w:sz w:val="18"/>
                <w:szCs w:val="18"/>
                <w:lang w:val="en-GB"/>
              </w:rPr>
              <w:t>Corporation</w:t>
            </w:r>
          </w:p>
        </w:tc>
        <w:tc>
          <w:tcPr>
            <w:tcW w:w="171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1D15A" w14:textId="77777777" w:rsidR="00476844" w:rsidRPr="00E006A9" w:rsidRDefault="00476844" w:rsidP="00F825D9">
            <w:pPr>
              <w:jc w:val="center"/>
              <w:rPr>
                <w:rFonts w:ascii="Arial" w:hAnsi="Arial" w:cs="Arial"/>
                <w:color w:val="000000"/>
                <w:sz w:val="18"/>
                <w:szCs w:val="18"/>
                <w:lang w:val="en-GB"/>
              </w:rPr>
            </w:pPr>
            <w:r w:rsidRPr="00E006A9">
              <w:rPr>
                <w:rFonts w:ascii="Arial" w:hAnsi="Arial" w:cs="Arial"/>
                <w:color w:val="000000"/>
                <w:sz w:val="18"/>
                <w:szCs w:val="18"/>
                <w:lang w:val="en-GB"/>
              </w:rPr>
              <w:t>184.7</w:t>
            </w:r>
          </w:p>
        </w:tc>
      </w:tr>
      <w:tr w:rsidR="00476844" w:rsidRPr="00E006A9" w14:paraId="7E78F58C" w14:textId="77777777" w:rsidTr="00F825D9">
        <w:trPr>
          <w:trHeight w:val="282"/>
          <w:jc w:val="center"/>
        </w:trPr>
        <w:tc>
          <w:tcPr>
            <w:tcW w:w="28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70D7B4" w14:textId="22AEF8D5" w:rsidR="00476844" w:rsidRPr="00E006A9" w:rsidRDefault="00476844" w:rsidP="00E70D5E">
            <w:pPr>
              <w:rPr>
                <w:rFonts w:ascii="Arial" w:hAnsi="Arial" w:cs="Arial"/>
                <w:color w:val="000000"/>
                <w:sz w:val="18"/>
                <w:szCs w:val="18"/>
                <w:lang w:val="en-GB"/>
              </w:rPr>
            </w:pPr>
            <w:r w:rsidRPr="00E006A9">
              <w:rPr>
                <w:rFonts w:ascii="Arial" w:hAnsi="Arial" w:cs="Arial"/>
                <w:color w:val="000000"/>
                <w:sz w:val="18"/>
                <w:szCs w:val="18"/>
                <w:lang w:val="en-GB"/>
              </w:rPr>
              <w:t>AmerisourceBergen</w:t>
            </w:r>
            <w:r w:rsidR="00482F58" w:rsidRPr="00E006A9">
              <w:rPr>
                <w:rFonts w:ascii="Arial" w:hAnsi="Arial" w:cs="Arial"/>
                <w:color w:val="000000"/>
                <w:sz w:val="18"/>
                <w:szCs w:val="18"/>
                <w:lang w:val="en-GB"/>
              </w:rPr>
              <w:t xml:space="preserve"> </w:t>
            </w:r>
            <w:r w:rsidR="00B5544A">
              <w:rPr>
                <w:rFonts w:ascii="Arial" w:hAnsi="Arial" w:cs="Arial"/>
                <w:color w:val="000000"/>
                <w:sz w:val="18"/>
                <w:szCs w:val="18"/>
                <w:lang w:val="en-GB"/>
              </w:rPr>
              <w:t>Corporation</w:t>
            </w:r>
          </w:p>
        </w:tc>
        <w:tc>
          <w:tcPr>
            <w:tcW w:w="171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0FCEAF" w14:textId="77777777" w:rsidR="00476844" w:rsidRPr="00E006A9" w:rsidRDefault="00476844" w:rsidP="00F825D9">
            <w:pPr>
              <w:jc w:val="center"/>
              <w:rPr>
                <w:rFonts w:ascii="Arial" w:hAnsi="Arial" w:cs="Arial"/>
                <w:color w:val="000000"/>
                <w:sz w:val="18"/>
                <w:szCs w:val="18"/>
                <w:lang w:val="en-GB"/>
              </w:rPr>
            </w:pPr>
            <w:r w:rsidRPr="00E006A9">
              <w:rPr>
                <w:rFonts w:ascii="Arial" w:hAnsi="Arial" w:cs="Arial"/>
                <w:color w:val="000000"/>
                <w:sz w:val="18"/>
                <w:szCs w:val="18"/>
                <w:lang w:val="en-GB"/>
              </w:rPr>
              <w:t>153.1</w:t>
            </w:r>
          </w:p>
        </w:tc>
      </w:tr>
      <w:tr w:rsidR="00476844" w:rsidRPr="00E006A9" w14:paraId="358D5B85" w14:textId="77777777" w:rsidTr="00F825D9">
        <w:trPr>
          <w:trHeight w:val="282"/>
          <w:jc w:val="center"/>
        </w:trPr>
        <w:tc>
          <w:tcPr>
            <w:tcW w:w="28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71043C" w14:textId="7B5E44A1" w:rsidR="00476844" w:rsidRPr="00E006A9" w:rsidRDefault="00476844" w:rsidP="00E70D5E">
            <w:pPr>
              <w:rPr>
                <w:rFonts w:ascii="Arial" w:hAnsi="Arial" w:cs="Arial"/>
                <w:color w:val="000000"/>
                <w:sz w:val="18"/>
                <w:szCs w:val="18"/>
                <w:lang w:val="en-GB"/>
              </w:rPr>
            </w:pPr>
            <w:r w:rsidRPr="00E006A9">
              <w:rPr>
                <w:rFonts w:ascii="Arial" w:hAnsi="Arial" w:cs="Arial"/>
                <w:color w:val="000000"/>
                <w:sz w:val="18"/>
                <w:szCs w:val="18"/>
                <w:lang w:val="en-GB"/>
              </w:rPr>
              <w:t>Cardinal</w:t>
            </w:r>
            <w:r w:rsidR="00482F58" w:rsidRPr="00E006A9">
              <w:rPr>
                <w:rFonts w:ascii="Arial" w:hAnsi="Arial" w:cs="Arial"/>
                <w:color w:val="000000"/>
                <w:sz w:val="18"/>
                <w:szCs w:val="18"/>
                <w:lang w:val="en-GB"/>
              </w:rPr>
              <w:t xml:space="preserve"> </w:t>
            </w:r>
            <w:r w:rsidRPr="00E006A9">
              <w:rPr>
                <w:rFonts w:ascii="Arial" w:hAnsi="Arial" w:cs="Arial"/>
                <w:color w:val="000000"/>
                <w:sz w:val="18"/>
                <w:szCs w:val="18"/>
                <w:lang w:val="en-GB"/>
              </w:rPr>
              <w:t>Health</w:t>
            </w:r>
            <w:r w:rsidR="00482F58" w:rsidRPr="00E006A9">
              <w:rPr>
                <w:rFonts w:ascii="Arial" w:hAnsi="Arial" w:cs="Arial"/>
                <w:color w:val="000000"/>
                <w:sz w:val="18"/>
                <w:szCs w:val="18"/>
                <w:lang w:val="en-GB"/>
              </w:rPr>
              <w:t xml:space="preserve"> Inc.</w:t>
            </w:r>
          </w:p>
        </w:tc>
        <w:tc>
          <w:tcPr>
            <w:tcW w:w="171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BC1563" w14:textId="77777777" w:rsidR="00476844" w:rsidRPr="00E006A9" w:rsidRDefault="00476844" w:rsidP="00F825D9">
            <w:pPr>
              <w:jc w:val="center"/>
              <w:rPr>
                <w:rFonts w:ascii="Arial" w:hAnsi="Arial" w:cs="Arial"/>
                <w:color w:val="000000"/>
                <w:sz w:val="18"/>
                <w:szCs w:val="18"/>
                <w:lang w:val="en-GB"/>
              </w:rPr>
            </w:pPr>
            <w:r w:rsidRPr="00E006A9">
              <w:rPr>
                <w:rFonts w:ascii="Arial" w:hAnsi="Arial" w:cs="Arial"/>
                <w:color w:val="000000"/>
                <w:sz w:val="18"/>
                <w:szCs w:val="18"/>
                <w:lang w:val="en-GB"/>
              </w:rPr>
              <w:t>129.9</w:t>
            </w:r>
          </w:p>
        </w:tc>
      </w:tr>
    </w:tbl>
    <w:p w14:paraId="0AFCD97B" w14:textId="77777777" w:rsidR="00476844" w:rsidRPr="00E006A9" w:rsidRDefault="00476844" w:rsidP="00476844">
      <w:pPr>
        <w:pStyle w:val="EndnoteText"/>
        <w:rPr>
          <w:color w:val="000000" w:themeColor="text1"/>
          <w:lang w:val="en-GB"/>
        </w:rPr>
      </w:pPr>
    </w:p>
    <w:p w14:paraId="21300732" w14:textId="121C98F9" w:rsidR="00476844" w:rsidRPr="00E006A9" w:rsidRDefault="00476844" w:rsidP="001C2E8D">
      <w:pPr>
        <w:pStyle w:val="EndnoteText"/>
        <w:jc w:val="both"/>
        <w:rPr>
          <w:rFonts w:ascii="Arial" w:hAnsi="Arial" w:cs="Arial"/>
          <w:color w:val="000000" w:themeColor="text1"/>
          <w:sz w:val="17"/>
          <w:szCs w:val="17"/>
          <w:lang w:val="en-GB"/>
        </w:rPr>
      </w:pPr>
      <w:r w:rsidRPr="00E006A9">
        <w:rPr>
          <w:rFonts w:ascii="Arial" w:hAnsi="Arial" w:cs="Arial"/>
          <w:color w:val="000000" w:themeColor="text1"/>
          <w:sz w:val="17"/>
          <w:szCs w:val="17"/>
          <w:lang w:val="en-GB"/>
        </w:rPr>
        <w:t xml:space="preserve">Source: Smiljanic Stasha. </w:t>
      </w:r>
      <w:r w:rsidR="003C7E87"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The State of </w:t>
      </w:r>
      <w:r w:rsidR="00D83596" w:rsidRPr="00E006A9">
        <w:rPr>
          <w:rFonts w:ascii="Arial" w:hAnsi="Arial" w:cs="Arial"/>
          <w:color w:val="000000" w:themeColor="text1"/>
          <w:sz w:val="17"/>
          <w:szCs w:val="17"/>
          <w:lang w:val="en-GB"/>
        </w:rPr>
        <w:t xml:space="preserve">Health </w:t>
      </w:r>
      <w:r w:rsidR="00725308" w:rsidRPr="00E006A9">
        <w:rPr>
          <w:rFonts w:ascii="Arial" w:hAnsi="Arial" w:cs="Arial"/>
          <w:color w:val="000000" w:themeColor="text1"/>
          <w:sz w:val="17"/>
          <w:szCs w:val="17"/>
          <w:lang w:val="en-GB"/>
        </w:rPr>
        <w:t>C</w:t>
      </w:r>
      <w:r w:rsidR="00D83596" w:rsidRPr="00E006A9">
        <w:rPr>
          <w:rFonts w:ascii="Arial" w:hAnsi="Arial" w:cs="Arial"/>
          <w:color w:val="000000" w:themeColor="text1"/>
          <w:sz w:val="17"/>
          <w:szCs w:val="17"/>
          <w:lang w:val="en-GB"/>
        </w:rPr>
        <w:t>are</w:t>
      </w:r>
      <w:r w:rsidRPr="00E006A9">
        <w:rPr>
          <w:rFonts w:ascii="Arial" w:hAnsi="Arial" w:cs="Arial"/>
          <w:color w:val="000000" w:themeColor="text1"/>
          <w:sz w:val="17"/>
          <w:szCs w:val="17"/>
          <w:lang w:val="en-GB"/>
        </w:rPr>
        <w:t xml:space="preserve"> Industry – Statistics for 2021</w:t>
      </w:r>
      <w:r w:rsidR="003C7E87"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Policy Advice</w:t>
      </w:r>
      <w:r w:rsidR="003C7E87"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February 14,</w:t>
      </w:r>
      <w:r w:rsidR="003C7E87" w:rsidRPr="00E006A9">
        <w:rPr>
          <w:rFonts w:ascii="Arial" w:hAnsi="Arial" w:cs="Arial"/>
          <w:color w:val="000000" w:themeColor="text1"/>
          <w:sz w:val="17"/>
          <w:szCs w:val="17"/>
          <w:lang w:val="en-GB"/>
        </w:rPr>
        <w:t xml:space="preserve"> </w:t>
      </w:r>
      <w:r w:rsidRPr="00E006A9">
        <w:rPr>
          <w:rFonts w:ascii="Arial" w:hAnsi="Arial" w:cs="Arial"/>
          <w:color w:val="000000" w:themeColor="text1"/>
          <w:sz w:val="17"/>
          <w:szCs w:val="17"/>
          <w:lang w:val="en-GB"/>
        </w:rPr>
        <w:t>2021, accessed April 17, 2021</w:t>
      </w:r>
      <w:r w:rsidR="003C7E87" w:rsidRPr="00E006A9">
        <w:rPr>
          <w:rFonts w:ascii="Arial" w:hAnsi="Arial" w:cs="Arial"/>
          <w:color w:val="000000" w:themeColor="text1"/>
          <w:sz w:val="17"/>
          <w:szCs w:val="17"/>
          <w:lang w:val="en-GB"/>
        </w:rPr>
        <w:t>,</w:t>
      </w:r>
      <w:r w:rsidRPr="00E006A9">
        <w:rPr>
          <w:rFonts w:ascii="Arial" w:hAnsi="Arial" w:cs="Arial"/>
          <w:color w:val="000000" w:themeColor="text1"/>
          <w:sz w:val="17"/>
          <w:szCs w:val="17"/>
          <w:lang w:val="en-GB"/>
        </w:rPr>
        <w:t xml:space="preserve"> https://policyadvice.net/insurance/insights/</w:t>
      </w:r>
      <w:r w:rsidR="00D83596" w:rsidRPr="00E006A9">
        <w:rPr>
          <w:rFonts w:ascii="Arial" w:hAnsi="Arial" w:cs="Arial"/>
          <w:color w:val="000000" w:themeColor="text1"/>
          <w:sz w:val="17"/>
          <w:szCs w:val="17"/>
          <w:lang w:val="en-GB"/>
        </w:rPr>
        <w:t>health care</w:t>
      </w:r>
      <w:r w:rsidRPr="00E006A9">
        <w:rPr>
          <w:rFonts w:ascii="Arial" w:hAnsi="Arial" w:cs="Arial"/>
          <w:color w:val="000000" w:themeColor="text1"/>
          <w:sz w:val="17"/>
          <w:szCs w:val="17"/>
          <w:lang w:val="en-GB"/>
        </w:rPr>
        <w:t>-statistics/.</w:t>
      </w:r>
    </w:p>
    <w:p w14:paraId="24DC3936" w14:textId="77777777" w:rsidR="00063A29" w:rsidRPr="00E006A9" w:rsidRDefault="00063A29">
      <w:pPr>
        <w:spacing w:after="200" w:line="276" w:lineRule="auto"/>
        <w:rPr>
          <w:rFonts w:ascii="Arial" w:hAnsi="Arial" w:cs="Arial"/>
          <w:b/>
          <w:caps/>
          <w:color w:val="000000" w:themeColor="text1"/>
          <w:lang w:val="en-GB"/>
        </w:rPr>
      </w:pPr>
      <w:r w:rsidRPr="00E006A9">
        <w:rPr>
          <w:color w:val="000000" w:themeColor="text1"/>
          <w:lang w:val="en-GB"/>
        </w:rPr>
        <w:br w:type="page"/>
      </w:r>
    </w:p>
    <w:p w14:paraId="69E9B1C9" w14:textId="202775BB" w:rsidR="006A3820" w:rsidRPr="00E006A9" w:rsidRDefault="00C75D9F" w:rsidP="00C75D9F">
      <w:pPr>
        <w:pStyle w:val="Casehead1"/>
        <w:rPr>
          <w:color w:val="000000" w:themeColor="text1"/>
          <w:lang w:val="en-GB"/>
        </w:rPr>
      </w:pPr>
      <w:r w:rsidRPr="00E006A9">
        <w:rPr>
          <w:color w:val="000000" w:themeColor="text1"/>
          <w:lang w:val="en-GB"/>
        </w:rPr>
        <w:lastRenderedPageBreak/>
        <w:t>ENDNOTES</w:t>
      </w:r>
      <w:bookmarkEnd w:id="0"/>
    </w:p>
    <w:sectPr w:rsidR="006A3820" w:rsidRPr="00E006A9"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D252" w16cex:dateUtc="2021-07-15T09:57:00Z"/>
  <w16cex:commentExtensible w16cex:durableId="24870795" w16cex:dateUtc="2021-06-30T19:09:00Z"/>
  <w16cex:commentExtensible w16cex:durableId="249AD450" w16cex:dateUtc="2021-07-15T10:05:00Z"/>
  <w16cex:commentExtensible w16cex:durableId="2486D0F2" w16cex:dateUtc="2021-06-30T15:16:00Z"/>
  <w16cex:commentExtensible w16cex:durableId="249AD289" w16cex:dateUtc="2021-07-15T09:58:00Z"/>
  <w16cex:commentExtensible w16cex:durableId="2486D2B3" w16cex:dateUtc="2021-06-30T15:23:00Z"/>
  <w16cex:commentExtensible w16cex:durableId="249AD430" w16cex:dateUtc="2021-07-15T10:05:00Z"/>
  <w16cex:commentExtensible w16cex:durableId="2486D713" w16cex:dateUtc="2021-06-30T15:42:00Z"/>
  <w16cex:commentExtensible w16cex:durableId="249AD396" w16cex:dateUtc="2021-07-15T10:02:00Z"/>
  <w16cex:commentExtensible w16cex:durableId="2486D7F8" w16cex:dateUtc="2021-06-30T15: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A8EFB" w14:textId="77777777" w:rsidR="00C353ED" w:rsidRDefault="00C353ED" w:rsidP="00D75295">
      <w:r>
        <w:separator/>
      </w:r>
    </w:p>
  </w:endnote>
  <w:endnote w:type="continuationSeparator" w:id="0">
    <w:p w14:paraId="5C671288" w14:textId="77777777" w:rsidR="00C353ED" w:rsidRDefault="00C353ED" w:rsidP="00D75295">
      <w:r>
        <w:continuationSeparator/>
      </w:r>
    </w:p>
  </w:endnote>
  <w:endnote w:id="1">
    <w:p w14:paraId="302BE4EF" w14:textId="72309302" w:rsidR="006A4508" w:rsidRPr="00E40897" w:rsidRDefault="006A4508" w:rsidP="00E40897">
      <w:pPr>
        <w:pStyle w:val="Footnote"/>
        <w:rPr>
          <w:i/>
          <w:lang w:val="en-GB"/>
        </w:rPr>
      </w:pPr>
      <w:r w:rsidRPr="00E40897">
        <w:rPr>
          <w:rStyle w:val="EndnoteReference"/>
          <w:color w:val="000000" w:themeColor="text1"/>
          <w:lang w:val="en-GB"/>
        </w:rPr>
        <w:endnoteRef/>
      </w:r>
      <w:r w:rsidRPr="00E40897">
        <w:rPr>
          <w:lang w:val="en-GB"/>
        </w:rPr>
        <w:t xml:space="preserve"> This case has been written on the basis of published sources only. Consequently, the interpretation and perspectives presented in this case are not necessarily those of Google LLC</w:t>
      </w:r>
      <w:r w:rsidR="0040359C" w:rsidRPr="00E40897">
        <w:rPr>
          <w:lang w:val="en-GB"/>
        </w:rPr>
        <w:t>, Fitbit, Inc.,</w:t>
      </w:r>
      <w:r w:rsidRPr="00E40897">
        <w:rPr>
          <w:lang w:val="en-GB"/>
        </w:rPr>
        <w:t xml:space="preserve"> or any of its employees.</w:t>
      </w:r>
    </w:p>
  </w:endnote>
  <w:endnote w:id="2">
    <w:p w14:paraId="3E3C97F8" w14:textId="7D303600" w:rsidR="006A4508" w:rsidRPr="00E40897" w:rsidRDefault="006A4508" w:rsidP="00E40897">
      <w:pPr>
        <w:pStyle w:val="Footnote"/>
        <w:rPr>
          <w:lang w:val="en-GB"/>
        </w:rPr>
      </w:pPr>
      <w:r w:rsidRPr="00E40897">
        <w:rPr>
          <w:rStyle w:val="EndnoteReference"/>
          <w:lang w:val="en-GB"/>
        </w:rPr>
        <w:endnoteRef/>
      </w:r>
      <w:r w:rsidRPr="00E40897">
        <w:rPr>
          <w:lang w:val="en-GB"/>
        </w:rPr>
        <w:t xml:space="preserve"> All dollar amounts are in US dollars.</w:t>
      </w:r>
    </w:p>
  </w:endnote>
  <w:endnote w:id="3">
    <w:p w14:paraId="036ABFF0" w14:textId="77AC8B5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Jessica Bursztynsky, “Google Closes Its Fitbit Acquisition,” CNBC, January 14, 2021, accessed April 17, 2021, https://www.cnbc.com/2021/01/14/google-closes-its-fitbit-acquisition.html.</w:t>
      </w:r>
    </w:p>
  </w:endnote>
  <w:endnote w:id="4">
    <w:p w14:paraId="479F9FAD" w14:textId="5ADA7900"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Jamie Adams, “3 Reasons to Be Wary of Google’s Fitbit Acquisition,” </w:t>
      </w:r>
      <w:r w:rsidRPr="00E40897">
        <w:rPr>
          <w:iCs/>
          <w:lang w:val="en-GB"/>
        </w:rPr>
        <w:t>MyWallSt</w:t>
      </w:r>
      <w:r w:rsidRPr="00E40897">
        <w:rPr>
          <w:lang w:val="en-GB"/>
        </w:rPr>
        <w:t>, February 20, 2020, accessed March 4, 2020, https://blog.mywallst.com/3-reasons-to-be-wary-of-googles-fitbit-acquisition/.</w:t>
      </w:r>
    </w:p>
  </w:endnote>
  <w:endnote w:id="5">
    <w:p w14:paraId="51BD8F15" w14:textId="505D8E1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Rick Osterloh, “Helping More People with Wearables: Google to Acquire Fitbit,” Google, November 1, 2019, accessed October 19, 2020, https://blog.google/products/hardware/agreement-with-fitbit.</w:t>
      </w:r>
    </w:p>
  </w:endnote>
  <w:endnote w:id="6">
    <w:p w14:paraId="3AD577E8" w14:textId="09BADC35"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Patrick Lucas Austin, “The Real Reason Google is Buying Fitbit,” </w:t>
      </w:r>
      <w:r w:rsidRPr="00E40897">
        <w:rPr>
          <w:i/>
          <w:iCs/>
          <w:lang w:val="en-GB"/>
        </w:rPr>
        <w:t>Time</w:t>
      </w:r>
      <w:r w:rsidRPr="00E40897">
        <w:rPr>
          <w:lang w:val="en-GB"/>
        </w:rPr>
        <w:t>, November 4, 2019, accessed July 7, 2020, https://time.com/5717726/google-fitbit/.</w:t>
      </w:r>
    </w:p>
  </w:endnote>
  <w:endnote w:id="7">
    <w:p w14:paraId="19F003A7" w14:textId="1321B73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Jennifer Elias, “</w:t>
      </w:r>
      <w:r w:rsidRPr="00E40897">
        <w:rPr>
          <w:lang w:val="en-GB" w:bidi="hi-IN"/>
        </w:rPr>
        <w:t xml:space="preserve">Why Google’s Fitbit Deal Could Break Its Legacy of Hardware Failures,” CNBC, November 2, 2019, accessed October 20, 2020, </w:t>
      </w:r>
      <w:r w:rsidRPr="00E40897">
        <w:rPr>
          <w:lang w:val="en-GB"/>
        </w:rPr>
        <w:t>https://www.cnbc.com/2019/11/02/google-fitbit-deal-may-break-legacy-of-hardware-failures.html.</w:t>
      </w:r>
    </w:p>
  </w:endnote>
  <w:endnote w:id="8">
    <w:p w14:paraId="27C8D557" w14:textId="1864D3AE"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Joe Thompson, “What Google’s Fitbit Acquisition Means for Smartwatches,” </w:t>
      </w:r>
      <w:r w:rsidRPr="00E40897">
        <w:rPr>
          <w:iCs/>
          <w:lang w:val="en-GB"/>
        </w:rPr>
        <w:t>Hodinkee</w:t>
      </w:r>
      <w:r w:rsidRPr="00E40897">
        <w:rPr>
          <w:lang w:val="en-GB"/>
        </w:rPr>
        <w:t>, November 4, 2019, accessed March 8, 2020, https://www.hodinkee.com/articles/what-googles-fitbit-acquisition-means-for-smartwatches.</w:t>
      </w:r>
    </w:p>
  </w:endnote>
  <w:endnote w:id="9">
    <w:p w14:paraId="56AEC4AD" w14:textId="3D948BB2"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Austin, op. cit.</w:t>
      </w:r>
    </w:p>
  </w:endnote>
  <w:endnote w:id="10">
    <w:p w14:paraId="2D42005A" w14:textId="20C67C00"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Lauren Goode, “What Google’s Fitbit Buy Means for the Future of Wearables,” </w:t>
      </w:r>
      <w:r w:rsidRPr="00E40897">
        <w:rPr>
          <w:i/>
          <w:lang w:val="en-GB"/>
        </w:rPr>
        <w:t>Wired</w:t>
      </w:r>
      <w:r w:rsidRPr="00E40897">
        <w:rPr>
          <w:lang w:val="en-GB"/>
        </w:rPr>
        <w:t>, November 2, 2019, accessed January 26, 2020, https://www.wired.com/story/google-fitbit-future-of-wearables/.</w:t>
      </w:r>
    </w:p>
  </w:endnote>
  <w:endnote w:id="11">
    <w:p w14:paraId="0CB3728A" w14:textId="1B8BF32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rStyle w:val="c-bylineauthor-name"/>
          <w:color w:val="000000" w:themeColor="text1"/>
          <w:lang w:val="en-GB"/>
        </w:rPr>
        <w:t>Chaim Gartenberg</w:t>
      </w:r>
      <w:r w:rsidRPr="00E40897">
        <w:rPr>
          <w:lang w:val="en-GB"/>
        </w:rPr>
        <w:t xml:space="preserve">, “Google Buys Fitbit for $2.1 Billion,” </w:t>
      </w:r>
      <w:r w:rsidRPr="00E40897">
        <w:rPr>
          <w:iCs/>
          <w:lang w:val="en-GB"/>
        </w:rPr>
        <w:t>The Verge</w:t>
      </w:r>
      <w:r w:rsidRPr="00E40897">
        <w:rPr>
          <w:lang w:val="en-GB"/>
        </w:rPr>
        <w:t xml:space="preserve">, </w:t>
      </w:r>
      <w:r w:rsidRPr="00E40897">
        <w:rPr>
          <w:rStyle w:val="c-bylineitem"/>
          <w:color w:val="000000" w:themeColor="text1"/>
          <w:lang w:val="en-GB"/>
        </w:rPr>
        <w:t>November 1, 2019, accessed March 8, 2020, https://www.theverge.com/2019/11/1/20943318/google-fitbit-acquisition-fitness-tracker-announcement.</w:t>
      </w:r>
    </w:p>
  </w:endnote>
  <w:endnote w:id="12">
    <w:p w14:paraId="2291FCB3" w14:textId="06C0028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Adams, op. cit.</w:t>
      </w:r>
    </w:p>
  </w:endnote>
  <w:endnote w:id="13">
    <w:p w14:paraId="437B4C2A" w14:textId="58D2AB0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TimesofIndia.com, “From Garage to Googleplex: Google Was Born on This Day in 1998,” </w:t>
      </w:r>
      <w:r w:rsidRPr="00E40897">
        <w:rPr>
          <w:i/>
          <w:lang w:val="en-GB"/>
        </w:rPr>
        <w:t>The Times of India</w:t>
      </w:r>
      <w:r w:rsidRPr="00E40897">
        <w:rPr>
          <w:lang w:val="en-GB"/>
        </w:rPr>
        <w:t>, September 4, 2018, accessed June 8, 2020, https://timesofindia.indiatimes.com/business/india-business/from-garage-to-googleplex-google-was-born-on-this-day-in-1998/articleshow/65665351.cms.</w:t>
      </w:r>
    </w:p>
  </w:endnote>
  <w:endnote w:id="14">
    <w:p w14:paraId="6C25B75B" w14:textId="2CBDEF5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Paul Imison, “Imagining Tomorrow’s World Today,” </w:t>
      </w:r>
      <w:r w:rsidRPr="00E40897">
        <w:rPr>
          <w:i/>
          <w:lang w:val="en-GB"/>
        </w:rPr>
        <w:t>Chief Executive Officer North America</w:t>
      </w:r>
      <w:r w:rsidRPr="00E40897">
        <w:rPr>
          <w:lang w:val="en-GB"/>
        </w:rPr>
        <w:t>, August 10, 2020, accessed May 5, 2020, https://www.ceo-na.com/executive-interviews/imagining-tomorrows-world-today/.</w:t>
      </w:r>
    </w:p>
  </w:endnote>
  <w:endnote w:id="15">
    <w:p w14:paraId="7DF7FE90" w14:textId="6F5A870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 Clement, “Alphabet: Global Annual Revenue 2011-2019,” Statista, February 5, 2020, accessed June 4, 2020, https://www.statista.com/statistics/507742/alphabet-annual-global-revenue/.</w:t>
      </w:r>
    </w:p>
  </w:endnote>
  <w:endnote w:id="16">
    <w:p w14:paraId="0C7874FB" w14:textId="0F2CFCB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“Google Inc.,” Great Place to Work, accessed April 20, 2021, https://www.greatplacetowork.com/certified-company/1000103.</w:t>
      </w:r>
    </w:p>
  </w:endnote>
  <w:endnote w:id="17">
    <w:p w14:paraId="2DEDD8B8" w14:textId="4BE79088"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“Best Global Brands 2019 Rankings,” Interbrand, accessed June 8, 2020, https://www.interbrand.com/best-brands/best-global-brands/2019/ranking/.</w:t>
      </w:r>
    </w:p>
  </w:endnote>
  <w:endnote w:id="18">
    <w:p w14:paraId="189FCECE" w14:textId="1114DEA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Matt Reynolds, “</w:t>
      </w:r>
      <w:r w:rsidRPr="00E40897">
        <w:rPr>
          <w:spacing w:val="5"/>
          <w:lang w:val="en-GB"/>
        </w:rPr>
        <w:t xml:space="preserve">If You Can’t Build It, Buy It: Google’s Biggest Acquisitions Mapped,” </w:t>
      </w:r>
      <w:r w:rsidRPr="00E40897">
        <w:rPr>
          <w:i/>
          <w:iCs/>
          <w:spacing w:val="5"/>
          <w:lang w:val="en-GB"/>
        </w:rPr>
        <w:t>Wired</w:t>
      </w:r>
      <w:r w:rsidRPr="00E40897">
        <w:rPr>
          <w:spacing w:val="5"/>
          <w:lang w:val="en-GB"/>
        </w:rPr>
        <w:t xml:space="preserve">, November 25, 2017, accessed October 20, 2020, </w:t>
      </w:r>
      <w:r w:rsidRPr="00E40897">
        <w:rPr>
          <w:lang w:val="en-GB"/>
        </w:rPr>
        <w:t>https://www.wired.co.uk/article/google-acquisitions-data-visualisation-infoporn-waze-youtube-android.</w:t>
      </w:r>
    </w:p>
  </w:endnote>
  <w:endnote w:id="19">
    <w:p w14:paraId="45CD8502" w14:textId="200786FB"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Nick Statt, “</w:t>
      </w:r>
      <w:r w:rsidRPr="00E40897">
        <w:rPr>
          <w:lang w:val="en-GB" w:bidi="hi-IN"/>
        </w:rPr>
        <w:t xml:space="preserve">YouTube Is a $15 Billion-a-Year Business, Google Reveals for the First Time,” </w:t>
      </w:r>
      <w:r w:rsidRPr="00E40897">
        <w:rPr>
          <w:iCs/>
          <w:lang w:val="en-GB"/>
        </w:rPr>
        <w:t>The Verge</w:t>
      </w:r>
      <w:r w:rsidRPr="00E40897">
        <w:rPr>
          <w:lang w:val="en-GB"/>
        </w:rPr>
        <w:t>, February 3, 2020, accessed October 20, 2020, https://www.theverge.com/2020/2/3/21121207/youtube-google-alphabet-earnings-revenue-first-time-reveal-q4-2019.</w:t>
      </w:r>
    </w:p>
  </w:endnote>
  <w:endnote w:id="20">
    <w:p w14:paraId="78748533" w14:textId="5BD21DF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“Introducing Google Marketing Platform,” Google, Display &amp; Video 360 Help, accessed October 20, 2020, https://support.google.com/displayvideo/answer/9015629?hl=en.</w:t>
      </w:r>
    </w:p>
  </w:endnote>
  <w:endnote w:id="21">
    <w:p w14:paraId="2926EFD0" w14:textId="52C82AD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“FAQ,” Google Ads, accessed October 20, 2020, https://ads.google.com/home/faq/?subid=ww-ww-et-g-aw-a-helpcenter_1!02.</w:t>
      </w:r>
    </w:p>
  </w:endnote>
  <w:endnote w:id="22">
    <w:p w14:paraId="55CAC2D2" w14:textId="236ABC34"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Matthew Johnston, “5 Companies Owned by Google (Alphabet),” Investopedia, July 28, 2020, accessed October 4, 2020, https://www.investopedia.com/investing/companies-owned-by-google/.</w:t>
      </w:r>
    </w:p>
  </w:endnote>
  <w:endnote w:id="23">
    <w:p w14:paraId="5EA0DE56" w14:textId="4FDF552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iCs/>
          <w:lang w:val="en-GB"/>
        </w:rPr>
        <w:t>Ibid.</w:t>
      </w:r>
    </w:p>
  </w:endnote>
  <w:endnote w:id="24">
    <w:p w14:paraId="5C7E603C" w14:textId="5FAE7DB8"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Austin, op. cit.</w:t>
      </w:r>
    </w:p>
  </w:endnote>
  <w:endnote w:id="25">
    <w:p w14:paraId="5EEA474C" w14:textId="4419E365"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Editor, “The Rise of Fitbit,” </w:t>
      </w:r>
      <w:r w:rsidRPr="00E40897">
        <w:rPr>
          <w:iCs/>
          <w:lang w:val="en-GB"/>
        </w:rPr>
        <w:t>Critics Rant</w:t>
      </w:r>
      <w:r w:rsidRPr="00E40897">
        <w:rPr>
          <w:lang w:val="en-GB"/>
        </w:rPr>
        <w:t>, January 25, 2019, accessed July 8, 2020, https://criticsrant.com/the-rise-of-fitbit/.</w:t>
      </w:r>
    </w:p>
  </w:endnote>
  <w:endnote w:id="26">
    <w:p w14:paraId="5CBE176F" w14:textId="50BF2018"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Mary, "</w:t>
      </w:r>
      <w:bookmarkStart w:id="1" w:name="_Hlk53326531"/>
      <w:r w:rsidRPr="00E40897">
        <w:rPr>
          <w:lang w:val="en-GB"/>
        </w:rPr>
        <w:t xml:space="preserve">Fitbit Finds Its Fit with Digital," </w:t>
      </w:r>
      <w:r w:rsidRPr="00E40897">
        <w:rPr>
          <w:i/>
          <w:lang w:val="en-GB"/>
        </w:rPr>
        <w:t>Technology and Operations Management</w:t>
      </w:r>
      <w:r w:rsidRPr="00E40897">
        <w:rPr>
          <w:lang w:val="en-GB"/>
        </w:rPr>
        <w:t>, November 16, 2016, accessed October 11, 2020, https://digital.hbs.edu/platform-rctom/submission/fitbit-finds-its-fit-with-digital/.</w:t>
      </w:r>
      <w:bookmarkEnd w:id="1"/>
    </w:p>
  </w:endnote>
  <w:endnote w:id="27">
    <w:p w14:paraId="0395DB97" w14:textId="507FBE4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Robert Hof, “How Fitbit Survived as a Hardware </w:t>
      </w:r>
      <w:proofErr w:type="spellStart"/>
      <w:r w:rsidRPr="00E40897">
        <w:rPr>
          <w:lang w:val="en-GB"/>
        </w:rPr>
        <w:t>Startup</w:t>
      </w:r>
      <w:proofErr w:type="spellEnd"/>
      <w:r w:rsidRPr="00E40897">
        <w:rPr>
          <w:lang w:val="en-GB"/>
        </w:rPr>
        <w:t xml:space="preserve">,” </w:t>
      </w:r>
      <w:r w:rsidRPr="00E40897">
        <w:rPr>
          <w:i/>
          <w:lang w:val="en-GB"/>
        </w:rPr>
        <w:t>Forbes</w:t>
      </w:r>
      <w:r w:rsidRPr="00E40897">
        <w:rPr>
          <w:lang w:val="en-GB"/>
        </w:rPr>
        <w:t>, February 4, 2014, accessed October 19, 2020, https://www.forbes.com/sites/roberthof/2014/02/04/how-fitbit-survived-as-a-hardware-startup/#28cdc9b91934.</w:t>
      </w:r>
    </w:p>
  </w:endnote>
  <w:endnote w:id="28">
    <w:p w14:paraId="2715D04D" w14:textId="251C1ABF"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Mary, op. cit.</w:t>
      </w:r>
    </w:p>
  </w:endnote>
  <w:endnote w:id="29">
    <w:p w14:paraId="0AE4E667" w14:textId="1691A37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t xml:space="preserve">H. </w:t>
      </w:r>
      <w:proofErr w:type="spellStart"/>
      <w:r w:rsidRPr="00E40897">
        <w:t>Tankovska</w:t>
      </w:r>
      <w:proofErr w:type="spellEnd"/>
      <w:r w:rsidRPr="00E40897">
        <w:t>, “Market Share of Wearables Unit Shipments Worldwide by Vendor from 1Q'14 to 2Q'20,” Statista, September 8, 2020, accessed October 19, 2020, https://www.statista.com/statistics/435944/quarterly-wearables-shipments-worldwide-market-share-by-vendor/.</w:t>
      </w:r>
    </w:p>
  </w:endnote>
  <w:endnote w:id="30">
    <w:p w14:paraId="0A67BB63" w14:textId="6C38323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“Fitbit Financial Statements 2012-2020 | FIT,” Macrotrends, accessed June 4, 2020, https://www.macrotrends.net/stocks/charts/FIT/fitbit/revenue.</w:t>
      </w:r>
    </w:p>
  </w:endnote>
  <w:endnote w:id="31">
    <w:p w14:paraId="488C80C2" w14:textId="0751038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rStyle w:val="moduletitletext"/>
          <w:color w:val="000000" w:themeColor="text1"/>
          <w:lang w:val="en-GB"/>
        </w:rPr>
        <w:t>Fitbit Reports 2019 Fourth Quarter and Full Year Results,” Fitbit, February 20, 2020, accessed June 9, 2020, https://investor.fitbit.com/press/press-releases/press-release-details/2020/Fitbit-Reports-2019-Fourth-Quarter-and-Full-Year-Results/default.aspx.</w:t>
      </w:r>
    </w:p>
  </w:endnote>
  <w:endnote w:id="32">
    <w:p w14:paraId="174405A8" w14:textId="41B71D82"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Editor, </w:t>
      </w:r>
      <w:r w:rsidRPr="00E40897">
        <w:rPr>
          <w:iCs/>
          <w:lang w:val="en-GB"/>
        </w:rPr>
        <w:t>op. cit.</w:t>
      </w:r>
      <w:r w:rsidRPr="00E40897">
        <w:rPr>
          <w:lang w:val="en-GB"/>
        </w:rPr>
        <w:t xml:space="preserve"> </w:t>
      </w:r>
    </w:p>
  </w:endnote>
  <w:endnote w:id="33">
    <w:p w14:paraId="2799CAFC" w14:textId="28F3DE4B"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“Fitbit Financial Statements 2012-2020 | FIT,” op. cit.</w:t>
      </w:r>
    </w:p>
  </w:endnote>
  <w:endnote w:id="34">
    <w:p w14:paraId="520CEDED" w14:textId="45D35BA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Trefis Team, “Will Fitbit Be Better Off with </w:t>
      </w:r>
      <w:proofErr w:type="gramStart"/>
      <w:r w:rsidRPr="00E40897">
        <w:rPr>
          <w:lang w:val="en-GB"/>
        </w:rPr>
        <w:t>Google?,</w:t>
      </w:r>
      <w:proofErr w:type="gramEnd"/>
      <w:r w:rsidRPr="00E40897">
        <w:rPr>
          <w:lang w:val="en-GB"/>
        </w:rPr>
        <w:t xml:space="preserve">” </w:t>
      </w:r>
      <w:r w:rsidRPr="00E40897">
        <w:rPr>
          <w:i/>
          <w:iCs/>
          <w:lang w:val="en-GB"/>
        </w:rPr>
        <w:t>Forbes</w:t>
      </w:r>
      <w:r w:rsidRPr="00E40897">
        <w:rPr>
          <w:lang w:val="en-GB"/>
        </w:rPr>
        <w:t>, November 1, 2019, accessed July 7, 2020, https://www.forbes.com/sites/greatspeculations/2019/11/01/will-fitbit-be-better-off-with-google/#485f6bad40a2.</w:t>
      </w:r>
    </w:p>
  </w:endnote>
  <w:endnote w:id="35">
    <w:p w14:paraId="551088C5" w14:textId="58706B10" w:rsidR="006A4508" w:rsidRPr="00E40897" w:rsidRDefault="006A4508" w:rsidP="00E40897">
      <w:pPr>
        <w:pStyle w:val="Footnote"/>
        <w:rPr>
          <w:spacing w:val="-2"/>
          <w:lang w:val="en-GB"/>
        </w:rPr>
      </w:pPr>
      <w:r w:rsidRPr="00E40897">
        <w:rPr>
          <w:rStyle w:val="EndnoteReference"/>
          <w:color w:val="000000" w:themeColor="text1"/>
          <w:spacing w:val="-2"/>
          <w:lang w:val="en-GB"/>
        </w:rPr>
        <w:endnoteRef/>
      </w:r>
      <w:r w:rsidRPr="00E40897">
        <w:rPr>
          <w:spacing w:val="-2"/>
          <w:lang w:val="en-GB"/>
        </w:rPr>
        <w:t xml:space="preserve"> Scott Davis, “Google Steps Further into Health Care with Fitbit Acquisition,” </w:t>
      </w:r>
      <w:r w:rsidRPr="00E40897">
        <w:rPr>
          <w:i/>
          <w:iCs/>
          <w:spacing w:val="-2"/>
          <w:lang w:val="en-GB"/>
        </w:rPr>
        <w:t>Forbes</w:t>
      </w:r>
      <w:r w:rsidRPr="00E40897">
        <w:rPr>
          <w:spacing w:val="-2"/>
          <w:lang w:val="en-GB"/>
        </w:rPr>
        <w:t>, November 6, 2019, accessed July 7, 2020, https://www.forbes.com/sites/scottdavis/2019/11/06/google-steps-further-into-healthcare-with-fitbit-acquisition/#4413bd926a01.</w:t>
      </w:r>
    </w:p>
  </w:endnote>
  <w:endnote w:id="36">
    <w:p w14:paraId="765BC814" w14:textId="3705E67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iCs/>
          <w:lang w:val="en-GB"/>
        </w:rPr>
        <w:t>Editor, op. cit.</w:t>
      </w:r>
    </w:p>
  </w:endnote>
  <w:endnote w:id="37">
    <w:p w14:paraId="3A17914A" w14:textId="08FEC9D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Trefis Team, “Will Fitbit Be Better Off with </w:t>
      </w:r>
      <w:proofErr w:type="gramStart"/>
      <w:r w:rsidRPr="00E40897">
        <w:rPr>
          <w:lang w:val="en-GB"/>
        </w:rPr>
        <w:t>Google?,</w:t>
      </w:r>
      <w:proofErr w:type="gramEnd"/>
      <w:r w:rsidRPr="00E40897">
        <w:rPr>
          <w:lang w:val="en-GB"/>
        </w:rPr>
        <w:t xml:space="preserve">” op. cit. </w:t>
      </w:r>
    </w:p>
  </w:endnote>
  <w:endnote w:id="38">
    <w:p w14:paraId="352D9E9F" w14:textId="1610A1A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Damien Wilde, “Report: Google’s Fitbit Accounted for 6% of Wearable Market in 2019,” 9to5Google, March 11, 2020, accessed July 7, 2020, https://9to5google.com/2020/03/11/report-googles-recently-acquired-fitbit-accounted-for-6-of-wearable-market-in-2019/.</w:t>
      </w:r>
    </w:p>
  </w:endnote>
  <w:endnote w:id="39">
    <w:p w14:paraId="322B1254" w14:textId="361A644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Divyanshi Tewari and Asavari Patil, “Smartwatch Market Size, Share &amp; Industry Growth | Analysis – 2027,” </w:t>
      </w:r>
      <w:r w:rsidRPr="00E40897">
        <w:rPr>
          <w:iCs/>
          <w:lang w:val="en-GB"/>
        </w:rPr>
        <w:t>Allied Market Research</w:t>
      </w:r>
      <w:r w:rsidRPr="00E40897">
        <w:rPr>
          <w:lang w:val="en-GB"/>
        </w:rPr>
        <w:t>, accessed July 7, 2020, https://www.alliedmarketresearch.com/smartwatch-market.</w:t>
      </w:r>
    </w:p>
  </w:endnote>
  <w:endnote w:id="40">
    <w:p w14:paraId="0A5FDFD3" w14:textId="0B6A9BB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Jon Porter, “Apple Watch Still Dominates, but Samsung and Fitbit Quadruple Shipments,” </w:t>
      </w:r>
      <w:r w:rsidRPr="00E40897">
        <w:rPr>
          <w:iCs/>
          <w:lang w:val="en-GB"/>
        </w:rPr>
        <w:t>The Verge</w:t>
      </w:r>
      <w:r w:rsidRPr="00E40897">
        <w:rPr>
          <w:lang w:val="en-GB"/>
        </w:rPr>
        <w:t>, February 28, 2019, accessed October 11, 2020, https://www.theverge.com/2019/2/28/18244403/wearable-market-report-q4-2018-apple-samsung-fitbit.</w:t>
      </w:r>
    </w:p>
  </w:endnote>
  <w:endnote w:id="41">
    <w:p w14:paraId="396AEED1" w14:textId="423117A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Tewari and Patil, op. cit.</w:t>
      </w:r>
    </w:p>
  </w:endnote>
  <w:endnote w:id="42">
    <w:p w14:paraId="56589AA5" w14:textId="2DCC50B0"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Valuates Reports, “Wearable Technology Market Size Is Expected to Reach USD $57,653 Millions by the End of 2022, with a CAGR of 16.2 | Valuates Reports,” </w:t>
      </w:r>
      <w:r w:rsidRPr="00E40897">
        <w:rPr>
          <w:iCs/>
          <w:lang w:val="en-GB"/>
        </w:rPr>
        <w:t>Cision PR Newswire</w:t>
      </w:r>
      <w:r w:rsidRPr="00E40897">
        <w:rPr>
          <w:lang w:val="en-GB"/>
        </w:rPr>
        <w:t xml:space="preserve">, February 10, 2020, accessed October 21, 2020, https://www.prnewswire.com/news-releases/wearable-technology-market-size-is-expected-to-reach-usd-57-653-millions-by-the-end-of-2022--with-a-cagr-of-16-2--valuates-reports-301001809.html; PWC, </w:t>
      </w:r>
      <w:r w:rsidRPr="00E40897">
        <w:rPr>
          <w:i/>
          <w:lang w:val="en-GB"/>
        </w:rPr>
        <w:t>The Wearable Future</w:t>
      </w:r>
      <w:r w:rsidRPr="00E40897">
        <w:rPr>
          <w:lang w:val="en-GB"/>
        </w:rPr>
        <w:t xml:space="preserve">, accessed August 2, 2020, https://www.pwc.se/sv/pdf-reports/consumer-intelligence-series-the-wearable-future.pdf. </w:t>
      </w:r>
    </w:p>
  </w:endnote>
  <w:endnote w:id="43">
    <w:p w14:paraId="20319A2A" w14:textId="3692154E"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Neil Mawston, “Global Smartwatch Shipments Leap to 14 Million Units in Q3 2019,” </w:t>
      </w:r>
      <w:r w:rsidRPr="00E40897">
        <w:rPr>
          <w:iCs/>
          <w:lang w:val="en-GB"/>
        </w:rPr>
        <w:t>Strategy Analytics</w:t>
      </w:r>
      <w:r w:rsidRPr="00E40897">
        <w:rPr>
          <w:lang w:val="en-GB"/>
        </w:rPr>
        <w:t>, November 6, 2019, accessed May 8, 2020, https://www.strategyanalytics.com/strategy-analytics/blogs/wearables/2019/11/06/global-smartwatch-shipments-leap-to-14-million-units-in-q3-2019.</w:t>
      </w:r>
    </w:p>
  </w:endnote>
  <w:endnote w:id="44">
    <w:p w14:paraId="29F3F827" w14:textId="7AA16F5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Tewari and Patil, op. cit.</w:t>
      </w:r>
    </w:p>
  </w:endnote>
  <w:endnote w:id="45">
    <w:p w14:paraId="09121F45" w14:textId="70652D1E"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proofErr w:type="spellStart"/>
      <w:r w:rsidRPr="00E40897">
        <w:rPr>
          <w:lang w:val="en-GB"/>
        </w:rPr>
        <w:t>Nijhum</w:t>
      </w:r>
      <w:proofErr w:type="spellEnd"/>
      <w:r w:rsidRPr="00E40897">
        <w:rPr>
          <w:lang w:val="en-GB"/>
        </w:rPr>
        <w:t xml:space="preserve"> Rudra and </w:t>
      </w:r>
      <w:proofErr w:type="spellStart"/>
      <w:r w:rsidRPr="00E40897">
        <w:rPr>
          <w:lang w:val="en-GB"/>
        </w:rPr>
        <w:t>Deepshikha</w:t>
      </w:r>
      <w:proofErr w:type="spellEnd"/>
      <w:r w:rsidRPr="00E40897">
        <w:rPr>
          <w:lang w:val="en-GB"/>
        </w:rPr>
        <w:t xml:space="preserve"> Shukla, “The Growth </w:t>
      </w:r>
      <w:proofErr w:type="gramStart"/>
      <w:r w:rsidRPr="00E40897">
        <w:rPr>
          <w:lang w:val="en-GB"/>
        </w:rPr>
        <w:t>Of</w:t>
      </w:r>
      <w:proofErr w:type="gramEnd"/>
      <w:r w:rsidRPr="00E40897">
        <w:rPr>
          <w:lang w:val="en-GB"/>
        </w:rPr>
        <w:t xml:space="preserve"> The Wearables Market,” ElectronicsB2B, May 11, 2020, accessed </w:t>
      </w:r>
      <w:r w:rsidRPr="00E40897">
        <w:rPr>
          <w:lang w:val="en-GB" w:bidi="hi-IN"/>
        </w:rPr>
        <w:t>October 19, 2020</w:t>
      </w:r>
      <w:r w:rsidRPr="00E40897">
        <w:rPr>
          <w:lang w:val="en-GB"/>
        </w:rPr>
        <w:t>, https://www.electronicsb2b.com/eb-specials/industry-report/the-growth-of-the-wearables-market/.</w:t>
      </w:r>
    </w:p>
  </w:endnote>
  <w:endnote w:id="46">
    <w:p w14:paraId="32B1D2E2" w14:textId="0CFF24C9"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ET Online, “</w:t>
      </w:r>
      <w:r w:rsidRPr="00E40897">
        <w:t xml:space="preserve">Wearable Tech Set to Become a $54 Billion Industry by 2023: </w:t>
      </w:r>
      <w:proofErr w:type="spellStart"/>
      <w:r w:rsidRPr="00E40897">
        <w:t>GlobalData</w:t>
      </w:r>
      <w:proofErr w:type="spellEnd"/>
      <w:r w:rsidRPr="00E40897">
        <w:t>,” The Economic Times, August 7, 2019, accessed October 19, 2020</w:t>
      </w:r>
      <w:r w:rsidRPr="00E40897">
        <w:rPr>
          <w:shd w:val="clear" w:color="auto" w:fill="FFFFFF"/>
          <w:lang w:val="en-GB"/>
        </w:rPr>
        <w:t>,</w:t>
      </w:r>
      <w:r w:rsidRPr="00E40897">
        <w:rPr>
          <w:lang w:val="en-GB"/>
        </w:rPr>
        <w:t xml:space="preserve"> https://economictimes.indiatimes.com/small-biz/startups/newsbuzz/wearable-tech-set-to-become-a-54-billion-industry-by-2023-globaldata/articleshow/70564832.cms.</w:t>
      </w:r>
    </w:p>
  </w:endnote>
  <w:endnote w:id="47">
    <w:p w14:paraId="6AF3F547" w14:textId="652D21E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proofErr w:type="spellStart"/>
      <w:r w:rsidRPr="00E40897">
        <w:t>Sumant</w:t>
      </w:r>
      <w:proofErr w:type="spellEnd"/>
      <w:r w:rsidRPr="00E40897">
        <w:t xml:space="preserve"> </w:t>
      </w:r>
      <w:proofErr w:type="spellStart"/>
      <w:r w:rsidRPr="00E40897">
        <w:t>Ugalmule</w:t>
      </w:r>
      <w:proofErr w:type="spellEnd"/>
      <w:r w:rsidRPr="00E40897">
        <w:t xml:space="preserve"> and Rupali Swain,</w:t>
      </w:r>
      <w:r w:rsidRPr="00E40897">
        <w:rPr>
          <w:shd w:val="clear" w:color="auto" w:fill="FFFFFF"/>
          <w:lang w:val="en-GB"/>
        </w:rPr>
        <w:t xml:space="preserve"> “</w:t>
      </w:r>
      <w:r w:rsidRPr="00E40897">
        <w:rPr>
          <w:lang w:val="en-GB"/>
        </w:rPr>
        <w:t>Digital Health Market Share Trends 2020-2026 Growth Report</w:t>
      </w:r>
      <w:r w:rsidRPr="00E40897">
        <w:rPr>
          <w:lang w:val="en-GB" w:bidi="hi-IN"/>
        </w:rPr>
        <w:t xml:space="preserve">,” </w:t>
      </w:r>
      <w:r w:rsidRPr="00E40897">
        <w:rPr>
          <w:i/>
          <w:iCs/>
          <w:lang w:val="en-GB" w:bidi="hi-IN"/>
        </w:rPr>
        <w:t>Global Market Insights</w:t>
      </w:r>
      <w:r w:rsidRPr="00E40897">
        <w:rPr>
          <w:lang w:val="en-GB" w:bidi="hi-IN"/>
        </w:rPr>
        <w:t>, June 2020, accessed October 19, 2020, https://www.gminsights.com/industry-analysis/digital-health-market.</w:t>
      </w:r>
    </w:p>
  </w:endnote>
  <w:endnote w:id="48">
    <w:p w14:paraId="70B6D9BB" w14:textId="0D6DD51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proofErr w:type="spellStart"/>
      <w:r w:rsidRPr="00E40897">
        <w:rPr>
          <w:lang w:val="en-GB"/>
        </w:rPr>
        <w:t>Smiljanic</w:t>
      </w:r>
      <w:proofErr w:type="spellEnd"/>
      <w:r w:rsidRPr="00E40897">
        <w:rPr>
          <w:lang w:val="en-GB"/>
        </w:rPr>
        <w:t xml:space="preserve"> </w:t>
      </w:r>
      <w:proofErr w:type="spellStart"/>
      <w:r w:rsidRPr="00E40897">
        <w:rPr>
          <w:lang w:val="en-GB"/>
        </w:rPr>
        <w:t>Stasha</w:t>
      </w:r>
      <w:proofErr w:type="spellEnd"/>
      <w:r w:rsidRPr="00E40897">
        <w:rPr>
          <w:lang w:val="en-GB"/>
        </w:rPr>
        <w:t>, “The State of Healthcare Industry – Statistics for 2021,” Policy Advice, February 14, 2021, accessed April 17, 2021, https://policyadvice.net/insurance/insights/health care-statistics/.</w:t>
      </w:r>
    </w:p>
  </w:endnote>
  <w:endnote w:id="49">
    <w:p w14:paraId="31CBC688" w14:textId="5F50609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Ibid.</w:t>
      </w:r>
    </w:p>
  </w:endnote>
  <w:endnote w:id="50">
    <w:p w14:paraId="64162E08" w14:textId="2BA67E9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Brandesssence Market Research and Consulting Pvt. Ltd., “</w:t>
      </w:r>
      <w:r w:rsidRPr="00E40897">
        <w:rPr>
          <w:lang w:val="en-GB" w:bidi="hi-IN"/>
        </w:rPr>
        <w:t xml:space="preserve">Medical Wearable Market Share, Current Trends and Research Development Report to 2025,” </w:t>
      </w:r>
      <w:r w:rsidRPr="00E40897">
        <w:rPr>
          <w:iCs/>
          <w:lang w:val="en-GB" w:bidi="hi-IN"/>
        </w:rPr>
        <w:t>Medgadget,</w:t>
      </w:r>
      <w:r w:rsidRPr="00E40897">
        <w:rPr>
          <w:lang w:val="en-GB" w:bidi="hi-IN"/>
        </w:rPr>
        <w:t xml:space="preserve"> April 4, 2020, accessed October 19, 2020, </w:t>
      </w:r>
      <w:r w:rsidRPr="00E40897">
        <w:rPr>
          <w:lang w:val="en-GB"/>
        </w:rPr>
        <w:t>https://www.medgadget.com/2020/04/medical-wearable-market-share-current-trends-and-research-development-report-to-2025.html.</w:t>
      </w:r>
    </w:p>
  </w:endnote>
  <w:endnote w:id="51">
    <w:p w14:paraId="2825B26C" w14:textId="59C2F243" w:rsidR="006A4508" w:rsidRPr="00E40897" w:rsidRDefault="006A4508" w:rsidP="00E40897">
      <w:pPr>
        <w:pStyle w:val="Footnote"/>
        <w:rPr>
          <w:spacing w:val="-4"/>
          <w:lang w:val="en-GB"/>
        </w:rPr>
      </w:pPr>
      <w:r w:rsidRPr="00E40897">
        <w:rPr>
          <w:rStyle w:val="EndnoteReference"/>
          <w:color w:val="000000" w:themeColor="text1"/>
          <w:spacing w:val="-4"/>
          <w:lang w:val="en-GB"/>
        </w:rPr>
        <w:endnoteRef/>
      </w:r>
      <w:r w:rsidRPr="00E40897">
        <w:rPr>
          <w:spacing w:val="-4"/>
          <w:lang w:val="en-GB"/>
        </w:rPr>
        <w:t xml:space="preserve"> Stephanie Allen, </w:t>
      </w:r>
      <w:r w:rsidRPr="00E40897">
        <w:rPr>
          <w:bCs/>
          <w:i/>
          <w:spacing w:val="-4"/>
          <w:lang w:val="en-GB"/>
        </w:rPr>
        <w:t>2020 Global Health Care Outlook:</w:t>
      </w:r>
      <w:r w:rsidRPr="00E40897">
        <w:rPr>
          <w:b/>
          <w:bCs/>
          <w:i/>
          <w:spacing w:val="-4"/>
          <w:lang w:val="en-GB"/>
        </w:rPr>
        <w:t xml:space="preserve"> </w:t>
      </w:r>
      <w:r w:rsidRPr="00E40897">
        <w:rPr>
          <w:i/>
          <w:spacing w:val="-4"/>
          <w:lang w:val="en-GB"/>
        </w:rPr>
        <w:t>Laying a Foundation for the Future</w:t>
      </w:r>
      <w:r w:rsidRPr="00E40897">
        <w:rPr>
          <w:spacing w:val="-4"/>
          <w:lang w:val="en-GB"/>
        </w:rPr>
        <w:t xml:space="preserve">, </w:t>
      </w:r>
      <w:r w:rsidRPr="00E40897">
        <w:rPr>
          <w:iCs/>
          <w:spacing w:val="-4"/>
          <w:lang w:val="en-GB"/>
        </w:rPr>
        <w:t>Deloitte Insights</w:t>
      </w:r>
      <w:r w:rsidRPr="00E40897">
        <w:rPr>
          <w:spacing w:val="-4"/>
          <w:lang w:val="en-GB"/>
        </w:rPr>
        <w:t>, 2019, accessed October 26, 2020, https://www2.deloitte.com/global/en/pages/life-sciences-and-healthcare/articles/global-health-care-sector-outlook.html.</w:t>
      </w:r>
    </w:p>
  </w:endnote>
  <w:endnote w:id="52">
    <w:p w14:paraId="57A043E8" w14:textId="69A4A4D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Alicia Phaneuf, “Latest Trends in Medical Monitoring Devices and Wearable Health Technology,” Business Insider, July 19, 2019, accessed July 7, 2020, https://www.businessinsider.in/science/latest-trends-in-medical-monitoring-devices-and-wearable-health-technology/articleshow/70295772.cms.</w:t>
      </w:r>
    </w:p>
  </w:endnote>
  <w:endnote w:id="53">
    <w:p w14:paraId="3A59F51F" w14:textId="5A095B7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Sai Krishna, “Connected Devices Enable Cost Savings in Health Care,” Beroe | Advantage Procurement, November 29, 2016, accessed April 18, 2021, https://www.beroeinc.com/whitepaper/connected-devices-healthcare/.</w:t>
      </w:r>
    </w:p>
  </w:endnote>
  <w:endnote w:id="54">
    <w:p w14:paraId="281D77EF" w14:textId="1DB6A3C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Tripwire Guest Authors, “A Quick Round Up of Privacy Highlights for Q1 of 2021,” Tripwire, April 15, 2021, accessed April 18, 2021, https://www.tripwire.com/state-of-security/security-data-protection/quick-round-up-of-privacy-highlights/.</w:t>
      </w:r>
    </w:p>
  </w:endnote>
  <w:endnote w:id="55">
    <w:p w14:paraId="35CBA460" w14:textId="2E46D904"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“The Rise of Wearables: This Is Why Investors Should Care</w:t>
      </w:r>
      <w:r w:rsidRPr="00E40897">
        <w:rPr>
          <w:i/>
          <w:iCs/>
          <w:lang w:val="en-GB"/>
        </w:rPr>
        <w:t>,” Investing.com</w:t>
      </w:r>
      <w:r w:rsidRPr="00E40897">
        <w:rPr>
          <w:iCs/>
          <w:lang w:val="en-GB"/>
        </w:rPr>
        <w:t xml:space="preserve"> (blog)</w:t>
      </w:r>
      <w:r w:rsidRPr="00E40897">
        <w:rPr>
          <w:lang w:val="en-GB"/>
        </w:rPr>
        <w:t>, accessed April 18, 2021, https://www.investing.com/blog/the-rise-of-wearables-this-is-why-investors-should-care-278</w:t>
      </w:r>
    </w:p>
  </w:endnote>
  <w:endnote w:id="56">
    <w:p w14:paraId="606DCF97" w14:textId="6F004B3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Phaneuf, op. cit.</w:t>
      </w:r>
      <w:r w:rsidRPr="00E40897" w:rsidDel="002A4F93">
        <w:rPr>
          <w:i/>
          <w:iCs/>
          <w:lang w:val="en-GB"/>
        </w:rPr>
        <w:t xml:space="preserve"> </w:t>
      </w:r>
    </w:p>
  </w:endnote>
  <w:endnote w:id="57">
    <w:p w14:paraId="4C964FA9" w14:textId="2E63C699"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Timothy B. Lee, “How Apple Became the World’s Most Valuable Company,” </w:t>
      </w:r>
      <w:r w:rsidRPr="00E40897">
        <w:rPr>
          <w:iCs/>
          <w:lang w:val="en-GB"/>
        </w:rPr>
        <w:t>Vox</w:t>
      </w:r>
      <w:r w:rsidRPr="00E40897">
        <w:rPr>
          <w:lang w:val="en-GB"/>
        </w:rPr>
        <w:t>, September 9, 2015, accessed July 7, 2020, https://www.vox.com/2014/11/17/18076360/apple.</w:t>
      </w:r>
    </w:p>
  </w:endnote>
  <w:endnote w:id="58">
    <w:p w14:paraId="3D7AD359" w14:textId="044F9A1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iCs/>
          <w:lang w:val="en-GB"/>
        </w:rPr>
        <w:t>Ibid.</w:t>
      </w:r>
    </w:p>
  </w:endnote>
  <w:endnote w:id="59">
    <w:p w14:paraId="2C0AC5B7" w14:textId="293A408E"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rStyle w:val="contentauthor--name"/>
          <w:color w:val="000000" w:themeColor="text1"/>
          <w:lang w:val="en-GB"/>
        </w:rPr>
        <w:t>H. Tankovska</w:t>
      </w:r>
      <w:r w:rsidRPr="00E40897">
        <w:rPr>
          <w:lang w:val="en-GB"/>
        </w:rPr>
        <w:t xml:space="preserve">, “Apple’s Revenue Worldwide 2004-2019,” </w:t>
      </w:r>
      <w:r w:rsidRPr="00E40897">
        <w:rPr>
          <w:iCs/>
          <w:lang w:val="en-GB"/>
        </w:rPr>
        <w:t>Statista</w:t>
      </w:r>
      <w:r w:rsidRPr="00E40897">
        <w:rPr>
          <w:lang w:val="en-GB"/>
        </w:rPr>
        <w:t>, June 27, 2020, accessed July 4, 2020, https://www.statista.com/statistics/265125/total-net-sales-of-apple-since-2004/.</w:t>
      </w:r>
    </w:p>
  </w:endnote>
  <w:endnote w:id="60">
    <w:p w14:paraId="344FC2CA" w14:textId="7CD6E1E1"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iCs/>
          <w:lang w:val="en-GB"/>
        </w:rPr>
        <w:t>Lee, op. cit.</w:t>
      </w:r>
    </w:p>
  </w:endnote>
  <w:endnote w:id="61">
    <w:p w14:paraId="72F099E5" w14:textId="5AA4752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Karen S. Freeman, “The Apple Watch Changed Everything We Think about Wearables in 2015,” </w:t>
      </w:r>
      <w:proofErr w:type="spellStart"/>
      <w:r w:rsidRPr="00E40897">
        <w:rPr>
          <w:iCs/>
          <w:lang w:val="en-GB"/>
        </w:rPr>
        <w:t>iMore</w:t>
      </w:r>
      <w:proofErr w:type="spellEnd"/>
      <w:r w:rsidRPr="00E40897">
        <w:rPr>
          <w:lang w:val="en-GB"/>
        </w:rPr>
        <w:t>, January 14, 2020, accessed July 7, 2020, https://www.imore.com/most-significant-apple-gadget-2015-apple-watch.</w:t>
      </w:r>
    </w:p>
  </w:endnote>
  <w:endnote w:id="62">
    <w:p w14:paraId="134CD038" w14:textId="722FB2FB"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Pigtou, “Apple Watch Research. How Fast Is Smartwatch Market </w:t>
      </w:r>
      <w:proofErr w:type="gramStart"/>
      <w:r w:rsidRPr="00E40897">
        <w:rPr>
          <w:lang w:val="en-GB"/>
        </w:rPr>
        <w:t>Growing?,</w:t>
      </w:r>
      <w:proofErr w:type="gramEnd"/>
      <w:r w:rsidRPr="00E40897">
        <w:rPr>
          <w:lang w:val="en-GB"/>
        </w:rPr>
        <w:t xml:space="preserve">” </w:t>
      </w:r>
      <w:proofErr w:type="spellStart"/>
      <w:r w:rsidRPr="00E40897">
        <w:rPr>
          <w:lang w:val="en-GB"/>
        </w:rPr>
        <w:t>Pigtou</w:t>
      </w:r>
      <w:proofErr w:type="spellEnd"/>
      <w:r w:rsidRPr="00E40897">
        <w:rPr>
          <w:lang w:val="en-GB"/>
        </w:rPr>
        <w:t>, January 19, 2020, accessed, July 7, 2020, https://pigtou.com/blogs/apple/apple-watch-alone-has-almost-reached-instagram-s-revenue-threshold-in-2019.</w:t>
      </w:r>
    </w:p>
  </w:endnote>
  <w:endnote w:id="63">
    <w:p w14:paraId="04DCA8B9" w14:textId="2AF2488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Wilde, op. cit.</w:t>
      </w:r>
    </w:p>
  </w:endnote>
  <w:endnote w:id="64">
    <w:p w14:paraId="20417369" w14:textId="31C3099E"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“Xiaomi Management,” Mi, accessed October 25, 2020, https://www.mi.com/mena/about/founder.</w:t>
      </w:r>
    </w:p>
  </w:endnote>
  <w:endnote w:id="65">
    <w:p w14:paraId="09F55173" w14:textId="2BD490D9"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Simon Montlake, “Xiaomi’s Lei Jun: China’s Answer to Steve </w:t>
      </w:r>
      <w:proofErr w:type="gramStart"/>
      <w:r w:rsidRPr="00E40897">
        <w:rPr>
          <w:lang w:val="en-GB"/>
        </w:rPr>
        <w:t>Jobs?,</w:t>
      </w:r>
      <w:proofErr w:type="gramEnd"/>
      <w:r w:rsidRPr="00E40897">
        <w:rPr>
          <w:lang w:val="en-GB"/>
        </w:rPr>
        <w:t xml:space="preserve">” </w:t>
      </w:r>
      <w:r w:rsidRPr="00E40897">
        <w:rPr>
          <w:i/>
          <w:iCs/>
          <w:lang w:val="en-GB"/>
        </w:rPr>
        <w:t>Forbes</w:t>
      </w:r>
      <w:r w:rsidRPr="00E40897">
        <w:rPr>
          <w:lang w:val="en-GB"/>
        </w:rPr>
        <w:t>, July 18, 2012, accessed July 7, 2020, https://www.forbes.com/sites/simonmontlake/2012/07/18/xiaomis-lei-jun-chinas-answer-to-steve-jobs/#1fbea19a2650.</w:t>
      </w:r>
    </w:p>
  </w:endnote>
  <w:endnote w:id="66">
    <w:p w14:paraId="23425523" w14:textId="0598ABB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Jonah Comstock, “Xiaomi Sold More Wearables This Quarter than Apple or Fitbit,” </w:t>
      </w:r>
      <w:r w:rsidRPr="00E40897">
        <w:rPr>
          <w:iCs/>
          <w:lang w:val="en-GB"/>
        </w:rPr>
        <w:t>MobiHealthNews</w:t>
      </w:r>
      <w:r w:rsidRPr="00E40897">
        <w:rPr>
          <w:lang w:val="en-GB"/>
        </w:rPr>
        <w:t>, August 4, 2017, accessed July 7, 2020, https://www.mobihealthnews.com/content/xiaomi-sold-more-wearables-quarter-apple-or-fitbit.</w:t>
      </w:r>
    </w:p>
  </w:endnote>
  <w:endnote w:id="67">
    <w:p w14:paraId="42C8E792" w14:textId="0A3A2E91"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John Kang, “Xiaomi Claimed </w:t>
      </w:r>
      <w:proofErr w:type="gramStart"/>
      <w:r w:rsidRPr="00E40897">
        <w:rPr>
          <w:lang w:val="en-GB"/>
        </w:rPr>
        <w:t>To</w:t>
      </w:r>
      <w:proofErr w:type="gramEnd"/>
      <w:r w:rsidRPr="00E40897">
        <w:rPr>
          <w:lang w:val="en-GB"/>
        </w:rPr>
        <w:t xml:space="preserve"> Be an ‘Internet Company’—But It’s Making More Gadgets than Ever,” </w:t>
      </w:r>
      <w:r w:rsidRPr="00E40897">
        <w:rPr>
          <w:i/>
          <w:iCs/>
          <w:lang w:val="en-GB"/>
        </w:rPr>
        <w:t>Forbes</w:t>
      </w:r>
      <w:r w:rsidRPr="00E40897">
        <w:rPr>
          <w:lang w:val="en-GB"/>
        </w:rPr>
        <w:t>, July 7, 2020, accessed April 18, 2021, https://www.forbes.com/sites/johnkang/2020/07/07/xiaomi-claimed-to-be-an-internet-company-but-its-making-more-gadgets-than-ever/#6c64574172e4.</w:t>
      </w:r>
    </w:p>
  </w:endnote>
  <w:endnote w:id="68">
    <w:p w14:paraId="3068AD4C" w14:textId="5B49023F"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Wilde, op. cit.</w:t>
      </w:r>
    </w:p>
  </w:endnote>
  <w:endnote w:id="69">
    <w:p w14:paraId="3ACD0D9C" w14:textId="7ABEAA7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Tarun Khanna, Jaeyong Song, and Lee Kyungmook, “The Globe: The Paradox of Samsung’s Rise,” </w:t>
      </w:r>
      <w:r w:rsidRPr="00E40897">
        <w:rPr>
          <w:i/>
          <w:iCs/>
          <w:lang w:val="en-GB"/>
        </w:rPr>
        <w:t>Harvard Business Review</w:t>
      </w:r>
      <w:r w:rsidRPr="00E40897">
        <w:rPr>
          <w:lang w:val="en-GB"/>
        </w:rPr>
        <w:t>, July 1, 2011. Available from Ivey Publishing, product no. R1107N.</w:t>
      </w:r>
    </w:p>
  </w:endnote>
  <w:endnote w:id="70">
    <w:p w14:paraId="678FDAB5" w14:textId="30980B7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Trefis Team, “Samsung’s New Smartwatch </w:t>
      </w:r>
      <w:proofErr w:type="spellStart"/>
      <w:r w:rsidRPr="00E40897">
        <w:rPr>
          <w:lang w:val="en-GB"/>
        </w:rPr>
        <w:t>Lineup</w:t>
      </w:r>
      <w:proofErr w:type="spellEnd"/>
      <w:r w:rsidRPr="00E40897">
        <w:rPr>
          <w:lang w:val="en-GB"/>
        </w:rPr>
        <w:t xml:space="preserve"> an Interesting Experiment, Not Much More," </w:t>
      </w:r>
      <w:r w:rsidRPr="00E40897">
        <w:rPr>
          <w:i/>
          <w:iCs/>
          <w:lang w:val="en-GB"/>
        </w:rPr>
        <w:t>Forbes</w:t>
      </w:r>
      <w:r w:rsidRPr="00E40897">
        <w:rPr>
          <w:lang w:val="en-GB"/>
        </w:rPr>
        <w:t>, April 4, 2014, accessed July 7, 2020, https://www.forbes.com/sites/greatspeculations/2014/04/04/samsungs-new-smartwatch-lineup-an-interesting-experiment-not-much-more/#751a5b3d30ff.</w:t>
      </w:r>
    </w:p>
  </w:endnote>
  <w:endnote w:id="71">
    <w:p w14:paraId="14C64512" w14:textId="6CF47B0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H. Tankovska, “Samsung: Annual Revenue 2005-2018,” </w:t>
      </w:r>
      <w:r w:rsidRPr="00E40897">
        <w:rPr>
          <w:iCs/>
          <w:lang w:val="en-GB"/>
        </w:rPr>
        <w:t>Statista</w:t>
      </w:r>
      <w:r w:rsidRPr="00E40897">
        <w:rPr>
          <w:lang w:val="en-GB"/>
        </w:rPr>
        <w:t>, September 9, 2020, accessed October 20, 2020, https://www.statista.com/statistics/236607/global-revenue-of-samsung-electronics-since-2005.</w:t>
      </w:r>
    </w:p>
  </w:endnote>
  <w:endnote w:id="72">
    <w:p w14:paraId="15548BEC" w14:textId="7A2098A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Wilde, op. cit.</w:t>
      </w:r>
    </w:p>
  </w:endnote>
  <w:endnote w:id="73">
    <w:p w14:paraId="6788A20A" w14:textId="4156E030"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Jonathan Weber, “Explainer: What is China’s Huawei Technologies and Why is It </w:t>
      </w:r>
      <w:proofErr w:type="gramStart"/>
      <w:r w:rsidRPr="00E40897">
        <w:rPr>
          <w:lang w:val="en-GB"/>
        </w:rPr>
        <w:t>Controversial?,</w:t>
      </w:r>
      <w:proofErr w:type="gramEnd"/>
      <w:r w:rsidRPr="00E40897">
        <w:rPr>
          <w:lang w:val="en-GB" w:bidi="hi-IN"/>
        </w:rPr>
        <w:t>” Reuters, December 6, 2018, accessed October 26, 2020,</w:t>
      </w:r>
      <w:r w:rsidRPr="00E40897">
        <w:rPr>
          <w:lang w:val="en-GB"/>
        </w:rPr>
        <w:t xml:space="preserve"> https://www.reuters.com/article/us-usa-china-huawei-explainer-idUSKBN1O5172.</w:t>
      </w:r>
    </w:p>
  </w:endnote>
  <w:endnote w:id="74">
    <w:p w14:paraId="7FBD5A82" w14:textId="1B0B748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Keith Johnson and Elias Groll, “The Improbable Rise of Huawei,” </w:t>
      </w:r>
      <w:r w:rsidRPr="00E40897">
        <w:rPr>
          <w:i/>
          <w:iCs/>
          <w:lang w:val="en-GB"/>
        </w:rPr>
        <w:t>Foreign Policy</w:t>
      </w:r>
      <w:r w:rsidRPr="00E40897">
        <w:rPr>
          <w:lang w:val="en-GB"/>
        </w:rPr>
        <w:t>, April 3, 2019, accessed July 7, 2020, https://foreignpolicy.com/2019/04/03/the-improbable-rise-of-huawei-5g-global-network-china/.</w:t>
      </w:r>
    </w:p>
  </w:endnote>
  <w:endnote w:id="75">
    <w:p w14:paraId="1E461741" w14:textId="77777777"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Staff, “Huawei Watch,” </w:t>
      </w:r>
      <w:r w:rsidRPr="00E40897">
        <w:rPr>
          <w:iCs/>
          <w:lang w:val="en-GB"/>
        </w:rPr>
        <w:t>Android Central</w:t>
      </w:r>
      <w:r w:rsidRPr="00E40897">
        <w:rPr>
          <w:lang w:val="en-GB"/>
        </w:rPr>
        <w:t>, January 6, 2016, accessed October 26, 2020, https://www.androidcentral.com/huawei-watch.</w:t>
      </w:r>
    </w:p>
  </w:endnote>
  <w:endnote w:id="76">
    <w:p w14:paraId="01F6CCFE" w14:textId="0414A0C4" w:rsidR="006A4508" w:rsidRPr="00E40897" w:rsidRDefault="006A4508" w:rsidP="00E40897">
      <w:pPr>
        <w:pStyle w:val="Footnote"/>
        <w:rPr>
          <w:i/>
          <w:lang w:val="en-GB"/>
        </w:rPr>
      </w:pPr>
      <w:r w:rsidRPr="00E40897">
        <w:rPr>
          <w:rStyle w:val="EndnoteReference"/>
          <w:color w:val="000000" w:themeColor="text1"/>
          <w:lang w:val="en-GB"/>
        </w:rPr>
        <w:endnoteRef/>
      </w:r>
      <w:r w:rsidRPr="00E40897">
        <w:rPr>
          <w:lang w:val="en-GB"/>
        </w:rPr>
        <w:t xml:space="preserve"> Jeet, “Huawei’s Wearable Arm Has Registered 100% Growth for Two Consecutive Years: Richard Yu,” Gizmochina, March 13, 2020, accessed July 7, 2020, https://www.gizmochina.com/2020/03/13/huawei-wearable-consistent-growth-for-2-years/.</w:t>
      </w:r>
    </w:p>
  </w:endnote>
  <w:endnote w:id="77">
    <w:p w14:paraId="7422DE79" w14:textId="7125315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Arjun Kharpal, “Huawei Says US Blacklisting Led to $12 Billion Revenue Shortfall in 2019 as Profit Growth Slowed,” CNBC, March 31, 2020, accessed September 8, 2020, https://www.cnbc.com/2020/03/31/huawei-2019-results-us-blacklist-led-to-12-billion-revenue-shortfall.html.</w:t>
      </w:r>
    </w:p>
  </w:endnote>
  <w:endnote w:id="78">
    <w:p w14:paraId="78BDBC9F" w14:textId="37190BC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Wilde, op. cit.</w:t>
      </w:r>
    </w:p>
  </w:endnote>
  <w:endnote w:id="79">
    <w:p w14:paraId="2111601D" w14:textId="24B1A1C0"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Forrester, “Google’s Acquisition of Fitbit Makes Sense for Both Companies — And the Wider Healthcare World,” </w:t>
      </w:r>
      <w:r w:rsidRPr="00E40897">
        <w:rPr>
          <w:i/>
          <w:lang w:val="en-GB"/>
        </w:rPr>
        <w:t>Forbes,</w:t>
      </w:r>
      <w:r w:rsidRPr="00E40897">
        <w:rPr>
          <w:lang w:val="en-GB"/>
        </w:rPr>
        <w:t xml:space="preserve"> November 8, 2019, accessed July 7, 2020, https://www.forbes.com/sites/forrester/2019/11/11/googles-acquisition-of-fitbit-makes-sense-for-both-companies--and-the-wider-healthcare-world/#32a80817225c.</w:t>
      </w:r>
    </w:p>
  </w:endnote>
  <w:endnote w:id="80">
    <w:p w14:paraId="32A0EBF0" w14:textId="7F9E59F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Davis, op. cit.</w:t>
      </w:r>
    </w:p>
  </w:endnote>
  <w:endnote w:id="81">
    <w:p w14:paraId="2C6A4542" w14:textId="78EF391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Aditya Saroha, “The Hindu Explains | The Three Recent Antitrust Cases Against Google,” </w:t>
      </w:r>
      <w:r w:rsidRPr="00E40897">
        <w:rPr>
          <w:i/>
          <w:lang w:val="en-GB"/>
        </w:rPr>
        <w:t>The Hindu</w:t>
      </w:r>
      <w:r w:rsidRPr="00E40897">
        <w:rPr>
          <w:lang w:val="en-GB"/>
        </w:rPr>
        <w:t>, December 21, 2020, accessed April 18, 2021, https://www.thehindu.com/sci-tech/technology/the-hindu-explains-the-three-recent-antitrust-cases-against-google/article33385507.ece.</w:t>
      </w:r>
    </w:p>
  </w:endnote>
  <w:endnote w:id="82">
    <w:p w14:paraId="03EFCE25" w14:textId="277AECF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Ibid.</w:t>
      </w:r>
    </w:p>
  </w:endnote>
  <w:endnote w:id="83">
    <w:p w14:paraId="21C41AC4" w14:textId="424A2B32"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Ibid.</w:t>
      </w:r>
    </w:p>
  </w:endnote>
  <w:endnote w:id="84">
    <w:p w14:paraId="7B4382F4" w14:textId="7CE8189D"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Richard Nieva, “Google’s Three Antitrust Battles: Here’s What You Need to Know,” CNET, December 22, 2020, accessed April 18, 2021, https://www.cnet.com/news/googles-three-antitrust-battles-heres-what-you-need-to-know-faq/.</w:t>
      </w:r>
    </w:p>
  </w:endnote>
  <w:endnote w:id="85">
    <w:p w14:paraId="6803BBDB" w14:textId="70A9C1C5"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Dale Smith, “Google Collects a Frightening Amount of Data about You. You Can Find and Delete It Now,” CNET, June 28, 2020, accessed April 18, 2021, https://www.cnet.com/how-to/google-collects-a-frightening-amount-of-data-about-you-you-can-find-and-delete-it-now/.</w:t>
      </w:r>
    </w:p>
  </w:endnote>
  <w:endnote w:id="86">
    <w:p w14:paraId="724AAC14" w14:textId="148178DC"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Yiftah Ben Aharon, “Small Wearable Devices May Lead to Big Health Care Savings,” STAT, September 21, 2017, accessed April 18, 2021, https://www.statnews.com/2017/06/07/wearable-devices-health-care-savings/.</w:t>
      </w:r>
    </w:p>
  </w:endnote>
  <w:endnote w:id="87">
    <w:p w14:paraId="35B86E35" w14:textId="40119683"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Ibid.</w:t>
      </w:r>
    </w:p>
  </w:endnote>
  <w:endnote w:id="88">
    <w:p w14:paraId="628820E4" w14:textId="79D8ABC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Austin, op. cit.</w:t>
      </w:r>
    </w:p>
  </w:endnote>
  <w:endnote w:id="89">
    <w:p w14:paraId="1B62A857" w14:textId="7D902D6B"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proofErr w:type="spellStart"/>
      <w:r w:rsidRPr="00E40897">
        <w:t>Ugalmule</w:t>
      </w:r>
      <w:proofErr w:type="spellEnd"/>
      <w:r w:rsidRPr="00E40897">
        <w:t xml:space="preserve"> and Swain, op. cit.</w:t>
      </w:r>
    </w:p>
  </w:endnote>
  <w:endnote w:id="90">
    <w:p w14:paraId="32E0DF75" w14:textId="1F2B7076"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Goode, op. cit.</w:t>
      </w:r>
    </w:p>
  </w:endnote>
  <w:endnote w:id="91">
    <w:p w14:paraId="77E95AC6" w14:textId="7A45C57B"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w:t>
      </w:r>
      <w:r w:rsidRPr="00E40897">
        <w:rPr>
          <w:iCs/>
          <w:lang w:val="en-GB"/>
        </w:rPr>
        <w:t>Adams, op. cit.</w:t>
      </w:r>
    </w:p>
  </w:endnote>
  <w:endnote w:id="92">
    <w:p w14:paraId="5E1E097B" w14:textId="23C90CC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Elias, op. cit. </w:t>
      </w:r>
    </w:p>
  </w:endnote>
  <w:endnote w:id="93">
    <w:p w14:paraId="23A4DDDF" w14:textId="504A48AA" w:rsidR="006A4508" w:rsidRPr="00E40897" w:rsidRDefault="006A4508" w:rsidP="00E40897">
      <w:pPr>
        <w:pStyle w:val="Footnote"/>
        <w:rPr>
          <w:lang w:val="en-GB"/>
        </w:rPr>
      </w:pPr>
      <w:r w:rsidRPr="00E40897">
        <w:rPr>
          <w:rStyle w:val="EndnoteReference"/>
          <w:color w:val="000000" w:themeColor="text1"/>
          <w:lang w:val="en-GB"/>
        </w:rPr>
        <w:endnoteRef/>
      </w:r>
      <w:r w:rsidRPr="00E40897">
        <w:rPr>
          <w:lang w:val="en-GB"/>
        </w:rPr>
        <w:t xml:space="preserve"> Goode, op. cit.</w:t>
      </w:r>
      <w:bookmarkStart w:id="3" w:name="_GoBack"/>
      <w:bookmarkEnd w:id="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E421E" w14:textId="77777777" w:rsidR="00C353ED" w:rsidRDefault="00C353ED" w:rsidP="00D75295">
      <w:r>
        <w:separator/>
      </w:r>
    </w:p>
  </w:footnote>
  <w:footnote w:type="continuationSeparator" w:id="0">
    <w:p w14:paraId="77CE5A58" w14:textId="77777777" w:rsidR="00C353ED" w:rsidRDefault="00C353E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88007E9" w:rsidR="00DE2A7C" w:rsidRPr="00C92CC4" w:rsidRDefault="00DE2A7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Pr="00207C50">
      <w:rPr>
        <w:rFonts w:ascii="Arial" w:hAnsi="Arial"/>
        <w:b/>
        <w:noProof/>
      </w:rPr>
      <w:fldChar w:fldCharType="begin"/>
    </w:r>
    <w:r w:rsidRPr="00207C50">
      <w:rPr>
        <w:rFonts w:ascii="Arial" w:hAnsi="Arial"/>
        <w:b/>
        <w:noProof/>
      </w:rPr>
      <w:instrText xml:space="preserve"> PAGE   \* MERGEFORMAT </w:instrText>
    </w:r>
    <w:r w:rsidRPr="00207C50">
      <w:rPr>
        <w:rFonts w:ascii="Arial" w:hAnsi="Arial"/>
        <w:b/>
        <w:noProof/>
      </w:rPr>
      <w:fldChar w:fldCharType="separate"/>
    </w:r>
    <w:r w:rsidRPr="00207C50">
      <w:rPr>
        <w:rFonts w:ascii="Arial" w:hAnsi="Arial"/>
        <w:b/>
        <w:noProof/>
      </w:rPr>
      <w:t>1</w:t>
    </w:r>
    <w:r w:rsidRPr="00207C50">
      <w:rPr>
        <w:rFonts w:ascii="Arial" w:hAnsi="Arial"/>
        <w:b/>
        <w:noProof/>
      </w:rPr>
      <w:fldChar w:fldCharType="end"/>
    </w:r>
    <w:r>
      <w:rPr>
        <w:rFonts w:ascii="Arial" w:hAnsi="Arial"/>
        <w:b/>
      </w:rPr>
      <w:tab/>
    </w:r>
    <w:r w:rsidR="0028637B">
      <w:rPr>
        <w:rFonts w:ascii="Arial" w:hAnsi="Arial"/>
        <w:b/>
      </w:rPr>
      <w:t>9B21M075</w:t>
    </w:r>
  </w:p>
  <w:p w14:paraId="2B53C0A0" w14:textId="77777777" w:rsidR="00DE2A7C" w:rsidRDefault="00DE2A7C" w:rsidP="00D13667">
    <w:pPr>
      <w:pStyle w:val="Header"/>
      <w:tabs>
        <w:tab w:val="clear" w:pos="4680"/>
      </w:tabs>
      <w:rPr>
        <w:sz w:val="18"/>
        <w:szCs w:val="18"/>
      </w:rPr>
    </w:pPr>
  </w:p>
  <w:p w14:paraId="47119730" w14:textId="77777777" w:rsidR="00DE2A7C" w:rsidRPr="00C92CC4" w:rsidRDefault="00DE2A7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829"/>
    <w:multiLevelType w:val="multilevel"/>
    <w:tmpl w:val="221A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15CBF"/>
    <w:multiLevelType w:val="hybridMultilevel"/>
    <w:tmpl w:val="3196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8A1F25"/>
    <w:multiLevelType w:val="multilevel"/>
    <w:tmpl w:val="023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817D9A"/>
    <w:multiLevelType w:val="hybridMultilevel"/>
    <w:tmpl w:val="B9CC3F12"/>
    <w:lvl w:ilvl="0" w:tplc="27D6B7C0">
      <w:start w:val="1"/>
      <w:numFmt w:val="decimal"/>
      <w:lvlText w:val="%1."/>
      <w:lvlJc w:val="left"/>
      <w:pPr>
        <w:ind w:left="450" w:hanging="360"/>
      </w:pPr>
      <w:rPr>
        <w:b w:val="0"/>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6"/>
  </w:num>
  <w:num w:numId="6">
    <w:abstractNumId w:val="11"/>
  </w:num>
  <w:num w:numId="7">
    <w:abstractNumId w:val="2"/>
  </w:num>
  <w:num w:numId="8">
    <w:abstractNumId w:val="15"/>
  </w:num>
  <w:num w:numId="9">
    <w:abstractNumId w:val="12"/>
  </w:num>
  <w:num w:numId="10">
    <w:abstractNumId w:val="3"/>
  </w:num>
  <w:num w:numId="11">
    <w:abstractNumId w:val="9"/>
  </w:num>
  <w:num w:numId="12">
    <w:abstractNumId w:val="10"/>
  </w:num>
  <w:num w:numId="13">
    <w:abstractNumId w:val="5"/>
  </w:num>
  <w:num w:numId="14">
    <w:abstractNumId w:val="1"/>
  </w:num>
  <w:num w:numId="15">
    <w:abstractNumId w:val="7"/>
  </w:num>
  <w:num w:numId="1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77B"/>
    <w:rsid w:val="000049E8"/>
    <w:rsid w:val="00004CCA"/>
    <w:rsid w:val="000053F3"/>
    <w:rsid w:val="000059D9"/>
    <w:rsid w:val="00010EA0"/>
    <w:rsid w:val="00011305"/>
    <w:rsid w:val="00013360"/>
    <w:rsid w:val="00014EEA"/>
    <w:rsid w:val="0001619E"/>
    <w:rsid w:val="00016759"/>
    <w:rsid w:val="00017E4F"/>
    <w:rsid w:val="00020DFC"/>
    <w:rsid w:val="000216CE"/>
    <w:rsid w:val="00023FA8"/>
    <w:rsid w:val="00024ED4"/>
    <w:rsid w:val="00025DC7"/>
    <w:rsid w:val="000267EC"/>
    <w:rsid w:val="000279CD"/>
    <w:rsid w:val="0003473C"/>
    <w:rsid w:val="00035F09"/>
    <w:rsid w:val="00040AFA"/>
    <w:rsid w:val="00044ECC"/>
    <w:rsid w:val="00045390"/>
    <w:rsid w:val="00051D8C"/>
    <w:rsid w:val="000531D3"/>
    <w:rsid w:val="00053466"/>
    <w:rsid w:val="0005646B"/>
    <w:rsid w:val="0005666E"/>
    <w:rsid w:val="0006106A"/>
    <w:rsid w:val="000615D1"/>
    <w:rsid w:val="00062D32"/>
    <w:rsid w:val="00063A29"/>
    <w:rsid w:val="00064F0A"/>
    <w:rsid w:val="00065E9E"/>
    <w:rsid w:val="00071DD1"/>
    <w:rsid w:val="0008102D"/>
    <w:rsid w:val="000810FF"/>
    <w:rsid w:val="0008167D"/>
    <w:rsid w:val="0008510F"/>
    <w:rsid w:val="000864BE"/>
    <w:rsid w:val="00086B26"/>
    <w:rsid w:val="0008707C"/>
    <w:rsid w:val="00090E25"/>
    <w:rsid w:val="000923C8"/>
    <w:rsid w:val="000935EF"/>
    <w:rsid w:val="00094926"/>
    <w:rsid w:val="00094C0E"/>
    <w:rsid w:val="000966E9"/>
    <w:rsid w:val="000972A9"/>
    <w:rsid w:val="000A04AC"/>
    <w:rsid w:val="000A146D"/>
    <w:rsid w:val="000A51BC"/>
    <w:rsid w:val="000B042E"/>
    <w:rsid w:val="000B12C3"/>
    <w:rsid w:val="000B1EBF"/>
    <w:rsid w:val="000B2C57"/>
    <w:rsid w:val="000B3E52"/>
    <w:rsid w:val="000B4593"/>
    <w:rsid w:val="000B6256"/>
    <w:rsid w:val="000C5C0E"/>
    <w:rsid w:val="000D2A2F"/>
    <w:rsid w:val="000D7091"/>
    <w:rsid w:val="000D759E"/>
    <w:rsid w:val="000D7F6D"/>
    <w:rsid w:val="000E4E38"/>
    <w:rsid w:val="000F0C22"/>
    <w:rsid w:val="000F10DA"/>
    <w:rsid w:val="000F167E"/>
    <w:rsid w:val="000F3C92"/>
    <w:rsid w:val="000F514F"/>
    <w:rsid w:val="000F581E"/>
    <w:rsid w:val="000F6B09"/>
    <w:rsid w:val="000F6FDC"/>
    <w:rsid w:val="000F73C2"/>
    <w:rsid w:val="001027CB"/>
    <w:rsid w:val="00104567"/>
    <w:rsid w:val="00104916"/>
    <w:rsid w:val="00104AA7"/>
    <w:rsid w:val="00104BCF"/>
    <w:rsid w:val="00105B7C"/>
    <w:rsid w:val="00105DA7"/>
    <w:rsid w:val="0010674D"/>
    <w:rsid w:val="00113638"/>
    <w:rsid w:val="001147F3"/>
    <w:rsid w:val="00115584"/>
    <w:rsid w:val="00116ED6"/>
    <w:rsid w:val="0011716C"/>
    <w:rsid w:val="00125970"/>
    <w:rsid w:val="0012732D"/>
    <w:rsid w:val="0013256F"/>
    <w:rsid w:val="00132743"/>
    <w:rsid w:val="00134DCC"/>
    <w:rsid w:val="001352C4"/>
    <w:rsid w:val="00136568"/>
    <w:rsid w:val="001402AB"/>
    <w:rsid w:val="00140539"/>
    <w:rsid w:val="00143F25"/>
    <w:rsid w:val="001448A5"/>
    <w:rsid w:val="00145582"/>
    <w:rsid w:val="00152682"/>
    <w:rsid w:val="00152E1B"/>
    <w:rsid w:val="001533F8"/>
    <w:rsid w:val="001541AB"/>
    <w:rsid w:val="00154FC9"/>
    <w:rsid w:val="0015547A"/>
    <w:rsid w:val="00155D0D"/>
    <w:rsid w:val="00156385"/>
    <w:rsid w:val="00161F88"/>
    <w:rsid w:val="00164B26"/>
    <w:rsid w:val="0017007E"/>
    <w:rsid w:val="00180D4B"/>
    <w:rsid w:val="00181799"/>
    <w:rsid w:val="001821C1"/>
    <w:rsid w:val="001835D2"/>
    <w:rsid w:val="00187194"/>
    <w:rsid w:val="001872BC"/>
    <w:rsid w:val="001901C0"/>
    <w:rsid w:val="0019241A"/>
    <w:rsid w:val="00192A18"/>
    <w:rsid w:val="00194EF0"/>
    <w:rsid w:val="00196055"/>
    <w:rsid w:val="001A22D1"/>
    <w:rsid w:val="001A28FC"/>
    <w:rsid w:val="001A49FE"/>
    <w:rsid w:val="001A4DD5"/>
    <w:rsid w:val="001A6AA0"/>
    <w:rsid w:val="001A752D"/>
    <w:rsid w:val="001A757E"/>
    <w:rsid w:val="001A75C2"/>
    <w:rsid w:val="001B10AC"/>
    <w:rsid w:val="001B1302"/>
    <w:rsid w:val="001B21C4"/>
    <w:rsid w:val="001B3538"/>
    <w:rsid w:val="001B35FA"/>
    <w:rsid w:val="001B3810"/>
    <w:rsid w:val="001B458B"/>
    <w:rsid w:val="001B5032"/>
    <w:rsid w:val="001B662C"/>
    <w:rsid w:val="001B6FC7"/>
    <w:rsid w:val="001B7ACF"/>
    <w:rsid w:val="001C2D6D"/>
    <w:rsid w:val="001C2E8D"/>
    <w:rsid w:val="001C31B6"/>
    <w:rsid w:val="001C39D4"/>
    <w:rsid w:val="001C5AFC"/>
    <w:rsid w:val="001C672B"/>
    <w:rsid w:val="001C73EF"/>
    <w:rsid w:val="001C7777"/>
    <w:rsid w:val="001D32B5"/>
    <w:rsid w:val="001D344B"/>
    <w:rsid w:val="001D5448"/>
    <w:rsid w:val="001D5C43"/>
    <w:rsid w:val="001D69DE"/>
    <w:rsid w:val="001E13E3"/>
    <w:rsid w:val="001E364F"/>
    <w:rsid w:val="001E3F93"/>
    <w:rsid w:val="001E434B"/>
    <w:rsid w:val="001E724D"/>
    <w:rsid w:val="001F0CEA"/>
    <w:rsid w:val="001F4222"/>
    <w:rsid w:val="001F6256"/>
    <w:rsid w:val="001F776B"/>
    <w:rsid w:val="0020326B"/>
    <w:rsid w:val="00203AA1"/>
    <w:rsid w:val="002058D8"/>
    <w:rsid w:val="00205921"/>
    <w:rsid w:val="00207C50"/>
    <w:rsid w:val="00213E98"/>
    <w:rsid w:val="002144E9"/>
    <w:rsid w:val="002154EA"/>
    <w:rsid w:val="0022007B"/>
    <w:rsid w:val="00221126"/>
    <w:rsid w:val="0022220E"/>
    <w:rsid w:val="00222829"/>
    <w:rsid w:val="00226F13"/>
    <w:rsid w:val="00227299"/>
    <w:rsid w:val="00230150"/>
    <w:rsid w:val="0023081A"/>
    <w:rsid w:val="00232025"/>
    <w:rsid w:val="0023281E"/>
    <w:rsid w:val="00233111"/>
    <w:rsid w:val="0023642A"/>
    <w:rsid w:val="00241C57"/>
    <w:rsid w:val="00244294"/>
    <w:rsid w:val="00254A04"/>
    <w:rsid w:val="00260181"/>
    <w:rsid w:val="002621C1"/>
    <w:rsid w:val="00265985"/>
    <w:rsid w:val="00265FA8"/>
    <w:rsid w:val="00266736"/>
    <w:rsid w:val="00266738"/>
    <w:rsid w:val="00266A69"/>
    <w:rsid w:val="00270A2D"/>
    <w:rsid w:val="00272D21"/>
    <w:rsid w:val="00272E1C"/>
    <w:rsid w:val="002731D9"/>
    <w:rsid w:val="002735CC"/>
    <w:rsid w:val="0027432D"/>
    <w:rsid w:val="00284027"/>
    <w:rsid w:val="0028637B"/>
    <w:rsid w:val="002919F8"/>
    <w:rsid w:val="002938A4"/>
    <w:rsid w:val="0029413A"/>
    <w:rsid w:val="00295D52"/>
    <w:rsid w:val="00296399"/>
    <w:rsid w:val="002A038F"/>
    <w:rsid w:val="002A1C07"/>
    <w:rsid w:val="002A21CD"/>
    <w:rsid w:val="002A308A"/>
    <w:rsid w:val="002A4F93"/>
    <w:rsid w:val="002A7AC9"/>
    <w:rsid w:val="002B40FF"/>
    <w:rsid w:val="002B4874"/>
    <w:rsid w:val="002C4E29"/>
    <w:rsid w:val="002C4EB7"/>
    <w:rsid w:val="002C5B8D"/>
    <w:rsid w:val="002C7FEB"/>
    <w:rsid w:val="002D1300"/>
    <w:rsid w:val="002D3D07"/>
    <w:rsid w:val="002D5049"/>
    <w:rsid w:val="002D5989"/>
    <w:rsid w:val="002E01AF"/>
    <w:rsid w:val="002E1971"/>
    <w:rsid w:val="002E722F"/>
    <w:rsid w:val="002E760A"/>
    <w:rsid w:val="002F2F8D"/>
    <w:rsid w:val="002F3090"/>
    <w:rsid w:val="002F35B5"/>
    <w:rsid w:val="002F460C"/>
    <w:rsid w:val="002F48D6"/>
    <w:rsid w:val="0030045F"/>
    <w:rsid w:val="00301720"/>
    <w:rsid w:val="00307D21"/>
    <w:rsid w:val="0031131D"/>
    <w:rsid w:val="0031359A"/>
    <w:rsid w:val="003159AB"/>
    <w:rsid w:val="00316B57"/>
    <w:rsid w:val="00316B58"/>
    <w:rsid w:val="00317391"/>
    <w:rsid w:val="0032345B"/>
    <w:rsid w:val="003242BF"/>
    <w:rsid w:val="00326216"/>
    <w:rsid w:val="003316FE"/>
    <w:rsid w:val="00332C87"/>
    <w:rsid w:val="00334208"/>
    <w:rsid w:val="00335E18"/>
    <w:rsid w:val="00336580"/>
    <w:rsid w:val="0034263C"/>
    <w:rsid w:val="003434D5"/>
    <w:rsid w:val="00344D83"/>
    <w:rsid w:val="0034549A"/>
    <w:rsid w:val="00347A38"/>
    <w:rsid w:val="00351188"/>
    <w:rsid w:val="0035288A"/>
    <w:rsid w:val="00353254"/>
    <w:rsid w:val="00354899"/>
    <w:rsid w:val="00354EC9"/>
    <w:rsid w:val="003555FC"/>
    <w:rsid w:val="00355FD6"/>
    <w:rsid w:val="00357812"/>
    <w:rsid w:val="00360B59"/>
    <w:rsid w:val="00360C7B"/>
    <w:rsid w:val="00364A5C"/>
    <w:rsid w:val="00366885"/>
    <w:rsid w:val="003720B8"/>
    <w:rsid w:val="00373FB1"/>
    <w:rsid w:val="00375066"/>
    <w:rsid w:val="0038282A"/>
    <w:rsid w:val="0038383D"/>
    <w:rsid w:val="00385230"/>
    <w:rsid w:val="00385EA6"/>
    <w:rsid w:val="00395BF9"/>
    <w:rsid w:val="0039664C"/>
    <w:rsid w:val="003968E8"/>
    <w:rsid w:val="00396921"/>
    <w:rsid w:val="00396C76"/>
    <w:rsid w:val="003A09C4"/>
    <w:rsid w:val="003A1093"/>
    <w:rsid w:val="003A4B8B"/>
    <w:rsid w:val="003A6325"/>
    <w:rsid w:val="003A6943"/>
    <w:rsid w:val="003A6C30"/>
    <w:rsid w:val="003B26DB"/>
    <w:rsid w:val="003B30D8"/>
    <w:rsid w:val="003B75EE"/>
    <w:rsid w:val="003B7EF2"/>
    <w:rsid w:val="003C346C"/>
    <w:rsid w:val="003C3FA4"/>
    <w:rsid w:val="003C6636"/>
    <w:rsid w:val="003C73E7"/>
    <w:rsid w:val="003C7E87"/>
    <w:rsid w:val="003D0BA1"/>
    <w:rsid w:val="003D0C7F"/>
    <w:rsid w:val="003D22D3"/>
    <w:rsid w:val="003D2D79"/>
    <w:rsid w:val="003D3567"/>
    <w:rsid w:val="003D40AC"/>
    <w:rsid w:val="003D4BA0"/>
    <w:rsid w:val="003E284C"/>
    <w:rsid w:val="003E39F8"/>
    <w:rsid w:val="003E6DD6"/>
    <w:rsid w:val="003F2B0C"/>
    <w:rsid w:val="003F3B42"/>
    <w:rsid w:val="003F781D"/>
    <w:rsid w:val="0040359C"/>
    <w:rsid w:val="00403CC9"/>
    <w:rsid w:val="0040551E"/>
    <w:rsid w:val="00405650"/>
    <w:rsid w:val="0040588A"/>
    <w:rsid w:val="00407BAB"/>
    <w:rsid w:val="004105B2"/>
    <w:rsid w:val="0041145A"/>
    <w:rsid w:val="00411872"/>
    <w:rsid w:val="00412900"/>
    <w:rsid w:val="00413342"/>
    <w:rsid w:val="00413605"/>
    <w:rsid w:val="00416DE9"/>
    <w:rsid w:val="00420567"/>
    <w:rsid w:val="004221E4"/>
    <w:rsid w:val="00423B91"/>
    <w:rsid w:val="004273F8"/>
    <w:rsid w:val="0043052B"/>
    <w:rsid w:val="00432C03"/>
    <w:rsid w:val="004355A3"/>
    <w:rsid w:val="00435E0D"/>
    <w:rsid w:val="00444F71"/>
    <w:rsid w:val="00446546"/>
    <w:rsid w:val="00452269"/>
    <w:rsid w:val="00452769"/>
    <w:rsid w:val="00452903"/>
    <w:rsid w:val="004545E6"/>
    <w:rsid w:val="00454950"/>
    <w:rsid w:val="00454F1D"/>
    <w:rsid w:val="00454FA7"/>
    <w:rsid w:val="00456028"/>
    <w:rsid w:val="004575CA"/>
    <w:rsid w:val="00460734"/>
    <w:rsid w:val="00460D9C"/>
    <w:rsid w:val="00461CDE"/>
    <w:rsid w:val="00461E41"/>
    <w:rsid w:val="00464853"/>
    <w:rsid w:val="00465348"/>
    <w:rsid w:val="00465476"/>
    <w:rsid w:val="0046727E"/>
    <w:rsid w:val="0046743B"/>
    <w:rsid w:val="00470E7F"/>
    <w:rsid w:val="00476844"/>
    <w:rsid w:val="004776CD"/>
    <w:rsid w:val="00477B9F"/>
    <w:rsid w:val="00480B0D"/>
    <w:rsid w:val="00481CDB"/>
    <w:rsid w:val="00482F58"/>
    <w:rsid w:val="004837DD"/>
    <w:rsid w:val="00485707"/>
    <w:rsid w:val="00485903"/>
    <w:rsid w:val="00485B52"/>
    <w:rsid w:val="004861C4"/>
    <w:rsid w:val="00491CBF"/>
    <w:rsid w:val="004979A5"/>
    <w:rsid w:val="004A25E0"/>
    <w:rsid w:val="004A7682"/>
    <w:rsid w:val="004A7DE6"/>
    <w:rsid w:val="004B11FE"/>
    <w:rsid w:val="004B1A99"/>
    <w:rsid w:val="004B1CCB"/>
    <w:rsid w:val="004B47A0"/>
    <w:rsid w:val="004B4ACD"/>
    <w:rsid w:val="004B632F"/>
    <w:rsid w:val="004C0D5B"/>
    <w:rsid w:val="004D0F50"/>
    <w:rsid w:val="004D3FB1"/>
    <w:rsid w:val="004D4877"/>
    <w:rsid w:val="004D49CC"/>
    <w:rsid w:val="004D4C8D"/>
    <w:rsid w:val="004D5254"/>
    <w:rsid w:val="004D6F21"/>
    <w:rsid w:val="004D6F64"/>
    <w:rsid w:val="004D73A5"/>
    <w:rsid w:val="004E0773"/>
    <w:rsid w:val="004E1803"/>
    <w:rsid w:val="004E2393"/>
    <w:rsid w:val="004E45DC"/>
    <w:rsid w:val="004F0E87"/>
    <w:rsid w:val="004F18FC"/>
    <w:rsid w:val="004F2D11"/>
    <w:rsid w:val="004F3A82"/>
    <w:rsid w:val="004F3B86"/>
    <w:rsid w:val="004F5587"/>
    <w:rsid w:val="004F7557"/>
    <w:rsid w:val="00502286"/>
    <w:rsid w:val="00510AA4"/>
    <w:rsid w:val="005128C1"/>
    <w:rsid w:val="005130C4"/>
    <w:rsid w:val="0051566A"/>
    <w:rsid w:val="005160F1"/>
    <w:rsid w:val="00520922"/>
    <w:rsid w:val="00524F2F"/>
    <w:rsid w:val="00527E2A"/>
    <w:rsid w:val="00527E5C"/>
    <w:rsid w:val="00530EFD"/>
    <w:rsid w:val="005317CE"/>
    <w:rsid w:val="00531824"/>
    <w:rsid w:val="0053245A"/>
    <w:rsid w:val="00532B07"/>
    <w:rsid w:val="00532CF5"/>
    <w:rsid w:val="00533E49"/>
    <w:rsid w:val="00534543"/>
    <w:rsid w:val="00535490"/>
    <w:rsid w:val="005366C0"/>
    <w:rsid w:val="00542EED"/>
    <w:rsid w:val="00543A59"/>
    <w:rsid w:val="00544096"/>
    <w:rsid w:val="005471BE"/>
    <w:rsid w:val="005476F9"/>
    <w:rsid w:val="00551147"/>
    <w:rsid w:val="0055189A"/>
    <w:rsid w:val="0055228C"/>
    <w:rsid w:val="005528CB"/>
    <w:rsid w:val="005540F9"/>
    <w:rsid w:val="005543CA"/>
    <w:rsid w:val="00560608"/>
    <w:rsid w:val="005648C6"/>
    <w:rsid w:val="00566771"/>
    <w:rsid w:val="005725F3"/>
    <w:rsid w:val="00573E66"/>
    <w:rsid w:val="00581E2E"/>
    <w:rsid w:val="005840CF"/>
    <w:rsid w:val="005843A1"/>
    <w:rsid w:val="00584F15"/>
    <w:rsid w:val="00587C48"/>
    <w:rsid w:val="00587D52"/>
    <w:rsid w:val="0059185E"/>
    <w:rsid w:val="00592DFD"/>
    <w:rsid w:val="0059514B"/>
    <w:rsid w:val="00596AE2"/>
    <w:rsid w:val="00596B50"/>
    <w:rsid w:val="005A1B0F"/>
    <w:rsid w:val="005A2440"/>
    <w:rsid w:val="005A28CF"/>
    <w:rsid w:val="005A2B21"/>
    <w:rsid w:val="005A3C3E"/>
    <w:rsid w:val="005A5192"/>
    <w:rsid w:val="005A7D72"/>
    <w:rsid w:val="005B2632"/>
    <w:rsid w:val="005B4CE6"/>
    <w:rsid w:val="005B5EFE"/>
    <w:rsid w:val="005B766C"/>
    <w:rsid w:val="005D42B7"/>
    <w:rsid w:val="005D4524"/>
    <w:rsid w:val="005D4D41"/>
    <w:rsid w:val="005D5493"/>
    <w:rsid w:val="005D63F3"/>
    <w:rsid w:val="005E0A5C"/>
    <w:rsid w:val="005E164A"/>
    <w:rsid w:val="005E26ED"/>
    <w:rsid w:val="005E3940"/>
    <w:rsid w:val="005E3E7F"/>
    <w:rsid w:val="005E581E"/>
    <w:rsid w:val="005F0B61"/>
    <w:rsid w:val="005F20F4"/>
    <w:rsid w:val="0060570A"/>
    <w:rsid w:val="006069F8"/>
    <w:rsid w:val="006074ED"/>
    <w:rsid w:val="006108AC"/>
    <w:rsid w:val="00610F4F"/>
    <w:rsid w:val="00612143"/>
    <w:rsid w:val="00612FAA"/>
    <w:rsid w:val="006149E9"/>
    <w:rsid w:val="006154EF"/>
    <w:rsid w:val="006163F7"/>
    <w:rsid w:val="00620495"/>
    <w:rsid w:val="006220BF"/>
    <w:rsid w:val="00624F27"/>
    <w:rsid w:val="00626F6C"/>
    <w:rsid w:val="00627C63"/>
    <w:rsid w:val="006306D1"/>
    <w:rsid w:val="00631962"/>
    <w:rsid w:val="0063350B"/>
    <w:rsid w:val="00641868"/>
    <w:rsid w:val="00642BD1"/>
    <w:rsid w:val="006467AE"/>
    <w:rsid w:val="006506A9"/>
    <w:rsid w:val="00651338"/>
    <w:rsid w:val="00651553"/>
    <w:rsid w:val="00652606"/>
    <w:rsid w:val="00657398"/>
    <w:rsid w:val="00657D80"/>
    <w:rsid w:val="00663A8B"/>
    <w:rsid w:val="00664EC2"/>
    <w:rsid w:val="006660D9"/>
    <w:rsid w:val="00666A56"/>
    <w:rsid w:val="00670315"/>
    <w:rsid w:val="006709DB"/>
    <w:rsid w:val="0067542B"/>
    <w:rsid w:val="00676784"/>
    <w:rsid w:val="00677C4A"/>
    <w:rsid w:val="00677E2D"/>
    <w:rsid w:val="00681A55"/>
    <w:rsid w:val="00683C96"/>
    <w:rsid w:val="00690071"/>
    <w:rsid w:val="00691BD9"/>
    <w:rsid w:val="006936D2"/>
    <w:rsid w:val="006946EE"/>
    <w:rsid w:val="006A1DC4"/>
    <w:rsid w:val="006A2EBB"/>
    <w:rsid w:val="006A3820"/>
    <w:rsid w:val="006A3E5F"/>
    <w:rsid w:val="006A4508"/>
    <w:rsid w:val="006A506A"/>
    <w:rsid w:val="006A58A9"/>
    <w:rsid w:val="006A606D"/>
    <w:rsid w:val="006B110E"/>
    <w:rsid w:val="006B2FDD"/>
    <w:rsid w:val="006B60DC"/>
    <w:rsid w:val="006C0371"/>
    <w:rsid w:val="006C08B6"/>
    <w:rsid w:val="006C0B1A"/>
    <w:rsid w:val="006C4A51"/>
    <w:rsid w:val="006C6065"/>
    <w:rsid w:val="006C765E"/>
    <w:rsid w:val="006C7F9F"/>
    <w:rsid w:val="006D1BAD"/>
    <w:rsid w:val="006D3E5F"/>
    <w:rsid w:val="006D4C41"/>
    <w:rsid w:val="006D58AA"/>
    <w:rsid w:val="006E2DCA"/>
    <w:rsid w:val="006E2F6D"/>
    <w:rsid w:val="006E41AC"/>
    <w:rsid w:val="006E58F6"/>
    <w:rsid w:val="006E77E1"/>
    <w:rsid w:val="006F04DC"/>
    <w:rsid w:val="006F131D"/>
    <w:rsid w:val="006F1427"/>
    <w:rsid w:val="006F6726"/>
    <w:rsid w:val="006F7F46"/>
    <w:rsid w:val="0070070D"/>
    <w:rsid w:val="00701061"/>
    <w:rsid w:val="00703E2A"/>
    <w:rsid w:val="0070628E"/>
    <w:rsid w:val="00711642"/>
    <w:rsid w:val="00711BC3"/>
    <w:rsid w:val="007137AD"/>
    <w:rsid w:val="00714624"/>
    <w:rsid w:val="00716C06"/>
    <w:rsid w:val="0072171C"/>
    <w:rsid w:val="007229B9"/>
    <w:rsid w:val="00725308"/>
    <w:rsid w:val="00726FB0"/>
    <w:rsid w:val="00727A16"/>
    <w:rsid w:val="00731815"/>
    <w:rsid w:val="0073473B"/>
    <w:rsid w:val="00737720"/>
    <w:rsid w:val="00740FB2"/>
    <w:rsid w:val="00741109"/>
    <w:rsid w:val="0074449B"/>
    <w:rsid w:val="00745E55"/>
    <w:rsid w:val="007507C6"/>
    <w:rsid w:val="00751E0B"/>
    <w:rsid w:val="00752BCD"/>
    <w:rsid w:val="00753D99"/>
    <w:rsid w:val="00754C5A"/>
    <w:rsid w:val="00754CBA"/>
    <w:rsid w:val="00756C20"/>
    <w:rsid w:val="00761458"/>
    <w:rsid w:val="00764F80"/>
    <w:rsid w:val="007661F9"/>
    <w:rsid w:val="00766DA1"/>
    <w:rsid w:val="00772365"/>
    <w:rsid w:val="007760C2"/>
    <w:rsid w:val="00777A3F"/>
    <w:rsid w:val="00780D94"/>
    <w:rsid w:val="00782D9B"/>
    <w:rsid w:val="00783596"/>
    <w:rsid w:val="00785FBA"/>
    <w:rsid w:val="007866A6"/>
    <w:rsid w:val="00795066"/>
    <w:rsid w:val="00796529"/>
    <w:rsid w:val="007A0453"/>
    <w:rsid w:val="007A130D"/>
    <w:rsid w:val="007A59BD"/>
    <w:rsid w:val="007A5B4E"/>
    <w:rsid w:val="007B2F1E"/>
    <w:rsid w:val="007B3DDC"/>
    <w:rsid w:val="007B5252"/>
    <w:rsid w:val="007B5B51"/>
    <w:rsid w:val="007C3631"/>
    <w:rsid w:val="007C7B05"/>
    <w:rsid w:val="007D1A2D"/>
    <w:rsid w:val="007D32E6"/>
    <w:rsid w:val="007D4102"/>
    <w:rsid w:val="007D5D5F"/>
    <w:rsid w:val="007D6EF4"/>
    <w:rsid w:val="007E195F"/>
    <w:rsid w:val="007E5380"/>
    <w:rsid w:val="007E54A7"/>
    <w:rsid w:val="007F3939"/>
    <w:rsid w:val="007F43B7"/>
    <w:rsid w:val="007F4881"/>
    <w:rsid w:val="007F67DC"/>
    <w:rsid w:val="00801223"/>
    <w:rsid w:val="00805F2F"/>
    <w:rsid w:val="0081110A"/>
    <w:rsid w:val="00813149"/>
    <w:rsid w:val="008147E2"/>
    <w:rsid w:val="00816A76"/>
    <w:rsid w:val="008207AA"/>
    <w:rsid w:val="00821FFC"/>
    <w:rsid w:val="0082211D"/>
    <w:rsid w:val="00823150"/>
    <w:rsid w:val="0082653B"/>
    <w:rsid w:val="008271CA"/>
    <w:rsid w:val="0082728F"/>
    <w:rsid w:val="00831524"/>
    <w:rsid w:val="00835818"/>
    <w:rsid w:val="00835DAF"/>
    <w:rsid w:val="00837B64"/>
    <w:rsid w:val="0084280E"/>
    <w:rsid w:val="0084633E"/>
    <w:rsid w:val="008467D5"/>
    <w:rsid w:val="00854AD6"/>
    <w:rsid w:val="008642D1"/>
    <w:rsid w:val="00867388"/>
    <w:rsid w:val="008707E6"/>
    <w:rsid w:val="008717C3"/>
    <w:rsid w:val="00893FB2"/>
    <w:rsid w:val="00895735"/>
    <w:rsid w:val="00895970"/>
    <w:rsid w:val="00896D28"/>
    <w:rsid w:val="008A0345"/>
    <w:rsid w:val="008A174F"/>
    <w:rsid w:val="008A230E"/>
    <w:rsid w:val="008A305C"/>
    <w:rsid w:val="008A33DE"/>
    <w:rsid w:val="008A34F7"/>
    <w:rsid w:val="008A4DC4"/>
    <w:rsid w:val="008B3697"/>
    <w:rsid w:val="008B438C"/>
    <w:rsid w:val="008B5D04"/>
    <w:rsid w:val="008C0A23"/>
    <w:rsid w:val="008C0B9E"/>
    <w:rsid w:val="008C5479"/>
    <w:rsid w:val="008D0641"/>
    <w:rsid w:val="008D06CA"/>
    <w:rsid w:val="008D1D57"/>
    <w:rsid w:val="008D3A46"/>
    <w:rsid w:val="008D4A49"/>
    <w:rsid w:val="008D6408"/>
    <w:rsid w:val="008E1EFE"/>
    <w:rsid w:val="008E490A"/>
    <w:rsid w:val="008F2385"/>
    <w:rsid w:val="008F6A93"/>
    <w:rsid w:val="008F74C3"/>
    <w:rsid w:val="008F7EA0"/>
    <w:rsid w:val="00902362"/>
    <w:rsid w:val="00903C39"/>
    <w:rsid w:val="0090455B"/>
    <w:rsid w:val="009050A8"/>
    <w:rsid w:val="00905F53"/>
    <w:rsid w:val="009067A4"/>
    <w:rsid w:val="009072A2"/>
    <w:rsid w:val="00913ECD"/>
    <w:rsid w:val="0091530A"/>
    <w:rsid w:val="009175AD"/>
    <w:rsid w:val="00917F45"/>
    <w:rsid w:val="009202EB"/>
    <w:rsid w:val="0092497B"/>
    <w:rsid w:val="00924AD7"/>
    <w:rsid w:val="009251C7"/>
    <w:rsid w:val="00925787"/>
    <w:rsid w:val="00926CE7"/>
    <w:rsid w:val="00930549"/>
    <w:rsid w:val="00930885"/>
    <w:rsid w:val="0093108C"/>
    <w:rsid w:val="00933D68"/>
    <w:rsid w:val="009340DB"/>
    <w:rsid w:val="00941B26"/>
    <w:rsid w:val="00943FC3"/>
    <w:rsid w:val="0094583C"/>
    <w:rsid w:val="0094618C"/>
    <w:rsid w:val="00947AFC"/>
    <w:rsid w:val="00947C25"/>
    <w:rsid w:val="00956062"/>
    <w:rsid w:val="0095684B"/>
    <w:rsid w:val="00956AB1"/>
    <w:rsid w:val="00956D40"/>
    <w:rsid w:val="00957AE0"/>
    <w:rsid w:val="0096010D"/>
    <w:rsid w:val="00965358"/>
    <w:rsid w:val="00967206"/>
    <w:rsid w:val="00972498"/>
    <w:rsid w:val="0097481F"/>
    <w:rsid w:val="00974CC6"/>
    <w:rsid w:val="00975B41"/>
    <w:rsid w:val="00976AD4"/>
    <w:rsid w:val="009770A6"/>
    <w:rsid w:val="009773E4"/>
    <w:rsid w:val="00982224"/>
    <w:rsid w:val="00983A49"/>
    <w:rsid w:val="00983B84"/>
    <w:rsid w:val="00984828"/>
    <w:rsid w:val="00990E1D"/>
    <w:rsid w:val="00991FFA"/>
    <w:rsid w:val="00992687"/>
    <w:rsid w:val="00995547"/>
    <w:rsid w:val="009955B3"/>
    <w:rsid w:val="009A024E"/>
    <w:rsid w:val="009A06E0"/>
    <w:rsid w:val="009A1BBB"/>
    <w:rsid w:val="009A312F"/>
    <w:rsid w:val="009A5348"/>
    <w:rsid w:val="009A591B"/>
    <w:rsid w:val="009A5EEC"/>
    <w:rsid w:val="009A6BFA"/>
    <w:rsid w:val="009B0AB7"/>
    <w:rsid w:val="009B1106"/>
    <w:rsid w:val="009B2107"/>
    <w:rsid w:val="009B3259"/>
    <w:rsid w:val="009B719F"/>
    <w:rsid w:val="009C3B1D"/>
    <w:rsid w:val="009C76D5"/>
    <w:rsid w:val="009D1580"/>
    <w:rsid w:val="009D1B4D"/>
    <w:rsid w:val="009D2631"/>
    <w:rsid w:val="009D2D5C"/>
    <w:rsid w:val="009D527E"/>
    <w:rsid w:val="009D6398"/>
    <w:rsid w:val="009E376B"/>
    <w:rsid w:val="009E68CB"/>
    <w:rsid w:val="009E7185"/>
    <w:rsid w:val="009E77E6"/>
    <w:rsid w:val="009F0D36"/>
    <w:rsid w:val="009F21DA"/>
    <w:rsid w:val="009F379D"/>
    <w:rsid w:val="009F4F2D"/>
    <w:rsid w:val="009F57D9"/>
    <w:rsid w:val="009F62C4"/>
    <w:rsid w:val="009F7AA4"/>
    <w:rsid w:val="00A01FCD"/>
    <w:rsid w:val="00A05DA9"/>
    <w:rsid w:val="00A06622"/>
    <w:rsid w:val="00A1071B"/>
    <w:rsid w:val="00A10AD7"/>
    <w:rsid w:val="00A11BE0"/>
    <w:rsid w:val="00A11C35"/>
    <w:rsid w:val="00A1207A"/>
    <w:rsid w:val="00A13614"/>
    <w:rsid w:val="00A13856"/>
    <w:rsid w:val="00A169C0"/>
    <w:rsid w:val="00A176C9"/>
    <w:rsid w:val="00A201A3"/>
    <w:rsid w:val="00A203AE"/>
    <w:rsid w:val="00A20AA8"/>
    <w:rsid w:val="00A24A18"/>
    <w:rsid w:val="00A26B58"/>
    <w:rsid w:val="00A323B0"/>
    <w:rsid w:val="00A33C79"/>
    <w:rsid w:val="00A3671B"/>
    <w:rsid w:val="00A37764"/>
    <w:rsid w:val="00A416BE"/>
    <w:rsid w:val="00A46332"/>
    <w:rsid w:val="00A53171"/>
    <w:rsid w:val="00A559DB"/>
    <w:rsid w:val="00A5646A"/>
    <w:rsid w:val="00A569EA"/>
    <w:rsid w:val="00A63B43"/>
    <w:rsid w:val="00A642F3"/>
    <w:rsid w:val="00A676A0"/>
    <w:rsid w:val="00A70608"/>
    <w:rsid w:val="00A72DAC"/>
    <w:rsid w:val="00A743B7"/>
    <w:rsid w:val="00A824BF"/>
    <w:rsid w:val="00A82B14"/>
    <w:rsid w:val="00A85D8F"/>
    <w:rsid w:val="00A91125"/>
    <w:rsid w:val="00A953DD"/>
    <w:rsid w:val="00A95408"/>
    <w:rsid w:val="00A96115"/>
    <w:rsid w:val="00A96C12"/>
    <w:rsid w:val="00A97E95"/>
    <w:rsid w:val="00AA04EE"/>
    <w:rsid w:val="00AA1303"/>
    <w:rsid w:val="00AA249F"/>
    <w:rsid w:val="00AA2EE2"/>
    <w:rsid w:val="00AB33F0"/>
    <w:rsid w:val="00AB528A"/>
    <w:rsid w:val="00AB64A4"/>
    <w:rsid w:val="00AB7869"/>
    <w:rsid w:val="00AC02FB"/>
    <w:rsid w:val="00AC157D"/>
    <w:rsid w:val="00AC2078"/>
    <w:rsid w:val="00AC2B3F"/>
    <w:rsid w:val="00AC6452"/>
    <w:rsid w:val="00AC7414"/>
    <w:rsid w:val="00AC7FC9"/>
    <w:rsid w:val="00AD1C96"/>
    <w:rsid w:val="00AD295D"/>
    <w:rsid w:val="00AD5D8E"/>
    <w:rsid w:val="00AE2776"/>
    <w:rsid w:val="00AE6B80"/>
    <w:rsid w:val="00AE7C5D"/>
    <w:rsid w:val="00AF039A"/>
    <w:rsid w:val="00AF20A2"/>
    <w:rsid w:val="00AF35FC"/>
    <w:rsid w:val="00AF5556"/>
    <w:rsid w:val="00B00265"/>
    <w:rsid w:val="00B03133"/>
    <w:rsid w:val="00B03639"/>
    <w:rsid w:val="00B03E1A"/>
    <w:rsid w:val="00B04244"/>
    <w:rsid w:val="00B0652A"/>
    <w:rsid w:val="00B07F32"/>
    <w:rsid w:val="00B101BD"/>
    <w:rsid w:val="00B124CF"/>
    <w:rsid w:val="00B15DAA"/>
    <w:rsid w:val="00B22784"/>
    <w:rsid w:val="00B23326"/>
    <w:rsid w:val="00B24E4B"/>
    <w:rsid w:val="00B262F3"/>
    <w:rsid w:val="00B26DC6"/>
    <w:rsid w:val="00B30C77"/>
    <w:rsid w:val="00B3556A"/>
    <w:rsid w:val="00B35C67"/>
    <w:rsid w:val="00B363D0"/>
    <w:rsid w:val="00B369A5"/>
    <w:rsid w:val="00B36A47"/>
    <w:rsid w:val="00B40038"/>
    <w:rsid w:val="00B40937"/>
    <w:rsid w:val="00B423EF"/>
    <w:rsid w:val="00B453DE"/>
    <w:rsid w:val="00B458E5"/>
    <w:rsid w:val="00B460E7"/>
    <w:rsid w:val="00B46BB6"/>
    <w:rsid w:val="00B501FB"/>
    <w:rsid w:val="00B54391"/>
    <w:rsid w:val="00B5544A"/>
    <w:rsid w:val="00B5582D"/>
    <w:rsid w:val="00B565A2"/>
    <w:rsid w:val="00B60696"/>
    <w:rsid w:val="00B60B6C"/>
    <w:rsid w:val="00B610D1"/>
    <w:rsid w:val="00B62497"/>
    <w:rsid w:val="00B62AD9"/>
    <w:rsid w:val="00B62FAC"/>
    <w:rsid w:val="00B6638D"/>
    <w:rsid w:val="00B66846"/>
    <w:rsid w:val="00B71D54"/>
    <w:rsid w:val="00B72597"/>
    <w:rsid w:val="00B72DC5"/>
    <w:rsid w:val="00B73A74"/>
    <w:rsid w:val="00B73F56"/>
    <w:rsid w:val="00B82364"/>
    <w:rsid w:val="00B834A0"/>
    <w:rsid w:val="00B83647"/>
    <w:rsid w:val="00B83F95"/>
    <w:rsid w:val="00B87DC0"/>
    <w:rsid w:val="00B901F9"/>
    <w:rsid w:val="00B921CE"/>
    <w:rsid w:val="00B93486"/>
    <w:rsid w:val="00B94437"/>
    <w:rsid w:val="00B94DC8"/>
    <w:rsid w:val="00BA063D"/>
    <w:rsid w:val="00BA08B1"/>
    <w:rsid w:val="00BA1F9B"/>
    <w:rsid w:val="00BA2C15"/>
    <w:rsid w:val="00BA4B8B"/>
    <w:rsid w:val="00BA5692"/>
    <w:rsid w:val="00BA7807"/>
    <w:rsid w:val="00BA795F"/>
    <w:rsid w:val="00BB6011"/>
    <w:rsid w:val="00BC0CFB"/>
    <w:rsid w:val="00BC3CC7"/>
    <w:rsid w:val="00BC4D98"/>
    <w:rsid w:val="00BC63E3"/>
    <w:rsid w:val="00BC64AE"/>
    <w:rsid w:val="00BD00EC"/>
    <w:rsid w:val="00BD6EFB"/>
    <w:rsid w:val="00BE15FF"/>
    <w:rsid w:val="00BE2288"/>
    <w:rsid w:val="00BE3DF5"/>
    <w:rsid w:val="00BE4AE8"/>
    <w:rsid w:val="00BF0128"/>
    <w:rsid w:val="00BF05CE"/>
    <w:rsid w:val="00BF4EA0"/>
    <w:rsid w:val="00BF53C1"/>
    <w:rsid w:val="00BF5EAB"/>
    <w:rsid w:val="00BF6187"/>
    <w:rsid w:val="00BF64E0"/>
    <w:rsid w:val="00C02410"/>
    <w:rsid w:val="00C038D1"/>
    <w:rsid w:val="00C06CAD"/>
    <w:rsid w:val="00C10C6D"/>
    <w:rsid w:val="00C1584D"/>
    <w:rsid w:val="00C15BE2"/>
    <w:rsid w:val="00C17CBD"/>
    <w:rsid w:val="00C20E77"/>
    <w:rsid w:val="00C20F32"/>
    <w:rsid w:val="00C212E3"/>
    <w:rsid w:val="00C21690"/>
    <w:rsid w:val="00C26E44"/>
    <w:rsid w:val="00C3447F"/>
    <w:rsid w:val="00C353ED"/>
    <w:rsid w:val="00C37CA0"/>
    <w:rsid w:val="00C41FF6"/>
    <w:rsid w:val="00C44714"/>
    <w:rsid w:val="00C468F8"/>
    <w:rsid w:val="00C50164"/>
    <w:rsid w:val="00C5341A"/>
    <w:rsid w:val="00C60C12"/>
    <w:rsid w:val="00C62895"/>
    <w:rsid w:val="00C65C13"/>
    <w:rsid w:val="00C66B19"/>
    <w:rsid w:val="00C66DF8"/>
    <w:rsid w:val="00C67102"/>
    <w:rsid w:val="00C7178F"/>
    <w:rsid w:val="00C74CCC"/>
    <w:rsid w:val="00C75D9F"/>
    <w:rsid w:val="00C76609"/>
    <w:rsid w:val="00C81491"/>
    <w:rsid w:val="00C815B3"/>
    <w:rsid w:val="00C81676"/>
    <w:rsid w:val="00C82E5E"/>
    <w:rsid w:val="00C8571A"/>
    <w:rsid w:val="00C85B3B"/>
    <w:rsid w:val="00C85C5D"/>
    <w:rsid w:val="00C87CA0"/>
    <w:rsid w:val="00C922D1"/>
    <w:rsid w:val="00C925E1"/>
    <w:rsid w:val="00C92C22"/>
    <w:rsid w:val="00C92CC4"/>
    <w:rsid w:val="00C94289"/>
    <w:rsid w:val="00C951FC"/>
    <w:rsid w:val="00CA0AFB"/>
    <w:rsid w:val="00CA2CE1"/>
    <w:rsid w:val="00CA3976"/>
    <w:rsid w:val="00CA3D44"/>
    <w:rsid w:val="00CA50E3"/>
    <w:rsid w:val="00CA757B"/>
    <w:rsid w:val="00CB1492"/>
    <w:rsid w:val="00CB1755"/>
    <w:rsid w:val="00CB2D6D"/>
    <w:rsid w:val="00CB38CE"/>
    <w:rsid w:val="00CB68E0"/>
    <w:rsid w:val="00CC14BC"/>
    <w:rsid w:val="00CC1787"/>
    <w:rsid w:val="00CC182C"/>
    <w:rsid w:val="00CC34FC"/>
    <w:rsid w:val="00CC5A2A"/>
    <w:rsid w:val="00CD0824"/>
    <w:rsid w:val="00CD2908"/>
    <w:rsid w:val="00CD53A3"/>
    <w:rsid w:val="00CD58D9"/>
    <w:rsid w:val="00CD5A87"/>
    <w:rsid w:val="00CE18B6"/>
    <w:rsid w:val="00CE4BE3"/>
    <w:rsid w:val="00CE6B5B"/>
    <w:rsid w:val="00CF0FBE"/>
    <w:rsid w:val="00CF422E"/>
    <w:rsid w:val="00CF63F5"/>
    <w:rsid w:val="00D00593"/>
    <w:rsid w:val="00D01C48"/>
    <w:rsid w:val="00D034F7"/>
    <w:rsid w:val="00D03A82"/>
    <w:rsid w:val="00D03ED6"/>
    <w:rsid w:val="00D05EB2"/>
    <w:rsid w:val="00D1045E"/>
    <w:rsid w:val="00D11A34"/>
    <w:rsid w:val="00D13667"/>
    <w:rsid w:val="00D15344"/>
    <w:rsid w:val="00D15591"/>
    <w:rsid w:val="00D1592B"/>
    <w:rsid w:val="00D23F57"/>
    <w:rsid w:val="00D245F4"/>
    <w:rsid w:val="00D25679"/>
    <w:rsid w:val="00D31BEC"/>
    <w:rsid w:val="00D32627"/>
    <w:rsid w:val="00D4055D"/>
    <w:rsid w:val="00D41532"/>
    <w:rsid w:val="00D54DA0"/>
    <w:rsid w:val="00D54DA8"/>
    <w:rsid w:val="00D57040"/>
    <w:rsid w:val="00D61724"/>
    <w:rsid w:val="00D63150"/>
    <w:rsid w:val="00D636BA"/>
    <w:rsid w:val="00D636F0"/>
    <w:rsid w:val="00D640D7"/>
    <w:rsid w:val="00D64A32"/>
    <w:rsid w:val="00D64DF4"/>
    <w:rsid w:val="00D64EFC"/>
    <w:rsid w:val="00D660FD"/>
    <w:rsid w:val="00D666BA"/>
    <w:rsid w:val="00D66980"/>
    <w:rsid w:val="00D67130"/>
    <w:rsid w:val="00D67DBD"/>
    <w:rsid w:val="00D702D5"/>
    <w:rsid w:val="00D728C5"/>
    <w:rsid w:val="00D74E7C"/>
    <w:rsid w:val="00D75295"/>
    <w:rsid w:val="00D75E3C"/>
    <w:rsid w:val="00D76CE9"/>
    <w:rsid w:val="00D76F19"/>
    <w:rsid w:val="00D83596"/>
    <w:rsid w:val="00D924D7"/>
    <w:rsid w:val="00D96662"/>
    <w:rsid w:val="00D97F12"/>
    <w:rsid w:val="00DA09F8"/>
    <w:rsid w:val="00DA41F2"/>
    <w:rsid w:val="00DA45C3"/>
    <w:rsid w:val="00DA6095"/>
    <w:rsid w:val="00DB11B1"/>
    <w:rsid w:val="00DB42E7"/>
    <w:rsid w:val="00DB4DF9"/>
    <w:rsid w:val="00DB6C01"/>
    <w:rsid w:val="00DC0783"/>
    <w:rsid w:val="00DC0932"/>
    <w:rsid w:val="00DC09D8"/>
    <w:rsid w:val="00DC480C"/>
    <w:rsid w:val="00DC72F5"/>
    <w:rsid w:val="00DD22F4"/>
    <w:rsid w:val="00DD5093"/>
    <w:rsid w:val="00DD5261"/>
    <w:rsid w:val="00DD651E"/>
    <w:rsid w:val="00DE01A6"/>
    <w:rsid w:val="00DE2A7C"/>
    <w:rsid w:val="00DE4061"/>
    <w:rsid w:val="00DE4919"/>
    <w:rsid w:val="00DE7A4E"/>
    <w:rsid w:val="00DE7A98"/>
    <w:rsid w:val="00DF1653"/>
    <w:rsid w:val="00DF2E3C"/>
    <w:rsid w:val="00DF32C2"/>
    <w:rsid w:val="00DF3FB3"/>
    <w:rsid w:val="00DF57D0"/>
    <w:rsid w:val="00DF5AB8"/>
    <w:rsid w:val="00E006A9"/>
    <w:rsid w:val="00E07C94"/>
    <w:rsid w:val="00E07E08"/>
    <w:rsid w:val="00E108E5"/>
    <w:rsid w:val="00E12C81"/>
    <w:rsid w:val="00E12D32"/>
    <w:rsid w:val="00E134EC"/>
    <w:rsid w:val="00E14CD9"/>
    <w:rsid w:val="00E23A46"/>
    <w:rsid w:val="00E3137F"/>
    <w:rsid w:val="00E32971"/>
    <w:rsid w:val="00E3420D"/>
    <w:rsid w:val="00E369DC"/>
    <w:rsid w:val="00E40897"/>
    <w:rsid w:val="00E411CA"/>
    <w:rsid w:val="00E417D9"/>
    <w:rsid w:val="00E418C0"/>
    <w:rsid w:val="00E4591F"/>
    <w:rsid w:val="00E471A7"/>
    <w:rsid w:val="00E52E32"/>
    <w:rsid w:val="00E5357F"/>
    <w:rsid w:val="00E54AAA"/>
    <w:rsid w:val="00E57D4F"/>
    <w:rsid w:val="00E603B0"/>
    <w:rsid w:val="00E60878"/>
    <w:rsid w:val="00E635CF"/>
    <w:rsid w:val="00E70D5E"/>
    <w:rsid w:val="00E71B9C"/>
    <w:rsid w:val="00E73218"/>
    <w:rsid w:val="00E735BE"/>
    <w:rsid w:val="00E74296"/>
    <w:rsid w:val="00E7441C"/>
    <w:rsid w:val="00E75AF7"/>
    <w:rsid w:val="00E80F97"/>
    <w:rsid w:val="00E814BB"/>
    <w:rsid w:val="00E81CA9"/>
    <w:rsid w:val="00E858FD"/>
    <w:rsid w:val="00E91E8E"/>
    <w:rsid w:val="00E92988"/>
    <w:rsid w:val="00E93483"/>
    <w:rsid w:val="00E948EC"/>
    <w:rsid w:val="00EA1C7B"/>
    <w:rsid w:val="00EA7365"/>
    <w:rsid w:val="00EA73E2"/>
    <w:rsid w:val="00EA7B51"/>
    <w:rsid w:val="00EB1E3B"/>
    <w:rsid w:val="00EB28EA"/>
    <w:rsid w:val="00EB2E75"/>
    <w:rsid w:val="00EB6A86"/>
    <w:rsid w:val="00EC05B6"/>
    <w:rsid w:val="00EC6E0A"/>
    <w:rsid w:val="00ED2447"/>
    <w:rsid w:val="00ED397F"/>
    <w:rsid w:val="00ED4E18"/>
    <w:rsid w:val="00ED709C"/>
    <w:rsid w:val="00ED7922"/>
    <w:rsid w:val="00EE02C4"/>
    <w:rsid w:val="00EE1F37"/>
    <w:rsid w:val="00EE6B5C"/>
    <w:rsid w:val="00EF202C"/>
    <w:rsid w:val="00EF6015"/>
    <w:rsid w:val="00F005B3"/>
    <w:rsid w:val="00F01329"/>
    <w:rsid w:val="00F0159C"/>
    <w:rsid w:val="00F016F5"/>
    <w:rsid w:val="00F0252F"/>
    <w:rsid w:val="00F0659B"/>
    <w:rsid w:val="00F105B7"/>
    <w:rsid w:val="00F13220"/>
    <w:rsid w:val="00F14ED4"/>
    <w:rsid w:val="00F15DFB"/>
    <w:rsid w:val="00F17A21"/>
    <w:rsid w:val="00F20D0C"/>
    <w:rsid w:val="00F213B0"/>
    <w:rsid w:val="00F21488"/>
    <w:rsid w:val="00F22C5E"/>
    <w:rsid w:val="00F237B6"/>
    <w:rsid w:val="00F24C59"/>
    <w:rsid w:val="00F24D53"/>
    <w:rsid w:val="00F254DC"/>
    <w:rsid w:val="00F30FE5"/>
    <w:rsid w:val="00F31B3B"/>
    <w:rsid w:val="00F3620B"/>
    <w:rsid w:val="00F36FC2"/>
    <w:rsid w:val="00F37B27"/>
    <w:rsid w:val="00F4197A"/>
    <w:rsid w:val="00F4258E"/>
    <w:rsid w:val="00F425D2"/>
    <w:rsid w:val="00F428CB"/>
    <w:rsid w:val="00F44EAD"/>
    <w:rsid w:val="00F46040"/>
    <w:rsid w:val="00F46556"/>
    <w:rsid w:val="00F47875"/>
    <w:rsid w:val="00F50E91"/>
    <w:rsid w:val="00F513D3"/>
    <w:rsid w:val="00F53F5D"/>
    <w:rsid w:val="00F56799"/>
    <w:rsid w:val="00F5791E"/>
    <w:rsid w:val="00F57D29"/>
    <w:rsid w:val="00F60786"/>
    <w:rsid w:val="00F61729"/>
    <w:rsid w:val="00F62B4D"/>
    <w:rsid w:val="00F6360A"/>
    <w:rsid w:val="00F64BFF"/>
    <w:rsid w:val="00F70295"/>
    <w:rsid w:val="00F722A8"/>
    <w:rsid w:val="00F72451"/>
    <w:rsid w:val="00F8068B"/>
    <w:rsid w:val="00F825D9"/>
    <w:rsid w:val="00F82E02"/>
    <w:rsid w:val="00F84ABA"/>
    <w:rsid w:val="00F84F0B"/>
    <w:rsid w:val="00F85E68"/>
    <w:rsid w:val="00F86D43"/>
    <w:rsid w:val="00F8747A"/>
    <w:rsid w:val="00F91430"/>
    <w:rsid w:val="00F91BC7"/>
    <w:rsid w:val="00F96201"/>
    <w:rsid w:val="00F96DA6"/>
    <w:rsid w:val="00F97E3E"/>
    <w:rsid w:val="00FA03E3"/>
    <w:rsid w:val="00FA1BBC"/>
    <w:rsid w:val="00FA2701"/>
    <w:rsid w:val="00FA27E7"/>
    <w:rsid w:val="00FA7DE7"/>
    <w:rsid w:val="00FB1470"/>
    <w:rsid w:val="00FB32BD"/>
    <w:rsid w:val="00FC179F"/>
    <w:rsid w:val="00FC51EC"/>
    <w:rsid w:val="00FC76B3"/>
    <w:rsid w:val="00FD0B18"/>
    <w:rsid w:val="00FD1238"/>
    <w:rsid w:val="00FD1371"/>
    <w:rsid w:val="00FD151A"/>
    <w:rsid w:val="00FD19B3"/>
    <w:rsid w:val="00FD2DA3"/>
    <w:rsid w:val="00FD2FAD"/>
    <w:rsid w:val="00FD4D57"/>
    <w:rsid w:val="00FE3722"/>
    <w:rsid w:val="00FE5F10"/>
    <w:rsid w:val="00FE6E5F"/>
    <w:rsid w:val="00FE714F"/>
    <w:rsid w:val="00FE7CB3"/>
    <w:rsid w:val="00FF38D2"/>
    <w:rsid w:val="00FF7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B53A048D-3480-0245-950C-5AE52FF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6A3820"/>
    <w:rPr>
      <w:color w:val="605E5C"/>
      <w:shd w:val="clear" w:color="auto" w:fill="E1DFDD"/>
    </w:rPr>
  </w:style>
  <w:style w:type="character" w:customStyle="1" w:styleId="moduletitletext">
    <w:name w:val="moduletitletext"/>
    <w:basedOn w:val="DefaultParagraphFont"/>
    <w:rsid w:val="006A3820"/>
  </w:style>
  <w:style w:type="character" w:customStyle="1" w:styleId="mntl-sc-block-headingtext">
    <w:name w:val="mntl-sc-block-heading__text"/>
    <w:basedOn w:val="DefaultParagraphFont"/>
    <w:rsid w:val="006A3820"/>
  </w:style>
  <w:style w:type="character" w:customStyle="1" w:styleId="c-entry-statcomment-data">
    <w:name w:val="c-entry-stat__comment-data"/>
    <w:basedOn w:val="DefaultParagraphFont"/>
    <w:rsid w:val="006A3820"/>
  </w:style>
  <w:style w:type="paragraph" w:customStyle="1" w:styleId="c-entry-summary">
    <w:name w:val="c-entry-summary"/>
    <w:basedOn w:val="Normal"/>
    <w:rsid w:val="006A3820"/>
    <w:pPr>
      <w:spacing w:before="100" w:beforeAutospacing="1" w:after="100" w:afterAutospacing="1"/>
    </w:pPr>
    <w:rPr>
      <w:sz w:val="24"/>
      <w:szCs w:val="24"/>
      <w:lang w:val="en-PH"/>
    </w:rPr>
  </w:style>
  <w:style w:type="character" w:customStyle="1" w:styleId="c-byline-wrapper">
    <w:name w:val="c-byline-wrapper"/>
    <w:basedOn w:val="DefaultParagraphFont"/>
    <w:rsid w:val="006A3820"/>
  </w:style>
  <w:style w:type="character" w:customStyle="1" w:styleId="c-bylineitem">
    <w:name w:val="c-byline__item"/>
    <w:basedOn w:val="DefaultParagraphFont"/>
    <w:rsid w:val="006A3820"/>
  </w:style>
  <w:style w:type="character" w:customStyle="1" w:styleId="c-bylineauthor-name">
    <w:name w:val="c-byline__author-name"/>
    <w:basedOn w:val="DefaultParagraphFont"/>
    <w:rsid w:val="006A3820"/>
  </w:style>
  <w:style w:type="character" w:customStyle="1" w:styleId="contentauthor--name">
    <w:name w:val="content__author--name"/>
    <w:basedOn w:val="DefaultParagraphFont"/>
    <w:rsid w:val="006A3820"/>
  </w:style>
  <w:style w:type="paragraph" w:styleId="HTMLAddress">
    <w:name w:val="HTML Address"/>
    <w:basedOn w:val="Normal"/>
    <w:link w:val="HTMLAddressChar"/>
    <w:uiPriority w:val="99"/>
    <w:semiHidden/>
    <w:unhideWhenUsed/>
    <w:rsid w:val="006A3820"/>
    <w:rPr>
      <w:i/>
      <w:iCs/>
      <w:sz w:val="24"/>
      <w:szCs w:val="24"/>
      <w:lang w:val="en-PH"/>
    </w:rPr>
  </w:style>
  <w:style w:type="character" w:customStyle="1" w:styleId="HTMLAddressChar">
    <w:name w:val="HTML Address Char"/>
    <w:basedOn w:val="DefaultParagraphFont"/>
    <w:link w:val="HTMLAddress"/>
    <w:uiPriority w:val="99"/>
    <w:semiHidden/>
    <w:rsid w:val="006A3820"/>
    <w:rPr>
      <w:rFonts w:ascii="Times New Roman" w:eastAsia="Times New Roman" w:hAnsi="Times New Roman" w:cs="Times New Roman"/>
      <w:i/>
      <w:iCs/>
      <w:sz w:val="24"/>
      <w:szCs w:val="24"/>
      <w:lang w:val="en-PH"/>
    </w:rPr>
  </w:style>
  <w:style w:type="character" w:customStyle="1" w:styleId="byline-author-name">
    <w:name w:val="byline-author-name"/>
    <w:basedOn w:val="DefaultParagraphFont"/>
    <w:rsid w:val="006A3820"/>
  </w:style>
  <w:style w:type="paragraph" w:customStyle="1" w:styleId="byline-byline-1svmo">
    <w:name w:val="byline-byline-1svmo"/>
    <w:basedOn w:val="Normal"/>
    <w:rsid w:val="006A3820"/>
    <w:pPr>
      <w:spacing w:before="100" w:beforeAutospacing="1" w:after="100" w:afterAutospacing="1"/>
    </w:pPr>
    <w:rPr>
      <w:sz w:val="24"/>
      <w:szCs w:val="24"/>
      <w:lang w:bidi="hi-IN"/>
    </w:rPr>
  </w:style>
  <w:style w:type="paragraph" w:customStyle="1" w:styleId="textlabeltext-label3ocvw">
    <w:name w:val="textlabel__text-label___3ocvw"/>
    <w:basedOn w:val="Normal"/>
    <w:rsid w:val="006A3820"/>
    <w:pPr>
      <w:spacing w:before="100" w:beforeAutospacing="1" w:after="100" w:afterAutospacing="1"/>
    </w:pPr>
    <w:rPr>
      <w:sz w:val="24"/>
      <w:szCs w:val="24"/>
      <w:lang w:bidi="hi-IN"/>
    </w:rPr>
  </w:style>
  <w:style w:type="character" w:customStyle="1" w:styleId="UnresolvedMention2">
    <w:name w:val="Unresolved Mention2"/>
    <w:basedOn w:val="DefaultParagraphFont"/>
    <w:uiPriority w:val="99"/>
    <w:semiHidden/>
    <w:unhideWhenUsed/>
    <w:rsid w:val="006A3820"/>
    <w:rPr>
      <w:color w:val="605E5C"/>
      <w:shd w:val="clear" w:color="auto" w:fill="E1DFDD"/>
    </w:rPr>
  </w:style>
  <w:style w:type="character" w:customStyle="1" w:styleId="UnresolvedMention3">
    <w:name w:val="Unresolved Mention3"/>
    <w:basedOn w:val="DefaultParagraphFont"/>
    <w:uiPriority w:val="99"/>
    <w:semiHidden/>
    <w:unhideWhenUsed/>
    <w:rsid w:val="003D2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1832">
      <w:bodyDiv w:val="1"/>
      <w:marLeft w:val="0"/>
      <w:marRight w:val="0"/>
      <w:marTop w:val="0"/>
      <w:marBottom w:val="0"/>
      <w:divBdr>
        <w:top w:val="none" w:sz="0" w:space="0" w:color="auto"/>
        <w:left w:val="none" w:sz="0" w:space="0" w:color="auto"/>
        <w:bottom w:val="none" w:sz="0" w:space="0" w:color="auto"/>
        <w:right w:val="none" w:sz="0" w:space="0" w:color="auto"/>
      </w:divBdr>
    </w:div>
    <w:div w:id="135268206">
      <w:bodyDiv w:val="1"/>
      <w:marLeft w:val="0"/>
      <w:marRight w:val="0"/>
      <w:marTop w:val="0"/>
      <w:marBottom w:val="0"/>
      <w:divBdr>
        <w:top w:val="none" w:sz="0" w:space="0" w:color="auto"/>
        <w:left w:val="none" w:sz="0" w:space="0" w:color="auto"/>
        <w:bottom w:val="none" w:sz="0" w:space="0" w:color="auto"/>
        <w:right w:val="none" w:sz="0" w:space="0" w:color="auto"/>
      </w:divBdr>
    </w:div>
    <w:div w:id="996880838">
      <w:bodyDiv w:val="1"/>
      <w:marLeft w:val="0"/>
      <w:marRight w:val="0"/>
      <w:marTop w:val="0"/>
      <w:marBottom w:val="0"/>
      <w:divBdr>
        <w:top w:val="none" w:sz="0" w:space="0" w:color="auto"/>
        <w:left w:val="none" w:sz="0" w:space="0" w:color="auto"/>
        <w:bottom w:val="none" w:sz="0" w:space="0" w:color="auto"/>
        <w:right w:val="none" w:sz="0" w:space="0" w:color="auto"/>
      </w:divBdr>
    </w:div>
    <w:div w:id="126761370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7426656">
      <w:bodyDiv w:val="1"/>
      <w:marLeft w:val="0"/>
      <w:marRight w:val="0"/>
      <w:marTop w:val="0"/>
      <w:marBottom w:val="0"/>
      <w:divBdr>
        <w:top w:val="none" w:sz="0" w:space="0" w:color="auto"/>
        <w:left w:val="none" w:sz="0" w:space="0" w:color="auto"/>
        <w:bottom w:val="none" w:sz="0" w:space="0" w:color="auto"/>
        <w:right w:val="none" w:sz="0" w:space="0" w:color="auto"/>
      </w:divBdr>
    </w:div>
    <w:div w:id="1919368237">
      <w:bodyDiv w:val="1"/>
      <w:marLeft w:val="0"/>
      <w:marRight w:val="0"/>
      <w:marTop w:val="0"/>
      <w:marBottom w:val="0"/>
      <w:divBdr>
        <w:top w:val="none" w:sz="0" w:space="0" w:color="auto"/>
        <w:left w:val="none" w:sz="0" w:space="0" w:color="auto"/>
        <w:bottom w:val="none" w:sz="0" w:space="0" w:color="auto"/>
        <w:right w:val="none" w:sz="0" w:space="0" w:color="auto"/>
      </w:divBdr>
    </w:div>
    <w:div w:id="20309073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17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izmochina.com/2021/03/25/xiaomi-strong-2020-results-sold-10m-premium-smartpho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businessofapps.com/data/fitbit-statistics/"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statista.com/statistics/266206/googles-annual-global-revenu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bout:blank"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about:blank"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lini\Documents\Google%20CAse\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Alphabet!$B$2</c:f>
              <c:strCache>
                <c:ptCount val="1"/>
                <c:pt idx="0">
                  <c:v>Revenue
(Millions of US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tx>
                <c:rich>
                  <a:bodyPr/>
                  <a:lstStyle/>
                  <a:p>
                    <a:r>
                      <a:rPr lang="en-US"/>
                      <a:t>37.91</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867-2743-9F4A-85ECCE5F23F9}"/>
                </c:ext>
              </c:extLst>
            </c:dLbl>
            <c:dLbl>
              <c:idx val="1"/>
              <c:tx>
                <c:rich>
                  <a:bodyPr/>
                  <a:lstStyle/>
                  <a:p>
                    <a:r>
                      <a:rPr lang="en-US"/>
                      <a:t>46.04</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867-2743-9F4A-85ECCE5F23F9}"/>
                </c:ext>
              </c:extLst>
            </c:dLbl>
            <c:dLbl>
              <c:idx val="2"/>
              <c:tx>
                <c:rich>
                  <a:bodyPr/>
                  <a:lstStyle/>
                  <a:p>
                    <a:r>
                      <a:rPr lang="en-US"/>
                      <a:t>55.52</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867-2743-9F4A-85ECCE5F23F9}"/>
                </c:ext>
              </c:extLst>
            </c:dLbl>
            <c:dLbl>
              <c:idx val="3"/>
              <c:tx>
                <c:rich>
                  <a:bodyPr/>
                  <a:lstStyle/>
                  <a:p>
                    <a:r>
                      <a:rPr lang="en-US"/>
                      <a:t>66.00</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867-2743-9F4A-85ECCE5F23F9}"/>
                </c:ext>
              </c:extLst>
            </c:dLbl>
            <c:dLbl>
              <c:idx val="4"/>
              <c:tx>
                <c:rich>
                  <a:bodyPr/>
                  <a:lstStyle/>
                  <a:p>
                    <a:r>
                      <a:rPr lang="en-US"/>
                      <a:t>74.99</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867-2743-9F4A-85ECCE5F23F9}"/>
                </c:ext>
              </c:extLst>
            </c:dLbl>
            <c:dLbl>
              <c:idx val="5"/>
              <c:tx>
                <c:rich>
                  <a:bodyPr/>
                  <a:lstStyle/>
                  <a:p>
                    <a:r>
                      <a:rPr lang="en-US"/>
                      <a:t>90.27</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867-2743-9F4A-85ECCE5F23F9}"/>
                </c:ext>
              </c:extLst>
            </c:dLbl>
            <c:dLbl>
              <c:idx val="6"/>
              <c:tx>
                <c:rich>
                  <a:bodyPr/>
                  <a:lstStyle/>
                  <a:p>
                    <a:r>
                      <a:rPr lang="en-US"/>
                      <a:t>110.86</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867-2743-9F4A-85ECCE5F23F9}"/>
                </c:ext>
              </c:extLst>
            </c:dLbl>
            <c:dLbl>
              <c:idx val="7"/>
              <c:tx>
                <c:rich>
                  <a:bodyPr/>
                  <a:lstStyle/>
                  <a:p>
                    <a:r>
                      <a:rPr lang="en-US"/>
                      <a:t>136.82</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867-2743-9F4A-85ECCE5F23F9}"/>
                </c:ext>
              </c:extLst>
            </c:dLbl>
            <c:dLbl>
              <c:idx val="8"/>
              <c:tx>
                <c:rich>
                  <a:bodyPr/>
                  <a:lstStyle/>
                  <a:p>
                    <a:r>
                      <a:rPr lang="en-US"/>
                      <a:t>161.86</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867-2743-9F4A-85ECCE5F23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Alphabet!$A$3:$A$11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Alphabet!$B$3:$B$11</c:f>
              <c:numCache>
                <c:formatCode>#,##0</c:formatCode>
                <c:ptCount val="9"/>
                <c:pt idx="0">
                  <c:v>37905</c:v>
                </c:pt>
                <c:pt idx="1">
                  <c:v>46039</c:v>
                </c:pt>
                <c:pt idx="2">
                  <c:v>55519</c:v>
                </c:pt>
                <c:pt idx="3">
                  <c:v>66001</c:v>
                </c:pt>
                <c:pt idx="4">
                  <c:v>74989</c:v>
                </c:pt>
                <c:pt idx="5">
                  <c:v>90272</c:v>
                </c:pt>
                <c:pt idx="6">
                  <c:v>110855</c:v>
                </c:pt>
                <c:pt idx="7">
                  <c:v>136819</c:v>
                </c:pt>
                <c:pt idx="8">
                  <c:v>161857</c:v>
                </c:pt>
              </c:numCache>
            </c:numRef>
          </c:val>
          <c:extLst>
            <c:ext xmlns:c16="http://schemas.microsoft.com/office/drawing/2014/chart" uri="{C3380CC4-5D6E-409C-BE32-E72D297353CC}">
              <c16:uniqueId val="{00000009-2867-2743-9F4A-85ECCE5F23F9}"/>
            </c:ext>
          </c:extLst>
        </c:ser>
        <c:dLbls>
          <c:dLblPos val="inEnd"/>
          <c:showLegendKey val="0"/>
          <c:showVal val="1"/>
          <c:showCatName val="0"/>
          <c:showSerName val="0"/>
          <c:showPercent val="0"/>
          <c:showBubbleSize val="0"/>
        </c:dLbls>
        <c:gapWidth val="100"/>
        <c:overlap val="-24"/>
        <c:axId val="478257216"/>
        <c:axId val="478259176"/>
      </c:barChart>
      <c:catAx>
        <c:axId val="4782572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78259176"/>
        <c:crosses val="autoZero"/>
        <c:auto val="1"/>
        <c:lblAlgn val="ctr"/>
        <c:lblOffset val="100"/>
        <c:noMultiLvlLbl val="0"/>
      </c:catAx>
      <c:valAx>
        <c:axId val="478259176"/>
        <c:scaling>
          <c:orientation val="minMax"/>
        </c:scaling>
        <c:delete val="1"/>
        <c:axPos val="l"/>
        <c:numFmt formatCode="#,##0" sourceLinked="1"/>
        <c:majorTickMark val="none"/>
        <c:minorTickMark val="none"/>
        <c:tickLblPos val="nextTo"/>
        <c:crossAx val="478257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Sheet1!$D$1</c:f>
              <c:strCache>
                <c:ptCount val="1"/>
                <c:pt idx="0">
                  <c:v>Revenue</c:v>
                </c:pt>
              </c:strCache>
            </c:strRef>
          </c:tx>
          <c:spPr>
            <a:solidFill>
              <a:schemeClr val="accent1"/>
            </a:solidFill>
            <a:ln>
              <a:noFill/>
            </a:ln>
            <a:effectLst/>
          </c:spPr>
          <c:invertIfNegative val="0"/>
          <c:cat>
            <c:numRef>
              <c:f>Sheet1!$C$2:$C$11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Sheet1!$D$2:$D$11</c:f>
              <c:numCache>
                <c:formatCode>General</c:formatCode>
                <c:ptCount val="10"/>
                <c:pt idx="0">
                  <c:v>37.9</c:v>
                </c:pt>
                <c:pt idx="1">
                  <c:v>50.18</c:v>
                </c:pt>
                <c:pt idx="2">
                  <c:v>55.51</c:v>
                </c:pt>
                <c:pt idx="3">
                  <c:v>65.67</c:v>
                </c:pt>
                <c:pt idx="4">
                  <c:v>75.540000000000006</c:v>
                </c:pt>
                <c:pt idx="5">
                  <c:v>89.98</c:v>
                </c:pt>
                <c:pt idx="6">
                  <c:v>110.55</c:v>
                </c:pt>
                <c:pt idx="7">
                  <c:v>136.36000000000001</c:v>
                </c:pt>
                <c:pt idx="8">
                  <c:v>160.74</c:v>
                </c:pt>
                <c:pt idx="9">
                  <c:v>181.69</c:v>
                </c:pt>
              </c:numCache>
            </c:numRef>
          </c:val>
          <c:extLst>
            <c:ext xmlns:c16="http://schemas.microsoft.com/office/drawing/2014/chart" uri="{C3380CC4-5D6E-409C-BE32-E72D297353CC}">
              <c16:uniqueId val="{00000000-7842-E543-9BCA-DA2476BBA587}"/>
            </c:ext>
          </c:extLst>
        </c:ser>
        <c:dLbls>
          <c:showLegendKey val="0"/>
          <c:showVal val="0"/>
          <c:showCatName val="0"/>
          <c:showSerName val="0"/>
          <c:showPercent val="0"/>
          <c:showBubbleSize val="0"/>
        </c:dLbls>
        <c:gapWidth val="150"/>
        <c:axId val="556545232"/>
        <c:axId val="556545624"/>
      </c:barChart>
      <c:catAx>
        <c:axId val="55654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56545624"/>
        <c:crosses val="autoZero"/>
        <c:auto val="1"/>
        <c:lblAlgn val="ctr"/>
        <c:lblOffset val="100"/>
        <c:noMultiLvlLbl val="0"/>
      </c:catAx>
      <c:valAx>
        <c:axId val="55654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556545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Fitbit!$B$2</c:f>
              <c:strCache>
                <c:ptCount val="1"/>
                <c:pt idx="0">
                  <c:v>Revenue
(Millions of US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2">
                          <a:lumMod val="35000"/>
                          <a:lumOff val="65000"/>
                        </a:schemeClr>
                      </a:solidFill>
                      <a:prstDash val="solid"/>
                      <a:round/>
                    </a:ln>
                    <a:effectLst/>
                  </c:spPr>
                </c15:leaderLines>
              </c:ext>
            </c:extLst>
          </c:dLbls>
          <c:cat>
            <c:numRef>
              <c:f>Fitbit!$A$3:$A$10</c:f>
              <c:numCache>
                <c:formatCode>General</c:formatCode>
                <c:ptCount val="8"/>
                <c:pt idx="0">
                  <c:v>2012</c:v>
                </c:pt>
                <c:pt idx="1">
                  <c:v>2013</c:v>
                </c:pt>
                <c:pt idx="2">
                  <c:v>2014</c:v>
                </c:pt>
                <c:pt idx="3">
                  <c:v>2015</c:v>
                </c:pt>
                <c:pt idx="4">
                  <c:v>2016</c:v>
                </c:pt>
                <c:pt idx="5">
                  <c:v>2017</c:v>
                </c:pt>
                <c:pt idx="6">
                  <c:v>2018</c:v>
                </c:pt>
                <c:pt idx="7">
                  <c:v>2019</c:v>
                </c:pt>
              </c:numCache>
            </c:numRef>
          </c:cat>
          <c:val>
            <c:numRef>
              <c:f>Fitbit!$B$3:$B$10</c:f>
              <c:numCache>
                <c:formatCode>General</c:formatCode>
                <c:ptCount val="8"/>
                <c:pt idx="0">
                  <c:v>76</c:v>
                </c:pt>
                <c:pt idx="1">
                  <c:v>271</c:v>
                </c:pt>
                <c:pt idx="2">
                  <c:v>745</c:v>
                </c:pt>
                <c:pt idx="3" formatCode="#,##0">
                  <c:v>1858</c:v>
                </c:pt>
                <c:pt idx="4" formatCode="#,##0">
                  <c:v>2169</c:v>
                </c:pt>
                <c:pt idx="5" formatCode="#,##0">
                  <c:v>1616</c:v>
                </c:pt>
                <c:pt idx="6" formatCode="#,##0">
                  <c:v>1512</c:v>
                </c:pt>
                <c:pt idx="7" formatCode="#,##0">
                  <c:v>1435</c:v>
                </c:pt>
              </c:numCache>
            </c:numRef>
          </c:val>
          <c:extLst>
            <c:ext xmlns:c16="http://schemas.microsoft.com/office/drawing/2014/chart" uri="{C3380CC4-5D6E-409C-BE32-E72D297353CC}">
              <c16:uniqueId val="{00000000-760C-4D51-85E4-766B3B692093}"/>
            </c:ext>
          </c:extLst>
        </c:ser>
        <c:dLbls>
          <c:dLblPos val="inEnd"/>
          <c:showLegendKey val="0"/>
          <c:showVal val="1"/>
          <c:showCatName val="0"/>
          <c:showSerName val="0"/>
          <c:showPercent val="0"/>
          <c:showBubbleSize val="0"/>
        </c:dLbls>
        <c:gapWidth val="100"/>
        <c:overlap val="-24"/>
        <c:axId val="554791512"/>
        <c:axId val="554790336"/>
      </c:barChart>
      <c:catAx>
        <c:axId val="5547915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54790336"/>
        <c:crosses val="autoZero"/>
        <c:auto val="1"/>
        <c:lblAlgn val="ctr"/>
        <c:lblOffset val="100"/>
        <c:noMultiLvlLbl val="0"/>
      </c:catAx>
      <c:valAx>
        <c:axId val="554790336"/>
        <c:scaling>
          <c:orientation val="minMax"/>
        </c:scaling>
        <c:delete val="1"/>
        <c:axPos val="l"/>
        <c:numFmt formatCode="General" sourceLinked="1"/>
        <c:majorTickMark val="none"/>
        <c:minorTickMark val="none"/>
        <c:tickLblPos val="nextTo"/>
        <c:crossAx val="554791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Sheet1!$L$12</c:f>
              <c:strCache>
                <c:ptCount val="1"/>
                <c:pt idx="0">
                  <c:v>Rev</c:v>
                </c:pt>
              </c:strCache>
            </c:strRef>
          </c:tx>
          <c:spPr>
            <a:solidFill>
              <a:schemeClr val="accent1"/>
            </a:solidFill>
            <a:ln>
              <a:noFill/>
            </a:ln>
            <a:effectLst/>
          </c:spPr>
          <c:invertIfNegative val="0"/>
          <c:cat>
            <c:numRef>
              <c:f>Sheet1!$K$13:$K$21</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Sheet1!$L$13:$L$21</c:f>
              <c:numCache>
                <c:formatCode>General</c:formatCode>
                <c:ptCount val="9"/>
                <c:pt idx="0">
                  <c:v>7.5999999999999998E-2</c:v>
                </c:pt>
                <c:pt idx="1">
                  <c:v>0.27100000000000002</c:v>
                </c:pt>
                <c:pt idx="2">
                  <c:v>0.745</c:v>
                </c:pt>
                <c:pt idx="3">
                  <c:v>1.8580000000000001</c:v>
                </c:pt>
                <c:pt idx="4">
                  <c:v>2.169</c:v>
                </c:pt>
                <c:pt idx="5">
                  <c:v>1.6160000000000001</c:v>
                </c:pt>
                <c:pt idx="6">
                  <c:v>1.512</c:v>
                </c:pt>
                <c:pt idx="7">
                  <c:v>1.4350000000000001</c:v>
                </c:pt>
                <c:pt idx="8">
                  <c:v>1.1299999999999999</c:v>
                </c:pt>
              </c:numCache>
            </c:numRef>
          </c:val>
          <c:extLst>
            <c:ext xmlns:c16="http://schemas.microsoft.com/office/drawing/2014/chart" uri="{C3380CC4-5D6E-409C-BE32-E72D297353CC}">
              <c16:uniqueId val="{00000000-D0BB-4C60-8789-CF7AFF2E5579}"/>
            </c:ext>
          </c:extLst>
        </c:ser>
        <c:ser>
          <c:idx val="1"/>
          <c:order val="1"/>
          <c:tx>
            <c:strRef>
              <c:f>Sheet1!$M$12</c:f>
              <c:strCache>
                <c:ptCount val="1"/>
                <c:pt idx="0">
                  <c:v>Profit</c:v>
                </c:pt>
              </c:strCache>
            </c:strRef>
          </c:tx>
          <c:spPr>
            <a:solidFill>
              <a:schemeClr val="accent2"/>
            </a:solidFill>
            <a:ln>
              <a:noFill/>
            </a:ln>
            <a:effectLst/>
          </c:spPr>
          <c:invertIfNegative val="0"/>
          <c:cat>
            <c:numRef>
              <c:f>Sheet1!$K$13:$K$21</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Sheet1!$M$13:$M$21</c:f>
              <c:numCache>
                <c:formatCode>#,##0.000;\−#,##0.000</c:formatCode>
                <c:ptCount val="9"/>
                <c:pt idx="0">
                  <c:v>-4.0000000000000001E-3</c:v>
                </c:pt>
                <c:pt idx="1">
                  <c:v>-5.1999999999999998E-2</c:v>
                </c:pt>
                <c:pt idx="2">
                  <c:v>2.8000000000000001E-2</c:v>
                </c:pt>
                <c:pt idx="3">
                  <c:v>0.114</c:v>
                </c:pt>
                <c:pt idx="4">
                  <c:v>-0.10299999999999999</c:v>
                </c:pt>
                <c:pt idx="5">
                  <c:v>-0.27700000000000002</c:v>
                </c:pt>
                <c:pt idx="6">
                  <c:v>-0.186</c:v>
                </c:pt>
                <c:pt idx="7">
                  <c:v>-0.32100000000000001</c:v>
                </c:pt>
                <c:pt idx="8">
                  <c:v>-0.19</c:v>
                </c:pt>
              </c:numCache>
            </c:numRef>
          </c:val>
          <c:extLst>
            <c:ext xmlns:c16="http://schemas.microsoft.com/office/drawing/2014/chart" uri="{C3380CC4-5D6E-409C-BE32-E72D297353CC}">
              <c16:uniqueId val="{00000001-D0BB-4C60-8789-CF7AFF2E5579}"/>
            </c:ext>
          </c:extLst>
        </c:ser>
        <c:dLbls>
          <c:showLegendKey val="0"/>
          <c:showVal val="0"/>
          <c:showCatName val="0"/>
          <c:showSerName val="0"/>
          <c:showPercent val="0"/>
          <c:showBubbleSize val="0"/>
        </c:dLbls>
        <c:gapWidth val="95"/>
        <c:overlap val="100"/>
        <c:axId val="297290063"/>
        <c:axId val="297299215"/>
      </c:barChart>
      <c:catAx>
        <c:axId val="29729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97299215"/>
        <c:crosses val="autoZero"/>
        <c:auto val="1"/>
        <c:lblAlgn val="ctr"/>
        <c:lblOffset val="100"/>
        <c:noMultiLvlLbl val="0"/>
      </c:catAx>
      <c:valAx>
        <c:axId val="29729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9729006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C78A5-FF56-4775-BE60-17B5AF91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5698</Words>
  <Characters>32484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Bojmelgrin</dc:creator>
  <cp:lastModifiedBy>PC Check</cp:lastModifiedBy>
  <cp:revision>3</cp:revision>
  <dcterms:created xsi:type="dcterms:W3CDTF">2021-07-26T15:17:00Z</dcterms:created>
  <dcterms:modified xsi:type="dcterms:W3CDTF">2021-07-26T15:28:00Z</dcterms:modified>
</cp:coreProperties>
</file>