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3724" w14:textId="0DE5B403" w:rsidR="00434F9E" w:rsidRPr="00986894" w:rsidRDefault="00372E9C" w:rsidP="00434F9E">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40377CA1" wp14:editId="2BB5066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78C3ABE" w14:textId="207DAEAE" w:rsidR="00434F9E" w:rsidRPr="00986894" w:rsidRDefault="00372E9C" w:rsidP="00434F9E">
      <w:pPr>
        <w:pStyle w:val="ProductNumber"/>
      </w:pPr>
      <w:r>
        <w:t>9B21N001</w:t>
      </w:r>
    </w:p>
    <w:p w14:paraId="39B65C9F" w14:textId="77777777" w:rsidR="00434F9E" w:rsidRPr="00986894" w:rsidRDefault="00434F9E" w:rsidP="00434F9E">
      <w:pPr>
        <w:jc w:val="right"/>
        <w:rPr>
          <w:rFonts w:ascii="Arial" w:hAnsi="Arial"/>
          <w:b/>
          <w:lang w:val="en-GB"/>
        </w:rPr>
      </w:pPr>
    </w:p>
    <w:p w14:paraId="240C122F" w14:textId="77777777" w:rsidR="00434F9E" w:rsidRPr="00986894" w:rsidRDefault="00434F9E" w:rsidP="00434F9E">
      <w:pPr>
        <w:jc w:val="right"/>
        <w:rPr>
          <w:rFonts w:ascii="Arial" w:hAnsi="Arial"/>
          <w:b/>
          <w:lang w:val="en-GB"/>
        </w:rPr>
      </w:pPr>
    </w:p>
    <w:p w14:paraId="7E22676B" w14:textId="33F22C1E" w:rsidR="00986894" w:rsidRPr="00986894" w:rsidRDefault="00434F9E" w:rsidP="00434F9E">
      <w:pPr>
        <w:pStyle w:val="CaseTitle"/>
        <w:spacing w:after="0" w:line="240" w:lineRule="auto"/>
        <w:rPr>
          <w:sz w:val="20"/>
          <w:szCs w:val="20"/>
        </w:rPr>
      </w:pPr>
      <w:r w:rsidRPr="00986894">
        <w:t>INVESTING IN A UNICORN: THE CASE OF LUCKIN COFFEE GONE ROGUE</w:t>
      </w:r>
      <w:r w:rsidR="00986894" w:rsidRPr="00986894">
        <w:rPr>
          <w:rStyle w:val="EndnoteReference"/>
        </w:rPr>
        <w:endnoteReference w:id="1"/>
      </w:r>
    </w:p>
    <w:p w14:paraId="08E6659E" w14:textId="77777777" w:rsidR="00986894" w:rsidRPr="00986894" w:rsidRDefault="00986894" w:rsidP="00434F9E">
      <w:pPr>
        <w:pStyle w:val="CaseTitle"/>
        <w:spacing w:after="0" w:line="240" w:lineRule="auto"/>
        <w:rPr>
          <w:sz w:val="20"/>
          <w:szCs w:val="20"/>
        </w:rPr>
      </w:pPr>
    </w:p>
    <w:p w14:paraId="09D507B0" w14:textId="77777777" w:rsidR="00986894" w:rsidRPr="00986894" w:rsidRDefault="00986894" w:rsidP="00434F9E">
      <w:pPr>
        <w:pStyle w:val="CaseTitle"/>
        <w:spacing w:after="0" w:line="240" w:lineRule="auto"/>
        <w:rPr>
          <w:sz w:val="20"/>
          <w:szCs w:val="20"/>
        </w:rPr>
      </w:pPr>
    </w:p>
    <w:p w14:paraId="4C94A1A2" w14:textId="1D724195" w:rsidR="00986894" w:rsidRPr="00986894" w:rsidRDefault="00986894" w:rsidP="00434F9E">
      <w:pPr>
        <w:pStyle w:val="StyleCopyrightStatementAfter0ptBottomSinglesolidline1"/>
      </w:pPr>
      <w:r w:rsidRPr="00986894">
        <w:t xml:space="preserve">Andrea Santiago, Fernando Martin </w:t>
      </w:r>
      <w:proofErr w:type="spellStart"/>
      <w:r w:rsidRPr="00986894">
        <w:t>Roxas</w:t>
      </w:r>
      <w:proofErr w:type="spellEnd"/>
      <w:r w:rsidRPr="00986894">
        <w:rPr>
          <w:rFonts w:cs="Arial"/>
          <w:szCs w:val="16"/>
        </w:rPr>
        <w:t xml:space="preserve">, and </w:t>
      </w:r>
      <w:r w:rsidRPr="00986894">
        <w:rPr>
          <w:rFonts w:cs="Arial"/>
          <w:szCs w:val="16"/>
        </w:rPr>
        <w:tab/>
        <w:t xml:space="preserve">Maria Theresa </w:t>
      </w:r>
      <w:proofErr w:type="spellStart"/>
      <w:r w:rsidRPr="00986894">
        <w:rPr>
          <w:rFonts w:cs="Arial"/>
          <w:szCs w:val="16"/>
        </w:rPr>
        <w:t>Mañalac</w:t>
      </w:r>
      <w:proofErr w:type="spellEnd"/>
      <w:r w:rsidRPr="00986894">
        <w:rPr>
          <w:rFonts w:cs="Arial"/>
          <w:szCs w:val="16"/>
        </w:rPr>
        <w:t xml:space="preserve"> </w:t>
      </w:r>
      <w:r w:rsidRPr="00986894">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D09B49E" w14:textId="77777777" w:rsidR="00986894" w:rsidRPr="00986894" w:rsidRDefault="00986894" w:rsidP="00434F9E">
      <w:pPr>
        <w:pStyle w:val="StyleCopyrightStatementAfter0ptBottomSinglesolidline1"/>
      </w:pPr>
    </w:p>
    <w:p w14:paraId="7862F965" w14:textId="48304B71" w:rsidR="00986894" w:rsidRPr="00986894" w:rsidRDefault="00372E9C" w:rsidP="00434F9E">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CF24980" w14:textId="77777777" w:rsidR="00986894" w:rsidRPr="00986894" w:rsidRDefault="00986894" w:rsidP="00434F9E">
      <w:pPr>
        <w:pStyle w:val="StyleStyleCopyrightStatementAfter0ptBottomSinglesolid"/>
        <w:rPr>
          <w:rFonts w:cs="Arial"/>
          <w:szCs w:val="16"/>
        </w:rPr>
      </w:pPr>
    </w:p>
    <w:p w14:paraId="05FA81E1" w14:textId="6108685E" w:rsidR="00986894" w:rsidRPr="00986894" w:rsidRDefault="00372E9C" w:rsidP="00434F9E">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986894" w:rsidRPr="00986894">
        <w:rPr>
          <w:rFonts w:cs="Arial"/>
          <w:iCs w:val="0"/>
          <w:color w:val="auto"/>
          <w:szCs w:val="16"/>
        </w:rPr>
        <w:tab/>
        <w:t>Version: 202</w:t>
      </w:r>
      <w:r w:rsidR="00DE0D51">
        <w:rPr>
          <w:rFonts w:cs="Arial"/>
          <w:iCs w:val="0"/>
          <w:color w:val="auto"/>
          <w:szCs w:val="16"/>
        </w:rPr>
        <w:t>1-</w:t>
      </w:r>
      <w:r>
        <w:rPr>
          <w:rFonts w:cs="Arial"/>
          <w:iCs w:val="0"/>
          <w:color w:val="auto"/>
          <w:szCs w:val="16"/>
        </w:rPr>
        <w:t>02-08</w:t>
      </w:r>
    </w:p>
    <w:p w14:paraId="76554810" w14:textId="77777777" w:rsidR="00986894" w:rsidRPr="00986894" w:rsidRDefault="00986894" w:rsidP="00434F9E">
      <w:pPr>
        <w:pStyle w:val="StyleCopyrightStatementAfter0ptBottomSinglesolidline1"/>
        <w:rPr>
          <w:rFonts w:ascii="Times New Roman" w:hAnsi="Times New Roman"/>
          <w:sz w:val="20"/>
        </w:rPr>
      </w:pPr>
    </w:p>
    <w:p w14:paraId="28E3958D" w14:textId="77777777" w:rsidR="00986894" w:rsidRPr="00986894" w:rsidRDefault="00986894" w:rsidP="00751E0B">
      <w:pPr>
        <w:pStyle w:val="StyleCopyrightStatementAfter0ptBottomSinglesolidline1"/>
        <w:rPr>
          <w:rFonts w:ascii="Times New Roman" w:hAnsi="Times New Roman"/>
          <w:sz w:val="20"/>
        </w:rPr>
      </w:pPr>
    </w:p>
    <w:p w14:paraId="7AA2413F" w14:textId="24421E6E" w:rsidR="00986894" w:rsidRPr="00F34453" w:rsidRDefault="0061302C" w:rsidP="00D606C4">
      <w:pPr>
        <w:pStyle w:val="BodyTextMain"/>
      </w:pPr>
      <w:r w:rsidRPr="00D606C4">
        <w:t xml:space="preserve">On </w:t>
      </w:r>
      <w:r w:rsidR="00986894" w:rsidRPr="00D606C4">
        <w:t xml:space="preserve">August 15, 2020, the shares of </w:t>
      </w:r>
      <w:proofErr w:type="spellStart"/>
      <w:r w:rsidR="00986894" w:rsidRPr="00D606C4">
        <w:t>Luckin</w:t>
      </w:r>
      <w:proofErr w:type="spellEnd"/>
      <w:r w:rsidR="00986894" w:rsidRPr="00D606C4">
        <w:t xml:space="preserve"> Coffee Inc. (</w:t>
      </w:r>
      <w:proofErr w:type="spellStart"/>
      <w:r w:rsidR="00986894" w:rsidRPr="00D606C4">
        <w:t>Luc</w:t>
      </w:r>
      <w:r w:rsidR="00986894" w:rsidRPr="00961D61">
        <w:t>kin</w:t>
      </w:r>
      <w:proofErr w:type="spellEnd"/>
      <w:r w:rsidR="00986894" w:rsidRPr="00961D61">
        <w:t>) were still hovering at the $2 level, a sharp drop from their May 2019 initial public offering (IPO) price of $17.</w:t>
      </w:r>
      <w:r w:rsidR="00986894" w:rsidRPr="001769C5">
        <w:rPr>
          <w:vertAlign w:val="superscript"/>
        </w:rPr>
        <w:endnoteReference w:id="2"/>
      </w:r>
      <w:r w:rsidR="00986894" w:rsidRPr="001769C5">
        <w:t xml:space="preserve"> During that period, the once </w:t>
      </w:r>
      <w:r w:rsidR="00A62FF7" w:rsidRPr="00787DF5">
        <w:t>privately-owned</w:t>
      </w:r>
      <w:r w:rsidR="00986894" w:rsidRPr="00787DF5">
        <w:t xml:space="preserve"> start-up</w:t>
      </w:r>
      <w:r w:rsidR="006563AC" w:rsidRPr="00787DF5">
        <w:t>, which</w:t>
      </w:r>
      <w:r w:rsidR="00986894" w:rsidRPr="00787DF5">
        <w:t xml:space="preserve"> had reached the $1.0 billion benchmark of a unicorn in 2018</w:t>
      </w:r>
      <w:r w:rsidR="006563AC" w:rsidRPr="00787DF5">
        <w:t>,</w:t>
      </w:r>
      <w:r w:rsidR="00986894" w:rsidRPr="00787DF5">
        <w:rPr>
          <w:rStyle w:val="EndnoteReference"/>
        </w:rPr>
        <w:endnoteReference w:id="3"/>
      </w:r>
      <w:r w:rsidR="00986894" w:rsidRPr="00787DF5">
        <w:t xml:space="preserve"> had managed to lose most of its market value.</w:t>
      </w:r>
    </w:p>
    <w:p w14:paraId="561DBF9B" w14:textId="77777777" w:rsidR="00986894" w:rsidRPr="00EE6190" w:rsidRDefault="00986894" w:rsidP="00D606C4">
      <w:pPr>
        <w:pStyle w:val="BodyTextMain"/>
      </w:pPr>
    </w:p>
    <w:p w14:paraId="67AC8B9F" w14:textId="17962639" w:rsidR="00986894" w:rsidRPr="00D606C4" w:rsidRDefault="00986894" w:rsidP="007D2687">
      <w:pPr>
        <w:pStyle w:val="BodyTextMain"/>
      </w:pPr>
      <w:r w:rsidRPr="00D606C4">
        <w:t xml:space="preserve">The downfall of </w:t>
      </w:r>
      <w:proofErr w:type="spellStart"/>
      <w:r w:rsidRPr="00D606C4">
        <w:t>Luckin</w:t>
      </w:r>
      <w:proofErr w:type="spellEnd"/>
      <w:r w:rsidRPr="00D606C4">
        <w:t xml:space="preserve"> could be traced to its April 2020 public disclosure that its second- and third-quarter unaudited financial reports, as well as its fourth-quarter guidance, could no longer be relied upon</w:t>
      </w:r>
      <w:r w:rsidR="0061302C" w:rsidRPr="00D606C4">
        <w:t>.</w:t>
      </w:r>
      <w:r w:rsidR="00A55011" w:rsidRPr="00D606C4">
        <w:rPr>
          <w:vertAlign w:val="superscript"/>
        </w:rPr>
        <w:endnoteReference w:id="4"/>
      </w:r>
      <w:r w:rsidRPr="00D606C4">
        <w:t xml:space="preserve"> </w:t>
      </w:r>
      <w:r w:rsidR="0061302C" w:rsidRPr="00D606C4">
        <w:t xml:space="preserve">This change </w:t>
      </w:r>
      <w:r w:rsidRPr="00D606C4">
        <w:t xml:space="preserve">was a dramatic downfall for a young company that had not yet turned a profit since starting in 2017. </w:t>
      </w:r>
      <w:r w:rsidR="0061302C" w:rsidRPr="00D606C4">
        <w:t>So</w:t>
      </w:r>
      <w:r w:rsidRPr="00D606C4">
        <w:t xml:space="preserve"> far, </w:t>
      </w:r>
      <w:r w:rsidR="0061302C" w:rsidRPr="00D606C4">
        <w:t xml:space="preserve">the company </w:t>
      </w:r>
      <w:r w:rsidRPr="00D606C4">
        <w:t xml:space="preserve">had </w:t>
      </w:r>
      <w:r w:rsidR="0061302C" w:rsidRPr="00D606C4">
        <w:t>relied on</w:t>
      </w:r>
      <w:r w:rsidRPr="00D606C4">
        <w:t xml:space="preserve"> a continuous inflow of fresh funds to finance its growth. It was easy to see where the investments went. From only nine coffee stores in 2017, the technology-driven company had built a 4,500-branch stronghold in just two years and had been able to surpass the 20-year efforts of Starbucks in China</w:t>
      </w:r>
      <w:bookmarkStart w:id="1" w:name="_Hlk47962285"/>
      <w:r w:rsidRPr="00D606C4">
        <w:t>.</w:t>
      </w:r>
      <w:r w:rsidRPr="00D606C4">
        <w:rPr>
          <w:rStyle w:val="EndnoteReference"/>
        </w:rPr>
        <w:endnoteReference w:id="5"/>
      </w:r>
      <w:bookmarkEnd w:id="1"/>
      <w:r w:rsidRPr="00D606C4">
        <w:t xml:space="preserve"> By the end of 2019, </w:t>
      </w:r>
      <w:proofErr w:type="spellStart"/>
      <w:r w:rsidRPr="00D606C4">
        <w:t>Luckin</w:t>
      </w:r>
      <w:proofErr w:type="spellEnd"/>
      <w:r w:rsidRPr="00D606C4">
        <w:t xml:space="preserve"> had attracted 40 million customers</w:t>
      </w:r>
      <w:bookmarkStart w:id="2" w:name="_Hlk48677281"/>
      <w:r w:rsidRPr="00D606C4">
        <w:t xml:space="preserve"> with its strong marketing and promotions.</w:t>
      </w:r>
      <w:r w:rsidRPr="00D606C4">
        <w:rPr>
          <w:rStyle w:val="EndnoteReference"/>
        </w:rPr>
        <w:endnoteReference w:id="6"/>
      </w:r>
      <w:bookmarkEnd w:id="2"/>
    </w:p>
    <w:p w14:paraId="69A6659F" w14:textId="7B08CC6E" w:rsidR="00986894" w:rsidRPr="00986894" w:rsidRDefault="00986894" w:rsidP="00A104C9">
      <w:pPr>
        <w:pStyle w:val="Default"/>
        <w:rPr>
          <w:rFonts w:ascii="Times New Roman" w:hAnsi="Times New Roman" w:hint="default"/>
          <w:sz w:val="22"/>
          <w:szCs w:val="22"/>
          <w:lang w:val="en-GB"/>
        </w:rPr>
      </w:pPr>
    </w:p>
    <w:p w14:paraId="16D1EDAE" w14:textId="485F9CAF" w:rsidR="00986894" w:rsidRPr="00986894" w:rsidRDefault="00986894" w:rsidP="00153421">
      <w:pPr>
        <w:pStyle w:val="Default"/>
        <w:jc w:val="both"/>
        <w:rPr>
          <w:rFonts w:ascii="Times New Roman" w:hAnsi="Times New Roman" w:hint="default"/>
          <w:sz w:val="22"/>
          <w:szCs w:val="22"/>
          <w:lang w:val="en-GB"/>
        </w:rPr>
      </w:pPr>
      <w:r w:rsidRPr="00986894">
        <w:rPr>
          <w:rFonts w:ascii="Times New Roman" w:hAnsi="Times New Roman" w:hint="default"/>
          <w:sz w:val="22"/>
          <w:szCs w:val="22"/>
          <w:lang w:val="en-GB"/>
        </w:rPr>
        <w:t xml:space="preserve">Yet the company’s fortunes fell as quickly as they had risen. Immediately following the company’s disclosure of accounting fraud, the market for </w:t>
      </w:r>
      <w:proofErr w:type="spellStart"/>
      <w:r w:rsidRPr="00986894">
        <w:rPr>
          <w:rFonts w:ascii="Times New Roman" w:hAnsi="Times New Roman" w:hint="default"/>
          <w:sz w:val="22"/>
          <w:szCs w:val="22"/>
          <w:lang w:val="en-GB"/>
        </w:rPr>
        <w:t>Luckin</w:t>
      </w:r>
      <w:proofErr w:type="spellEnd"/>
      <w:r w:rsidRPr="00986894">
        <w:rPr>
          <w:rFonts w:ascii="Times New Roman" w:hAnsi="Times New Roman" w:hint="default"/>
          <w:sz w:val="22"/>
          <w:szCs w:val="22"/>
          <w:lang w:val="en-GB"/>
        </w:rPr>
        <w:t xml:space="preserve"> shares crashed and brought the company’s valuation down to less than $1.0 billion. The stocks were delisted from </w:t>
      </w:r>
      <w:r w:rsidR="00425049">
        <w:rPr>
          <w:rFonts w:ascii="Times New Roman" w:hAnsi="Times New Roman" w:hint="default"/>
          <w:sz w:val="22"/>
          <w:szCs w:val="22"/>
          <w:lang w:val="en-GB"/>
        </w:rPr>
        <w:t xml:space="preserve">the </w:t>
      </w:r>
      <w:r w:rsidRPr="00986894">
        <w:rPr>
          <w:rFonts w:ascii="Times New Roman" w:hAnsi="Times New Roman" w:hint="default"/>
          <w:sz w:val="22"/>
          <w:szCs w:val="22"/>
          <w:lang w:val="en-GB"/>
        </w:rPr>
        <w:t xml:space="preserve">Nasdaq </w:t>
      </w:r>
      <w:r w:rsidR="00425049">
        <w:rPr>
          <w:rFonts w:ascii="Times New Roman" w:hAnsi="Times New Roman" w:hint="default"/>
          <w:sz w:val="22"/>
          <w:szCs w:val="22"/>
          <w:lang w:val="en-GB"/>
        </w:rPr>
        <w:t xml:space="preserve">exchange </w:t>
      </w:r>
      <w:r w:rsidRPr="00986894">
        <w:rPr>
          <w:rFonts w:ascii="Times New Roman" w:hAnsi="Times New Roman" w:hint="default"/>
          <w:sz w:val="22"/>
          <w:szCs w:val="22"/>
          <w:lang w:val="en-GB"/>
        </w:rPr>
        <w:t>in early July and began trading on the less-stringent over-the-counter (OTC) Pink Open Market at about $2.</w:t>
      </w:r>
      <w:r w:rsidRPr="00986894">
        <w:rPr>
          <w:rFonts w:ascii="Times New Roman" w:hAnsi="Times New Roman" w:hint="default"/>
          <w:sz w:val="22"/>
          <w:szCs w:val="22"/>
          <w:vertAlign w:val="superscript"/>
          <w:lang w:val="en-GB"/>
        </w:rPr>
        <w:endnoteReference w:id="7"/>
      </w:r>
      <w:r w:rsidRPr="00986894">
        <w:rPr>
          <w:rFonts w:ascii="Times New Roman" w:hAnsi="Times New Roman" w:hint="default"/>
          <w:sz w:val="22"/>
          <w:szCs w:val="22"/>
          <w:lang w:val="en-GB"/>
        </w:rPr>
        <w:t xml:space="preserve"> At that point, </w:t>
      </w:r>
      <w:proofErr w:type="spellStart"/>
      <w:r w:rsidRPr="00986894">
        <w:rPr>
          <w:rFonts w:ascii="Times New Roman" w:hAnsi="Times New Roman" w:hint="default"/>
          <w:sz w:val="22"/>
          <w:szCs w:val="22"/>
          <w:lang w:val="en-GB"/>
        </w:rPr>
        <w:t>Luckin</w:t>
      </w:r>
      <w:proofErr w:type="spellEnd"/>
      <w:r w:rsidRPr="00986894">
        <w:rPr>
          <w:rFonts w:ascii="Times New Roman" w:hAnsi="Times New Roman" w:hint="default"/>
          <w:sz w:val="22"/>
          <w:szCs w:val="22"/>
          <w:lang w:val="en-GB"/>
        </w:rPr>
        <w:t xml:space="preserve"> had an estimated cash balance of $780 million</w:t>
      </w:r>
      <w:r w:rsidR="006563AC">
        <w:rPr>
          <w:rFonts w:ascii="Times New Roman" w:hAnsi="Times New Roman" w:hint="default"/>
          <w:sz w:val="22"/>
          <w:szCs w:val="22"/>
          <w:lang w:val="en-GB"/>
        </w:rPr>
        <w:t>,</w:t>
      </w:r>
      <w:r w:rsidRPr="00986894">
        <w:rPr>
          <w:rFonts w:ascii="Times New Roman" w:hAnsi="Times New Roman" w:hint="default"/>
          <w:sz w:val="22"/>
          <w:szCs w:val="22"/>
          <w:vertAlign w:val="superscript"/>
          <w:lang w:val="en-GB"/>
        </w:rPr>
        <w:endnoteReference w:id="8"/>
      </w:r>
      <w:r w:rsidRPr="00986894">
        <w:rPr>
          <w:rFonts w:ascii="Times New Roman" w:hAnsi="Times New Roman" w:hint="default"/>
          <w:sz w:val="22"/>
          <w:szCs w:val="22"/>
          <w:lang w:val="en-GB"/>
        </w:rPr>
        <w:t xml:space="preserve"> </w:t>
      </w:r>
      <w:r w:rsidR="006563AC">
        <w:rPr>
          <w:rFonts w:ascii="Times New Roman" w:hAnsi="Times New Roman" w:hint="default"/>
          <w:sz w:val="22"/>
          <w:szCs w:val="22"/>
          <w:lang w:val="en-GB"/>
        </w:rPr>
        <w:t>which</w:t>
      </w:r>
      <w:r w:rsidR="006563AC" w:rsidRPr="00986894">
        <w:rPr>
          <w:rFonts w:ascii="Times New Roman" w:hAnsi="Times New Roman" w:hint="default"/>
          <w:sz w:val="22"/>
          <w:szCs w:val="22"/>
          <w:lang w:val="en-GB"/>
        </w:rPr>
        <w:t xml:space="preserve"> </w:t>
      </w:r>
      <w:r w:rsidRPr="00986894">
        <w:rPr>
          <w:rFonts w:ascii="Times New Roman" w:hAnsi="Times New Roman" w:hint="default"/>
          <w:sz w:val="22"/>
          <w:szCs w:val="22"/>
          <w:lang w:val="en-GB"/>
        </w:rPr>
        <w:t xml:space="preserve">was subject to claims by creditors, investors, and regulators. Without a fresh infusion of equity, and with mounting liabilities, </w:t>
      </w:r>
      <w:proofErr w:type="spellStart"/>
      <w:r w:rsidRPr="00986894">
        <w:rPr>
          <w:rFonts w:ascii="Times New Roman" w:hAnsi="Times New Roman" w:hint="default"/>
          <w:sz w:val="22"/>
          <w:szCs w:val="22"/>
          <w:lang w:val="en-GB"/>
        </w:rPr>
        <w:t>Luckin’s</w:t>
      </w:r>
      <w:proofErr w:type="spellEnd"/>
      <w:r w:rsidRPr="00986894">
        <w:rPr>
          <w:rFonts w:ascii="Times New Roman" w:hAnsi="Times New Roman" w:hint="default"/>
          <w:sz w:val="22"/>
          <w:szCs w:val="22"/>
          <w:lang w:val="en-GB"/>
        </w:rPr>
        <w:t xml:space="preserve"> financial standing was at risk. Should current investors hold on to their shares or should they dispose of them? Was there a chance that </w:t>
      </w:r>
      <w:proofErr w:type="spellStart"/>
      <w:r w:rsidRPr="00986894">
        <w:rPr>
          <w:rFonts w:ascii="Times New Roman" w:hAnsi="Times New Roman" w:hint="default"/>
          <w:sz w:val="22"/>
          <w:szCs w:val="22"/>
          <w:lang w:val="en-GB"/>
        </w:rPr>
        <w:t>Luckin</w:t>
      </w:r>
      <w:proofErr w:type="spellEnd"/>
      <w:r w:rsidRPr="00986894">
        <w:rPr>
          <w:rFonts w:ascii="Times New Roman" w:hAnsi="Times New Roman" w:hint="default"/>
          <w:sz w:val="22"/>
          <w:szCs w:val="22"/>
          <w:lang w:val="en-GB"/>
        </w:rPr>
        <w:t xml:space="preserve"> could survive the scandal so that investors could recoup their investments? What could the company do to restore investor confidence and regain its path to becoming the market leader in the coffee industry in China?</w:t>
      </w:r>
    </w:p>
    <w:p w14:paraId="4461DAC1" w14:textId="77777777" w:rsidR="00986894" w:rsidRPr="00986894" w:rsidRDefault="00986894" w:rsidP="00153421">
      <w:pPr>
        <w:pStyle w:val="Default"/>
        <w:jc w:val="both"/>
        <w:rPr>
          <w:rFonts w:ascii="Times New Roman" w:hAnsi="Times New Roman" w:hint="default"/>
          <w:sz w:val="22"/>
          <w:szCs w:val="22"/>
          <w:lang w:val="en-GB"/>
        </w:rPr>
      </w:pPr>
    </w:p>
    <w:p w14:paraId="15FE0AB3" w14:textId="1E5D68B6" w:rsidR="00986894" w:rsidRPr="00986894" w:rsidRDefault="006563AC" w:rsidP="00D606C4">
      <w:pPr>
        <w:pStyle w:val="BodyTextMain"/>
      </w:pPr>
      <w:r>
        <w:t>B</w:t>
      </w:r>
      <w:r w:rsidR="00986894" w:rsidRPr="00986894">
        <w:t xml:space="preserve">eyond the damage to </w:t>
      </w:r>
      <w:proofErr w:type="spellStart"/>
      <w:r w:rsidR="00986894" w:rsidRPr="00986894">
        <w:t>Luckin’s</w:t>
      </w:r>
      <w:proofErr w:type="spellEnd"/>
      <w:r w:rsidR="00986894" w:rsidRPr="00986894">
        <w:t xml:space="preserve"> reputation, the scandal had reinforced the call of US regulators to apply its securities laws to all listed firms without exception. The Senate-endorsed </w:t>
      </w:r>
      <w:bookmarkStart w:id="3" w:name="_Hlk56530350"/>
      <w:r w:rsidR="00986894" w:rsidRPr="00952FE3">
        <w:rPr>
          <w:i/>
        </w:rPr>
        <w:t>Holding Foreign Companies Accountable Act</w:t>
      </w:r>
      <w:bookmarkEnd w:id="3"/>
      <w:r w:rsidR="00986894" w:rsidRPr="00986894">
        <w:t xml:space="preserve"> aimed to do just that</w:t>
      </w:r>
      <w:bookmarkStart w:id="4" w:name="_Hlk48852543"/>
      <w:r w:rsidR="00986894" w:rsidRPr="00986894">
        <w:t>.</w:t>
      </w:r>
      <w:bookmarkEnd w:id="4"/>
      <w:r w:rsidR="00986894" w:rsidRPr="00986894">
        <w:t xml:space="preserve"> </w:t>
      </w:r>
      <w:r>
        <w:t>If this bill passed into law, w</w:t>
      </w:r>
      <w:r w:rsidRPr="00986894">
        <w:t xml:space="preserve">hat </w:t>
      </w:r>
      <w:r w:rsidR="00986894" w:rsidRPr="00986894">
        <w:t xml:space="preserve">would be the implications to current and future listings of Chinese firms on US exchanges? </w:t>
      </w:r>
    </w:p>
    <w:p w14:paraId="6D1F1DD9" w14:textId="03F67E05" w:rsidR="00986894" w:rsidRPr="00986894" w:rsidRDefault="00986894" w:rsidP="00D606C4">
      <w:pPr>
        <w:pStyle w:val="BodyTextMain"/>
      </w:pPr>
    </w:p>
    <w:p w14:paraId="224D3D44" w14:textId="77777777" w:rsidR="00986894" w:rsidRPr="00986894" w:rsidRDefault="00986894" w:rsidP="00961D61">
      <w:pPr>
        <w:pStyle w:val="BodyTextMain"/>
      </w:pPr>
    </w:p>
    <w:p w14:paraId="31448EA3" w14:textId="1AF86787" w:rsidR="00986894" w:rsidRPr="00986894" w:rsidRDefault="00986894" w:rsidP="00515CCA">
      <w:pPr>
        <w:pStyle w:val="Casehead1"/>
      </w:pPr>
      <w:r w:rsidRPr="00986894">
        <w:lastRenderedPageBreak/>
        <w:t>The RISE of LUCKIN COFFEE</w:t>
      </w:r>
    </w:p>
    <w:p w14:paraId="2E20D410" w14:textId="77777777" w:rsidR="00986894" w:rsidRPr="00986894" w:rsidRDefault="00986894" w:rsidP="00515CCA">
      <w:pPr>
        <w:pStyle w:val="BodyTextMain"/>
      </w:pPr>
    </w:p>
    <w:p w14:paraId="2C95297B" w14:textId="6FC9B6C9" w:rsidR="00986894" w:rsidRPr="00986894" w:rsidRDefault="00986894" w:rsidP="00515CCA">
      <w:pPr>
        <w:pStyle w:val="BodyTextMain"/>
      </w:pPr>
      <w:proofErr w:type="spellStart"/>
      <w:r w:rsidRPr="00986894">
        <w:t>Luckin</w:t>
      </w:r>
      <w:proofErr w:type="spellEnd"/>
      <w:r w:rsidRPr="00986894">
        <w:t xml:space="preserve"> Coffee (</w:t>
      </w:r>
      <w:proofErr w:type="spellStart"/>
      <w:r w:rsidRPr="00952FE3">
        <w:rPr>
          <w:i/>
        </w:rPr>
        <w:t>ruì</w:t>
      </w:r>
      <w:proofErr w:type="spellEnd"/>
      <w:r w:rsidRPr="00952FE3">
        <w:rPr>
          <w:i/>
        </w:rPr>
        <w:t xml:space="preserve"> </w:t>
      </w:r>
      <w:proofErr w:type="spellStart"/>
      <w:r w:rsidRPr="00952FE3">
        <w:rPr>
          <w:i/>
        </w:rPr>
        <w:t>xìng</w:t>
      </w:r>
      <w:proofErr w:type="spellEnd"/>
      <w:r w:rsidRPr="00952FE3">
        <w:rPr>
          <w:i/>
        </w:rPr>
        <w:t xml:space="preserve"> </w:t>
      </w:r>
      <w:proofErr w:type="spellStart"/>
      <w:r w:rsidRPr="00952FE3">
        <w:rPr>
          <w:i/>
        </w:rPr>
        <w:t>kāfēi</w:t>
      </w:r>
      <w:proofErr w:type="spellEnd"/>
      <w:r w:rsidRPr="00986894">
        <w:t>) was the brain child of Jenny (</w:t>
      </w:r>
      <w:proofErr w:type="spellStart"/>
      <w:r w:rsidRPr="00986894">
        <w:t>Zhiya</w:t>
      </w:r>
      <w:proofErr w:type="spellEnd"/>
      <w:r w:rsidRPr="00986894">
        <w:t xml:space="preserve">) Qian. The idea of establishing a technology-driven, on-demand coffee business came to her when she developed a strong liking for coffee to sustain her energy levels during extended hours working as chief operating officer (COO) of </w:t>
      </w:r>
      <w:proofErr w:type="spellStart"/>
      <w:r w:rsidRPr="00986894">
        <w:t>UCar</w:t>
      </w:r>
      <w:proofErr w:type="spellEnd"/>
      <w:r w:rsidRPr="00986894">
        <w:t xml:space="preserve"> Inc. (</w:t>
      </w:r>
      <w:proofErr w:type="spellStart"/>
      <w:r w:rsidRPr="00986894">
        <w:t>UCar</w:t>
      </w:r>
      <w:proofErr w:type="spellEnd"/>
      <w:r w:rsidRPr="00986894">
        <w:t>).</w:t>
      </w:r>
      <w:r w:rsidRPr="00986894">
        <w:rPr>
          <w:rStyle w:val="EndnoteReference"/>
        </w:rPr>
        <w:endnoteReference w:id="9"/>
      </w:r>
      <w:r w:rsidRPr="00986894">
        <w:t xml:space="preserve"> </w:t>
      </w:r>
      <w:proofErr w:type="spellStart"/>
      <w:r w:rsidRPr="00986894">
        <w:t>UCar</w:t>
      </w:r>
      <w:proofErr w:type="spellEnd"/>
      <w:r w:rsidRPr="00986894">
        <w:t xml:space="preserve"> was an online car-hailing service that had been spun off from China Auto Rental (CAR), China’s largest car-rental company. Both companies were founded by Charles (</w:t>
      </w:r>
      <w:proofErr w:type="spellStart"/>
      <w:r w:rsidRPr="00986894">
        <w:t>Zhengyao</w:t>
      </w:r>
      <w:proofErr w:type="spellEnd"/>
      <w:r w:rsidRPr="00986894">
        <w:t>) Lu. CAR was founded in 2007 and listed on the Stock Exchange of Hong Kong Ltd. (SEHK) in 2014,</w:t>
      </w:r>
      <w:r w:rsidRPr="00986894">
        <w:rPr>
          <w:rStyle w:val="EndnoteReference"/>
        </w:rPr>
        <w:endnoteReference w:id="10"/>
      </w:r>
      <w:r w:rsidRPr="00986894">
        <w:t xml:space="preserve"> while </w:t>
      </w:r>
      <w:proofErr w:type="spellStart"/>
      <w:r w:rsidRPr="00986894">
        <w:t>UCar</w:t>
      </w:r>
      <w:proofErr w:type="spellEnd"/>
      <w:r w:rsidRPr="00986894">
        <w:t xml:space="preserve"> was established in 2015 and listed on China’s New Third Board Market in 2016.</w:t>
      </w:r>
      <w:r w:rsidRPr="00986894">
        <w:rPr>
          <w:rStyle w:val="EndnoteReference"/>
        </w:rPr>
        <w:endnoteReference w:id="11"/>
      </w:r>
      <w:r w:rsidRPr="00986894">
        <w:t xml:space="preserve"> Qian served as CAR’s executive vice-president and COO before moving to </w:t>
      </w:r>
      <w:proofErr w:type="spellStart"/>
      <w:r w:rsidRPr="00986894">
        <w:t>UCar</w:t>
      </w:r>
      <w:proofErr w:type="spellEnd"/>
      <w:r w:rsidRPr="00986894">
        <w:t>.</w:t>
      </w:r>
      <w:r w:rsidRPr="00986894">
        <w:rPr>
          <w:rStyle w:val="EndnoteReference"/>
        </w:rPr>
        <w:endnoteReference w:id="12"/>
      </w:r>
      <w:r w:rsidRPr="00986894">
        <w:t xml:space="preserve"> </w:t>
      </w:r>
    </w:p>
    <w:p w14:paraId="4D4630C1" w14:textId="77777777" w:rsidR="00986894" w:rsidRPr="00986894" w:rsidRDefault="00986894" w:rsidP="00D606C4">
      <w:pPr>
        <w:pStyle w:val="BodyTextMain"/>
      </w:pPr>
    </w:p>
    <w:p w14:paraId="1D7E0872" w14:textId="28764192" w:rsidR="00986894" w:rsidRPr="00986894" w:rsidRDefault="00986894" w:rsidP="001769C5">
      <w:pPr>
        <w:pStyle w:val="BodyTextMain"/>
      </w:pPr>
      <w:r w:rsidRPr="00986894">
        <w:t xml:space="preserve">Lu, who became </w:t>
      </w:r>
      <w:proofErr w:type="spellStart"/>
      <w:r w:rsidR="006563AC" w:rsidRPr="00986894">
        <w:t>Luckin’s</w:t>
      </w:r>
      <w:proofErr w:type="spellEnd"/>
      <w:r w:rsidR="006563AC" w:rsidRPr="00986894">
        <w:t xml:space="preserve"> </w:t>
      </w:r>
      <w:r w:rsidRPr="00986894">
        <w:t xml:space="preserve">chair, invested as </w:t>
      </w:r>
      <w:r w:rsidR="006563AC" w:rsidRPr="00986894">
        <w:t xml:space="preserve">the company’s </w:t>
      </w:r>
      <w:r w:rsidRPr="00986894">
        <w:t xml:space="preserve">first angel investor through </w:t>
      </w:r>
      <w:proofErr w:type="spellStart"/>
      <w:r w:rsidRPr="00986894">
        <w:t>Haode</w:t>
      </w:r>
      <w:proofErr w:type="spellEnd"/>
      <w:r w:rsidRPr="00986894">
        <w:t xml:space="preserve"> Investment Inc., an asset management firm he established with his wife, </w:t>
      </w:r>
      <w:proofErr w:type="spellStart"/>
      <w:r w:rsidRPr="00986894">
        <w:t>Lichun</w:t>
      </w:r>
      <w:proofErr w:type="spellEnd"/>
      <w:r w:rsidRPr="00986894">
        <w:t xml:space="preserve"> Guo, and other family members.</w:t>
      </w:r>
      <w:r w:rsidRPr="00986894">
        <w:rPr>
          <w:rStyle w:val="EndnoteReference"/>
        </w:rPr>
        <w:endnoteReference w:id="13"/>
      </w:r>
      <w:r w:rsidRPr="00986894">
        <w:t xml:space="preserve"> Together with Qian and other investors, they registered Lucky Coffee Inc. in June 2017 in the Cayman Islands and later changed the company name to </w:t>
      </w:r>
      <w:proofErr w:type="spellStart"/>
      <w:r w:rsidRPr="00986894">
        <w:t>Luckin</w:t>
      </w:r>
      <w:proofErr w:type="spellEnd"/>
      <w:r w:rsidRPr="00986894">
        <w:t xml:space="preserve"> Coffee Inc. They subsequently established </w:t>
      </w:r>
      <w:proofErr w:type="spellStart"/>
      <w:r w:rsidRPr="00986894">
        <w:t>Luckin</w:t>
      </w:r>
      <w:proofErr w:type="spellEnd"/>
      <w:r w:rsidRPr="00986894">
        <w:t xml:space="preserve"> Coffee Investment Inc., which owned 100 per cent of </w:t>
      </w:r>
      <w:proofErr w:type="spellStart"/>
      <w:r w:rsidRPr="00986894">
        <w:t>Luckin</w:t>
      </w:r>
      <w:proofErr w:type="spellEnd"/>
      <w:r w:rsidRPr="00986894">
        <w:t xml:space="preserve"> Coffee (Hong Kong) Limited, in the British Virgin Islands. The Hong Kong–registered company</w:t>
      </w:r>
      <w:bookmarkStart w:id="5" w:name="_Hlk48672446"/>
      <w:r w:rsidRPr="00986894">
        <w:t xml:space="preserve"> had five wholly owned subsidiaries,</w:t>
      </w:r>
      <w:r w:rsidRPr="00986894">
        <w:rPr>
          <w:rStyle w:val="EndnoteReference"/>
        </w:rPr>
        <w:endnoteReference w:id="14"/>
      </w:r>
      <w:bookmarkEnd w:id="5"/>
      <w:r w:rsidRPr="00986894">
        <w:t xml:space="preserve"> including the operational firm China </w:t>
      </w:r>
      <w:proofErr w:type="spellStart"/>
      <w:r w:rsidRPr="00986894">
        <w:t>Luckin</w:t>
      </w:r>
      <w:proofErr w:type="spellEnd"/>
      <w:r w:rsidRPr="00986894">
        <w:t xml:space="preserve"> (see Exhibit 1). </w:t>
      </w:r>
    </w:p>
    <w:p w14:paraId="037F0C52" w14:textId="1E61F428" w:rsidR="00986894" w:rsidRPr="00986894" w:rsidRDefault="00986894" w:rsidP="00437E6A">
      <w:pPr>
        <w:pStyle w:val="Default"/>
        <w:rPr>
          <w:rFonts w:ascii="Times New Roman" w:hAnsi="Times New Roman" w:hint="default"/>
          <w:color w:val="000000" w:themeColor="text1"/>
          <w:sz w:val="22"/>
          <w:szCs w:val="22"/>
          <w:lang w:val="en-GB"/>
        </w:rPr>
      </w:pPr>
    </w:p>
    <w:p w14:paraId="2EE06CB6" w14:textId="5BBE3DF4" w:rsidR="00986894" w:rsidRPr="00986894" w:rsidRDefault="00986894" w:rsidP="0027023D">
      <w:pPr>
        <w:pStyle w:val="Default"/>
        <w:jc w:val="both"/>
        <w:rPr>
          <w:rFonts w:ascii="Times New Roman" w:hAnsi="Times New Roman" w:hint="default"/>
          <w:sz w:val="22"/>
          <w:szCs w:val="22"/>
          <w:lang w:val="en-GB"/>
        </w:rPr>
      </w:pPr>
      <w:r w:rsidRPr="00986894">
        <w:rPr>
          <w:rFonts w:ascii="Times New Roman" w:hAnsi="Times New Roman" w:hint="default"/>
          <w:color w:val="000000" w:themeColor="text1"/>
          <w:sz w:val="22"/>
          <w:szCs w:val="22"/>
          <w:lang w:val="en-GB"/>
        </w:rPr>
        <w:t>Qian and Lu seemed to work well together.</w:t>
      </w:r>
      <w:r w:rsidRPr="00986894">
        <w:rPr>
          <w:rFonts w:ascii="Times New Roman" w:hAnsi="Times New Roman" w:hint="default"/>
          <w:color w:val="000000" w:themeColor="text1"/>
          <w:sz w:val="22"/>
          <w:szCs w:val="22"/>
          <w:vertAlign w:val="superscript"/>
          <w:lang w:val="en-GB"/>
        </w:rPr>
        <w:endnoteReference w:id="15"/>
      </w:r>
      <w:r w:rsidRPr="00986894">
        <w:rPr>
          <w:rFonts w:ascii="Times New Roman" w:hAnsi="Times New Roman" w:hint="default"/>
          <w:color w:val="000000" w:themeColor="text1"/>
          <w:sz w:val="22"/>
          <w:szCs w:val="22"/>
          <w:lang w:val="en-GB"/>
        </w:rPr>
        <w:t xml:space="preserve"> They also bro</w:t>
      </w:r>
      <w:r w:rsidRPr="00986894">
        <w:rPr>
          <w:rFonts w:ascii="Times New Roman" w:hAnsi="Times New Roman" w:hint="default"/>
          <w:sz w:val="22"/>
          <w:szCs w:val="22"/>
          <w:lang w:val="en-GB"/>
        </w:rPr>
        <w:t xml:space="preserve">ught in other </w:t>
      </w:r>
      <w:proofErr w:type="spellStart"/>
      <w:r w:rsidRPr="00986894">
        <w:rPr>
          <w:rFonts w:ascii="Times New Roman" w:hAnsi="Times New Roman" w:hint="default"/>
          <w:sz w:val="22"/>
          <w:szCs w:val="22"/>
          <w:lang w:val="en-GB"/>
        </w:rPr>
        <w:t>UCar</w:t>
      </w:r>
      <w:proofErr w:type="spellEnd"/>
      <w:r w:rsidRPr="00986894">
        <w:rPr>
          <w:rFonts w:ascii="Times New Roman" w:hAnsi="Times New Roman" w:hint="default"/>
          <w:sz w:val="22"/>
          <w:szCs w:val="22"/>
          <w:lang w:val="en-GB"/>
        </w:rPr>
        <w:t xml:space="preserve"> and CAR team members such as Jian Liu, </w:t>
      </w:r>
      <w:proofErr w:type="spellStart"/>
      <w:r w:rsidRPr="00986894">
        <w:rPr>
          <w:rFonts w:ascii="Times New Roman" w:hAnsi="Times New Roman" w:hint="default"/>
          <w:sz w:val="22"/>
          <w:szCs w:val="22"/>
          <w:lang w:val="en-GB"/>
        </w:rPr>
        <w:t>Jinyi</w:t>
      </w:r>
      <w:proofErr w:type="spellEnd"/>
      <w:r w:rsidRPr="00986894">
        <w:rPr>
          <w:rFonts w:ascii="Times New Roman" w:hAnsi="Times New Roman" w:hint="default"/>
          <w:sz w:val="22"/>
          <w:szCs w:val="22"/>
          <w:lang w:val="en-GB"/>
        </w:rPr>
        <w:t xml:space="preserve"> Guo,</w:t>
      </w:r>
      <w:r w:rsidRPr="00986894">
        <w:rPr>
          <w:rFonts w:ascii="Times New Roman" w:hAnsi="Times New Roman" w:hint="default"/>
          <w:sz w:val="22"/>
          <w:szCs w:val="22"/>
          <w:vertAlign w:val="superscript"/>
          <w:lang w:val="en-GB"/>
        </w:rPr>
        <w:endnoteReference w:id="16"/>
      </w:r>
      <w:r w:rsidRPr="00986894">
        <w:rPr>
          <w:rFonts w:ascii="Times New Roman" w:hAnsi="Times New Roman" w:hint="default"/>
          <w:sz w:val="22"/>
          <w:szCs w:val="22"/>
          <w:lang w:val="en-GB"/>
        </w:rPr>
        <w:t xml:space="preserve"> and Fei Yang</w:t>
      </w:r>
      <w:bookmarkStart w:id="7" w:name="_Hlk49370144"/>
      <w:r w:rsidRPr="00986894">
        <w:rPr>
          <w:rFonts w:ascii="Times New Roman" w:hAnsi="Times New Roman" w:hint="default"/>
          <w:sz w:val="22"/>
          <w:szCs w:val="22"/>
          <w:lang w:val="en-GB"/>
        </w:rPr>
        <w:t>,</w:t>
      </w:r>
      <w:r w:rsidRPr="00986894">
        <w:rPr>
          <w:rFonts w:ascii="Times New Roman" w:hAnsi="Times New Roman" w:hint="default"/>
          <w:sz w:val="22"/>
          <w:szCs w:val="22"/>
          <w:vertAlign w:val="superscript"/>
          <w:lang w:val="en-GB"/>
        </w:rPr>
        <w:endnoteReference w:id="17"/>
      </w:r>
      <w:bookmarkEnd w:id="7"/>
      <w:r w:rsidRPr="00986894">
        <w:rPr>
          <w:rFonts w:ascii="Times New Roman" w:hAnsi="Times New Roman" w:hint="default"/>
          <w:sz w:val="22"/>
          <w:szCs w:val="22"/>
          <w:lang w:val="en-GB"/>
        </w:rPr>
        <w:t xml:space="preserve"> who were appointed as COO, senior vice president, and chief marketing officer (CMO), respectively. Qian and Lu applied the same strategies they had used in the other two companies to launch the </w:t>
      </w:r>
      <w:proofErr w:type="spellStart"/>
      <w:r w:rsidRPr="00986894">
        <w:rPr>
          <w:rFonts w:ascii="Times New Roman" w:hAnsi="Times New Roman" w:hint="default"/>
          <w:sz w:val="22"/>
          <w:szCs w:val="22"/>
          <w:lang w:val="en-GB"/>
        </w:rPr>
        <w:t>Luckin</w:t>
      </w:r>
      <w:proofErr w:type="spellEnd"/>
      <w:r w:rsidRPr="00986894">
        <w:rPr>
          <w:rFonts w:ascii="Times New Roman" w:hAnsi="Times New Roman" w:hint="default"/>
          <w:sz w:val="22"/>
          <w:szCs w:val="22"/>
          <w:lang w:val="en-GB"/>
        </w:rPr>
        <w:t xml:space="preserve"> brand.</w:t>
      </w:r>
      <w:r w:rsidRPr="00986894">
        <w:rPr>
          <w:rFonts w:ascii="Times New Roman" w:hAnsi="Times New Roman" w:hint="default"/>
          <w:color w:val="000000" w:themeColor="text1"/>
          <w:sz w:val="22"/>
          <w:szCs w:val="22"/>
          <w:vertAlign w:val="superscript"/>
          <w:lang w:val="en-GB"/>
        </w:rPr>
        <w:endnoteReference w:id="18"/>
      </w:r>
      <w:r w:rsidRPr="00986894">
        <w:rPr>
          <w:rFonts w:ascii="Times New Roman" w:hAnsi="Times New Roman" w:hint="default"/>
          <w:sz w:val="22"/>
          <w:szCs w:val="22"/>
          <w:lang w:val="en-GB"/>
        </w:rPr>
        <w:t xml:space="preserve"> Their formula was to overwhelm the market with physical presence and predatory prices to drive out competition, even if this was at the expense of profit.</w:t>
      </w:r>
      <w:r w:rsidRPr="00986894">
        <w:rPr>
          <w:rFonts w:ascii="Times New Roman" w:hAnsi="Times New Roman" w:hint="default"/>
          <w:color w:val="000000" w:themeColor="text1"/>
          <w:sz w:val="22"/>
          <w:szCs w:val="22"/>
          <w:vertAlign w:val="superscript"/>
          <w:lang w:val="en-GB"/>
        </w:rPr>
        <w:endnoteReference w:id="19"/>
      </w:r>
      <w:r w:rsidRPr="00986894">
        <w:rPr>
          <w:rFonts w:ascii="Times New Roman" w:hAnsi="Times New Roman" w:hint="default"/>
          <w:sz w:val="22"/>
          <w:szCs w:val="22"/>
          <w:lang w:val="en-GB"/>
        </w:rPr>
        <w:t xml:space="preserve"> </w:t>
      </w:r>
      <w:r w:rsidRPr="00986894">
        <w:rPr>
          <w:rFonts w:ascii="Times New Roman" w:hAnsi="Times New Roman" w:hint="default"/>
          <w:color w:val="000000" w:themeColor="text1"/>
          <w:sz w:val="22"/>
          <w:szCs w:val="22"/>
          <w:lang w:val="en-GB"/>
        </w:rPr>
        <w:t>They also us</w:t>
      </w:r>
      <w:r w:rsidRPr="00986894">
        <w:rPr>
          <w:rFonts w:ascii="Times New Roman" w:hAnsi="Times New Roman" w:hint="default"/>
          <w:sz w:val="22"/>
          <w:szCs w:val="22"/>
          <w:lang w:val="en-GB"/>
        </w:rPr>
        <w:t>ed the capital market to fuel growth.</w:t>
      </w:r>
      <w:r w:rsidRPr="00986894">
        <w:rPr>
          <w:rFonts w:ascii="Times New Roman" w:hAnsi="Times New Roman" w:hint="default"/>
          <w:color w:val="000000" w:themeColor="text1"/>
          <w:sz w:val="22"/>
          <w:szCs w:val="22"/>
          <w:vertAlign w:val="superscript"/>
          <w:lang w:val="en-GB"/>
        </w:rPr>
        <w:endnoteReference w:id="20"/>
      </w:r>
    </w:p>
    <w:p w14:paraId="55A08B76" w14:textId="77777777" w:rsidR="00986894" w:rsidRPr="00986894" w:rsidRDefault="00986894" w:rsidP="00D606C4">
      <w:pPr>
        <w:pStyle w:val="BodyTextMain"/>
      </w:pPr>
    </w:p>
    <w:p w14:paraId="25C8DC0B" w14:textId="4AA7E292" w:rsidR="00986894" w:rsidRPr="00986894" w:rsidRDefault="00986894" w:rsidP="001769C5">
      <w:pPr>
        <w:pStyle w:val="BodyTextMain"/>
      </w:pPr>
      <w:proofErr w:type="spellStart"/>
      <w:r w:rsidRPr="00986894">
        <w:t>Luckin’s</w:t>
      </w:r>
      <w:proofErr w:type="spellEnd"/>
      <w:r w:rsidRPr="00986894">
        <w:t xml:space="preserve"> appeal was straightforward. The company introduced a “new retail” model by changing the user experience through its company-developed mobile app that allowed it to gather real-time data on sales and customer preferences.</w:t>
      </w:r>
      <w:r w:rsidRPr="00986894">
        <w:rPr>
          <w:rStyle w:val="EndnoteReference"/>
        </w:rPr>
        <w:endnoteReference w:id="21"/>
      </w:r>
      <w:r w:rsidRPr="00986894">
        <w:t xml:space="preserve"> The app was also able to generate heat maps to determine where to locate future stores. The information was meant to help the company reach its target: to be the number-one coffee shop in Asia, with 10,000 coffee shops, by 2021.</w:t>
      </w:r>
      <w:r w:rsidRPr="00986894">
        <w:rPr>
          <w:rStyle w:val="EndnoteReference"/>
        </w:rPr>
        <w:endnoteReference w:id="22"/>
      </w:r>
      <w:r w:rsidRPr="00986894">
        <w:t xml:space="preserve"> </w:t>
      </w:r>
    </w:p>
    <w:p w14:paraId="2B7ACFCF" w14:textId="77777777" w:rsidR="00986894" w:rsidRPr="00986894" w:rsidRDefault="00986894" w:rsidP="007D2687">
      <w:pPr>
        <w:pStyle w:val="BodyTextMain"/>
      </w:pPr>
    </w:p>
    <w:p w14:paraId="0A4BE759" w14:textId="7ADFFD8F" w:rsidR="00986894" w:rsidRPr="00D606C4" w:rsidRDefault="00986894" w:rsidP="00F34453">
      <w:pPr>
        <w:pStyle w:val="BodyTextMain"/>
      </w:pPr>
      <w:r w:rsidRPr="00D606C4">
        <w:t xml:space="preserve">The timing of </w:t>
      </w:r>
      <w:proofErr w:type="spellStart"/>
      <w:r w:rsidRPr="00D606C4">
        <w:t>Luckin’s</w:t>
      </w:r>
      <w:proofErr w:type="spellEnd"/>
      <w:r w:rsidRPr="00D606C4">
        <w:t xml:space="preserve"> entry into the market could not have been any better. For one thing, the market for freshly brewed coffee was gr</w:t>
      </w:r>
      <w:r w:rsidRPr="001769C5">
        <w:t>owing. China’s per capita consumption of coffee in 2018 was only 1.6 cups versus 3</w:t>
      </w:r>
      <w:r w:rsidR="00FF6C4E" w:rsidRPr="007D2687">
        <w:t>88</w:t>
      </w:r>
      <w:r w:rsidRPr="007D2687">
        <w:t xml:space="preserve"> cups in the United States</w:t>
      </w:r>
      <w:r w:rsidR="00F224EF" w:rsidRPr="007D2687">
        <w:t>.</w:t>
      </w:r>
      <w:r w:rsidR="00FF6C4E" w:rsidRPr="007D2687">
        <w:rPr>
          <w:rStyle w:val="EndnoteReference"/>
        </w:rPr>
        <w:endnoteReference w:id="23"/>
      </w:r>
      <w:r w:rsidRPr="007D2687">
        <w:t xml:space="preserve"> A report from Frost and Sullivan projected the country’s average coffee consumption of freshly brewed coffee would increase to 5.5 cups per cap</w:t>
      </w:r>
      <w:r w:rsidRPr="00F34453">
        <w:t>ita by 2023.</w:t>
      </w:r>
      <w:r w:rsidRPr="00EE6190">
        <w:rPr>
          <w:rStyle w:val="EndnoteReference"/>
        </w:rPr>
        <w:endnoteReference w:id="24"/>
      </w:r>
      <w:r w:rsidRPr="00EE6190">
        <w:t xml:space="preserve"> Moreover, a 2018 survey revealed that Chinese preferences were shifting from international to local brands.</w:t>
      </w:r>
      <w:r w:rsidRPr="00D606C4">
        <w:rPr>
          <w:rStyle w:val="EndnoteReference"/>
        </w:rPr>
        <w:endnoteReference w:id="25"/>
      </w:r>
      <w:r w:rsidRPr="00D606C4">
        <w:t xml:space="preserve"> The shift was created by two related factors: the rising tension between China and the United States</w:t>
      </w:r>
      <w:r w:rsidRPr="00D606C4">
        <w:rPr>
          <w:rStyle w:val="EndnoteReference"/>
        </w:rPr>
        <w:endnoteReference w:id="26"/>
      </w:r>
      <w:r w:rsidRPr="00D606C4">
        <w:t xml:space="preserve"> and a greater need for Chinese consumers to tighten their belts in view of economic uncertainties.</w:t>
      </w:r>
      <w:r w:rsidRPr="00D606C4">
        <w:rPr>
          <w:rStyle w:val="EndnoteReference"/>
        </w:rPr>
        <w:endnoteReference w:id="27"/>
      </w:r>
      <w:r w:rsidRPr="00D606C4">
        <w:t xml:space="preserve"> Thus, a home</w:t>
      </w:r>
      <w:r w:rsidR="000A743E" w:rsidRPr="00D606C4">
        <w:t>-</w:t>
      </w:r>
      <w:r w:rsidRPr="00D606C4">
        <w:t>grown coffee shop that sold affordable products was a good alternative to more expensive international brands.</w:t>
      </w:r>
    </w:p>
    <w:p w14:paraId="1E382861" w14:textId="77777777" w:rsidR="00986894" w:rsidRPr="00986894" w:rsidRDefault="00986894" w:rsidP="008D0B41">
      <w:pPr>
        <w:pStyle w:val="Default"/>
        <w:rPr>
          <w:rFonts w:ascii="Times New Roman" w:hAnsi="Times New Roman" w:hint="default"/>
          <w:color w:val="000000" w:themeColor="text1"/>
          <w:lang w:val="en-GB"/>
        </w:rPr>
      </w:pPr>
    </w:p>
    <w:p w14:paraId="5CD6A0BE" w14:textId="692D8D4F" w:rsidR="00986894" w:rsidRPr="00D606C4" w:rsidRDefault="00986894" w:rsidP="00D606C4">
      <w:pPr>
        <w:pStyle w:val="BodyTextMain"/>
      </w:pPr>
      <w:r w:rsidRPr="00D606C4">
        <w:t>From only nine coffee shop</w:t>
      </w:r>
      <w:r w:rsidR="00F224EF" w:rsidRPr="00D606C4">
        <w:t>s</w:t>
      </w:r>
      <w:r w:rsidRPr="00D606C4">
        <w:t xml:space="preserve"> at the beginning of 2018, </w:t>
      </w:r>
      <w:proofErr w:type="spellStart"/>
      <w:r w:rsidRPr="00D606C4">
        <w:t>Luckin</w:t>
      </w:r>
      <w:proofErr w:type="spellEnd"/>
      <w:r w:rsidRPr="00D606C4">
        <w:t xml:space="preserve"> grew to 525 stores spread over 13 cities by May 2018.</w:t>
      </w:r>
      <w:r w:rsidRPr="00D606C4">
        <w:rPr>
          <w:rStyle w:val="EndnoteReference"/>
        </w:rPr>
        <w:endnoteReference w:id="28"/>
      </w:r>
      <w:r w:rsidRPr="00D606C4">
        <w:t xml:space="preserve"> By then, </w:t>
      </w:r>
      <w:r w:rsidR="00F224EF" w:rsidRPr="00D606C4">
        <w:t>the company</w:t>
      </w:r>
      <w:r w:rsidRPr="00D606C4">
        <w:t xml:space="preserve"> had sold 18 million cups to 3.5 million customers.</w:t>
      </w:r>
      <w:r w:rsidRPr="00D606C4">
        <w:rPr>
          <w:rStyle w:val="EndnoteReference"/>
        </w:rPr>
        <w:endnoteReference w:id="29"/>
      </w:r>
      <w:r w:rsidRPr="00D606C4">
        <w:t xml:space="preserve"> However, to grow even faster, the company needed more funds. In July 2018, the company was able to raise $200 million from GIC Private Limited (Singapore’s state investment fund), China International Capital Corporation Limited (one of China’s leading investment banks), Centurium Capital (a Chinese private equity investment firm), and Joy Capital (a local venture capitalist).</w:t>
      </w:r>
      <w:r w:rsidRPr="00D606C4">
        <w:rPr>
          <w:rStyle w:val="EndnoteReference"/>
        </w:rPr>
        <w:endnoteReference w:id="30"/>
      </w:r>
      <w:r w:rsidRPr="00D606C4">
        <w:t xml:space="preserve"> Centurium Capital and Joy Capital had also invested in CAR and </w:t>
      </w:r>
      <w:proofErr w:type="spellStart"/>
      <w:r w:rsidRPr="00D606C4">
        <w:t>UCar</w:t>
      </w:r>
      <w:proofErr w:type="spellEnd"/>
      <w:r w:rsidRPr="00D606C4">
        <w:t>.</w:t>
      </w:r>
      <w:r w:rsidRPr="00D606C4">
        <w:rPr>
          <w:rStyle w:val="EndnoteReference"/>
        </w:rPr>
        <w:endnoteReference w:id="31"/>
      </w:r>
      <w:r w:rsidRPr="00D606C4">
        <w:t xml:space="preserve"> With the additional infusion, </w:t>
      </w:r>
      <w:proofErr w:type="spellStart"/>
      <w:r w:rsidRPr="00D606C4">
        <w:t>Luckin</w:t>
      </w:r>
      <w:proofErr w:type="spellEnd"/>
      <w:r w:rsidRPr="00D606C4">
        <w:t xml:space="preserve"> reached the $1.0 billion valuation benchmark required to be classified as a unicorn.</w:t>
      </w:r>
      <w:r w:rsidRPr="00D606C4">
        <w:rPr>
          <w:rStyle w:val="EndnoteReference"/>
        </w:rPr>
        <w:endnoteReference w:id="32"/>
      </w:r>
    </w:p>
    <w:p w14:paraId="4396FDDF" w14:textId="325B6556" w:rsidR="00986894" w:rsidRPr="00D606C4" w:rsidRDefault="00986894" w:rsidP="00D606C4">
      <w:pPr>
        <w:pStyle w:val="BodyTextMain"/>
      </w:pPr>
      <w:r w:rsidRPr="00D606C4">
        <w:lastRenderedPageBreak/>
        <w:t>The number of stores quickly multiplied. From 800 stores in August 2018, the company had reached 2,000 stores by the end of that year</w:t>
      </w:r>
      <w:r w:rsidRPr="00D606C4">
        <w:rPr>
          <w:rStyle w:val="EndnoteReference"/>
        </w:rPr>
        <w:endnoteReference w:id="33"/>
      </w:r>
      <w:r w:rsidRPr="00D606C4">
        <w:t xml:space="preserve"> (see Exhibit 2). To help reach its new market, </w:t>
      </w:r>
      <w:proofErr w:type="spellStart"/>
      <w:r w:rsidRPr="00D606C4">
        <w:t>Luckin</w:t>
      </w:r>
      <w:proofErr w:type="spellEnd"/>
      <w:r w:rsidRPr="00D606C4">
        <w:t xml:space="preserve"> partnered with Tencent Holdings Ltd., the owner of the WeChat messaging service.</w:t>
      </w:r>
      <w:r w:rsidRPr="00D606C4">
        <w:rPr>
          <w:rStyle w:val="EndnoteReference"/>
        </w:rPr>
        <w:endnoteReference w:id="34"/>
      </w:r>
      <w:r w:rsidRPr="00D606C4">
        <w:t xml:space="preserve"> The growth attracted the attention of </w:t>
      </w:r>
      <w:r w:rsidR="00D43633" w:rsidRPr="00D606C4">
        <w:t>US</w:t>
      </w:r>
      <w:r w:rsidRPr="00D606C4">
        <w:t>-based asset manager BlackRock Inc. (BlackRock), resulting in another investment infusion.</w:t>
      </w:r>
      <w:r w:rsidRPr="00D606C4">
        <w:rPr>
          <w:rStyle w:val="EndnoteReference"/>
        </w:rPr>
        <w:endnoteReference w:id="35"/>
      </w:r>
      <w:r w:rsidRPr="00D606C4">
        <w:t xml:space="preserve"> At this point, </w:t>
      </w:r>
      <w:proofErr w:type="spellStart"/>
      <w:r w:rsidRPr="00D606C4">
        <w:t>Luckin</w:t>
      </w:r>
      <w:proofErr w:type="spellEnd"/>
      <w:r w:rsidRPr="00D606C4">
        <w:t xml:space="preserve"> had a valuation of $2.9 billion.</w:t>
      </w:r>
      <w:r w:rsidRPr="00D606C4">
        <w:rPr>
          <w:rStyle w:val="EndnoteReference"/>
        </w:rPr>
        <w:endnoteReference w:id="36"/>
      </w:r>
      <w:r w:rsidRPr="00D606C4">
        <w:t xml:space="preserve"> </w:t>
      </w:r>
    </w:p>
    <w:p w14:paraId="2652D6E7" w14:textId="77777777" w:rsidR="00986894" w:rsidRPr="00986894" w:rsidRDefault="00986894" w:rsidP="001769C5">
      <w:pPr>
        <w:pStyle w:val="BodyTextMain"/>
      </w:pPr>
    </w:p>
    <w:p w14:paraId="6B19DEA1" w14:textId="11249404" w:rsidR="00986894" w:rsidRPr="00986894" w:rsidRDefault="00986894" w:rsidP="00F34453">
      <w:pPr>
        <w:pStyle w:val="BodyTextMain"/>
      </w:pPr>
      <w:r w:rsidRPr="00986894">
        <w:t xml:space="preserve">In pursuit of its store growth and marketing strategies, </w:t>
      </w:r>
      <w:proofErr w:type="spellStart"/>
      <w:r w:rsidRPr="00986894">
        <w:t>Luckin</w:t>
      </w:r>
      <w:proofErr w:type="spellEnd"/>
      <w:r w:rsidRPr="00986894">
        <w:t xml:space="preserve"> continued to burn cash at a rapid pace. The company’s pick-up stores were small—just large enough to accommodate the baristas, the coffee makers, a serving counter, and a few stools.</w:t>
      </w:r>
      <w:r w:rsidRPr="00986894">
        <w:rPr>
          <w:rStyle w:val="EndnoteReference"/>
        </w:rPr>
        <w:endnoteReference w:id="37"/>
      </w:r>
      <w:r w:rsidRPr="00986894">
        <w:t xml:space="preserve"> In 2018, most of these outlets </w:t>
      </w:r>
      <w:proofErr w:type="gramStart"/>
      <w:r w:rsidRPr="00986894">
        <w:t>were located in</w:t>
      </w:r>
      <w:proofErr w:type="gramEnd"/>
      <w:r w:rsidRPr="00986894">
        <w:t xml:space="preserve"> the lobbies of buildings and shopping malls in Tier-1 cities such as Shanghai, Beijing, Guangzhou, and </w:t>
      </w:r>
      <w:proofErr w:type="spellStart"/>
      <w:r w:rsidRPr="00986894">
        <w:t>Shenzen</w:t>
      </w:r>
      <w:proofErr w:type="spellEnd"/>
      <w:r w:rsidRPr="00986894">
        <w:t xml:space="preserve">, which made rent very expensive. The company also continued its promotions—such as </w:t>
      </w:r>
      <w:bookmarkStart w:id="8" w:name="_Hlk48835614"/>
      <w:r w:rsidRPr="00986894">
        <w:t>a free first cup of coffee; a buy two, get one free deal; a buy five, get five free deal; and free delivery, through its business partner SF Express, for minimum orders.</w:t>
      </w:r>
      <w:r w:rsidRPr="00986894">
        <w:rPr>
          <w:rStyle w:val="EndnoteReference"/>
        </w:rPr>
        <w:endnoteReference w:id="38"/>
      </w:r>
      <w:bookmarkEnd w:id="8"/>
      <w:r w:rsidRPr="00986894">
        <w:t xml:space="preserve"> The large scale made it impossible to generate store profits. At the end of 2018, the company reported losses of $241.3 million; and in the first quarter of 2019, its losses were already $88.0 million (see Exhibit 3). By this time, </w:t>
      </w:r>
      <w:proofErr w:type="spellStart"/>
      <w:r w:rsidRPr="00986894">
        <w:t>Luckin</w:t>
      </w:r>
      <w:proofErr w:type="spellEnd"/>
      <w:r w:rsidRPr="00986894">
        <w:t xml:space="preserve"> had a base of 16.8 million customers, who had consumed 90 million cups of coffee.</w:t>
      </w:r>
      <w:r w:rsidRPr="00986894">
        <w:rPr>
          <w:rStyle w:val="EndnoteReference"/>
        </w:rPr>
        <w:endnoteReference w:id="39"/>
      </w:r>
    </w:p>
    <w:p w14:paraId="4D12009E" w14:textId="77777777" w:rsidR="00986894" w:rsidRPr="00986894" w:rsidRDefault="00986894" w:rsidP="00EE6190">
      <w:pPr>
        <w:pStyle w:val="BodyTextMain"/>
      </w:pPr>
    </w:p>
    <w:p w14:paraId="016857C3" w14:textId="5594FEE9" w:rsidR="00986894" w:rsidRPr="00986894" w:rsidRDefault="00986894">
      <w:pPr>
        <w:pStyle w:val="BodyTextMain"/>
      </w:pPr>
      <w:proofErr w:type="spellStart"/>
      <w:r w:rsidRPr="00986894">
        <w:t>Luckin</w:t>
      </w:r>
      <w:proofErr w:type="spellEnd"/>
      <w:r w:rsidRPr="00986894">
        <w:t xml:space="preserve"> continued to be aggressive</w:t>
      </w:r>
      <w:r w:rsidR="00CA018B">
        <w:t xml:space="preserve"> and i</w:t>
      </w:r>
      <w:r w:rsidRPr="00986894">
        <w:t xml:space="preserve">n January 2019 hired </w:t>
      </w:r>
      <w:proofErr w:type="spellStart"/>
      <w:r w:rsidRPr="00986894">
        <w:t>Reinout</w:t>
      </w:r>
      <w:proofErr w:type="spellEnd"/>
      <w:r w:rsidRPr="00986894">
        <w:t xml:space="preserve"> </w:t>
      </w:r>
      <w:proofErr w:type="spellStart"/>
      <w:r w:rsidRPr="00986894">
        <w:t>Schakel</w:t>
      </w:r>
      <w:proofErr w:type="spellEnd"/>
      <w:r w:rsidRPr="00986894">
        <w:t xml:space="preserve"> as its chief financial officer (CFO) and chief strategy officer (CSO).</w:t>
      </w:r>
      <w:r w:rsidRPr="00986894">
        <w:rPr>
          <w:rStyle w:val="EndnoteReference"/>
        </w:rPr>
        <w:endnoteReference w:id="40"/>
      </w:r>
      <w:r w:rsidRPr="00986894">
        <w:t xml:space="preserve"> The only non-Chinese-speaking senior executive was tasked with dealing with Western investors. One such investor was Credit Suisse, </w:t>
      </w:r>
      <w:proofErr w:type="spellStart"/>
      <w:r w:rsidRPr="00986894">
        <w:t>Schakel’s</w:t>
      </w:r>
      <w:proofErr w:type="spellEnd"/>
      <w:r w:rsidRPr="00986894">
        <w:t xml:space="preserve"> former employer, whose then–chief executive officer (CEO) described </w:t>
      </w:r>
      <w:proofErr w:type="spellStart"/>
      <w:r w:rsidRPr="00986894">
        <w:t>Luckin</w:t>
      </w:r>
      <w:proofErr w:type="spellEnd"/>
      <w:r w:rsidRPr="00986894">
        <w:t xml:space="preserve"> as the “dream client” and Lu as the “poster child” for what Credit Suisse wanted to do.</w:t>
      </w:r>
      <w:r w:rsidRPr="00986894">
        <w:rPr>
          <w:rStyle w:val="EndnoteReference"/>
        </w:rPr>
        <w:endnoteReference w:id="41"/>
      </w:r>
      <w:r w:rsidRPr="00986894">
        <w:t xml:space="preserve"> Together with Morgan Stanley and two Chinese investment banks, Credit Suisse underwrote </w:t>
      </w:r>
      <w:proofErr w:type="spellStart"/>
      <w:r w:rsidRPr="00986894">
        <w:t>Luckin</w:t>
      </w:r>
      <w:r w:rsidR="00425049">
        <w:t>’</w:t>
      </w:r>
      <w:r w:rsidRPr="00986894">
        <w:t>s</w:t>
      </w:r>
      <w:proofErr w:type="spellEnd"/>
      <w:r w:rsidRPr="00986894">
        <w:t xml:space="preserve"> successful IPO on the Nasdaq in May 2019. Beyond its initial $100 million application, the company raised $561 million on its offer of 33 million American depositary shares (ADSs)</w:t>
      </w:r>
      <w:r w:rsidRPr="00986894">
        <w:rPr>
          <w:rStyle w:val="EndnoteReference"/>
        </w:rPr>
        <w:endnoteReference w:id="42"/>
      </w:r>
      <w:r w:rsidRPr="00986894">
        <w:t xml:space="preserve"> representing 264,000 Class A ordinary shares</w:t>
      </w:r>
      <w:bookmarkStart w:id="9" w:name="_Hlk54268229"/>
      <w:r w:rsidRPr="00986894">
        <w:t>.</w:t>
      </w:r>
      <w:r w:rsidRPr="00986894">
        <w:rPr>
          <w:vertAlign w:val="superscript"/>
        </w:rPr>
        <w:endnoteReference w:id="43"/>
      </w:r>
      <w:bookmarkEnd w:id="9"/>
      <w:r w:rsidRPr="00986894">
        <w:t xml:space="preserve"> As a result of the IPO, the company’s valuation increased to $10 billion, which the company expected to quadruple by 2020.</w:t>
      </w:r>
      <w:r w:rsidRPr="00986894">
        <w:rPr>
          <w:rStyle w:val="EndnoteReference"/>
        </w:rPr>
        <w:endnoteReference w:id="44"/>
      </w:r>
      <w:r w:rsidRPr="00986894">
        <w:t xml:space="preserve"> </w:t>
      </w:r>
    </w:p>
    <w:p w14:paraId="54D08713" w14:textId="77777777" w:rsidR="00986894" w:rsidRPr="00986894" w:rsidRDefault="00986894">
      <w:pPr>
        <w:pStyle w:val="BodyTextMain"/>
      </w:pPr>
    </w:p>
    <w:p w14:paraId="6DD59F76" w14:textId="2EECDD42" w:rsidR="00986894" w:rsidRPr="00986894" w:rsidRDefault="00986894">
      <w:pPr>
        <w:pStyle w:val="BodyTextMain"/>
      </w:pPr>
      <w:r w:rsidRPr="00986894">
        <w:t xml:space="preserve">Buoyed by additional funds and investor confidence, </w:t>
      </w:r>
      <w:proofErr w:type="spellStart"/>
      <w:r w:rsidRPr="00986894">
        <w:t>Luckin</w:t>
      </w:r>
      <w:proofErr w:type="spellEnd"/>
      <w:r w:rsidRPr="00986894">
        <w:t xml:space="preserve"> continued to increase the number of its stores and company-owned subsidiaries (see Exhibit 4). By August 2019, the company had reached about 3,000 stores, mostly located in Tier-2 and Tier-3 cities</w:t>
      </w:r>
      <w:r w:rsidRPr="00986894">
        <w:rPr>
          <w:rStyle w:val="EndnoteReference"/>
        </w:rPr>
        <w:endnoteReference w:id="45"/>
      </w:r>
      <w:r w:rsidRPr="00986894">
        <w:t xml:space="preserve"> as most of the Tier-1 cities were already fully saturated, with </w:t>
      </w:r>
      <w:r w:rsidR="006646A5">
        <w:t xml:space="preserve">some </w:t>
      </w:r>
      <w:r w:rsidRPr="00986894">
        <w:t>stores located only 500 metres apart.</w:t>
      </w:r>
      <w:r w:rsidRPr="00986894">
        <w:rPr>
          <w:rStyle w:val="EndnoteReference"/>
        </w:rPr>
        <w:endnoteReference w:id="46"/>
      </w:r>
      <w:r w:rsidRPr="00986894">
        <w:t xml:space="preserve"> Meanwhile, it was reported that Steven Cohen’s Point72 Asset Management had acquired 5.1 per cent of </w:t>
      </w:r>
      <w:proofErr w:type="spellStart"/>
      <w:r w:rsidRPr="00986894">
        <w:t>Luckin</w:t>
      </w:r>
      <w:proofErr w:type="spellEnd"/>
      <w:r w:rsidRPr="00986894">
        <w:t xml:space="preserve"> for $390 million.</w:t>
      </w:r>
      <w:r w:rsidRPr="00986894">
        <w:rPr>
          <w:rStyle w:val="EndnoteReference"/>
        </w:rPr>
        <w:endnoteReference w:id="47"/>
      </w:r>
      <w:r w:rsidRPr="00986894">
        <w:t xml:space="preserve"> </w:t>
      </w:r>
      <w:proofErr w:type="spellStart"/>
      <w:r w:rsidRPr="00986894">
        <w:t>Luckin</w:t>
      </w:r>
      <w:proofErr w:type="spellEnd"/>
      <w:r w:rsidRPr="00986894">
        <w:t xml:space="preserve"> also disclosed that it had partnered with Middle Eastern Americana Group, in order to expand into the Middle East and India,</w:t>
      </w:r>
      <w:r w:rsidRPr="00986894">
        <w:rPr>
          <w:rStyle w:val="EndnoteReference"/>
        </w:rPr>
        <w:endnoteReference w:id="48"/>
      </w:r>
      <w:r w:rsidRPr="00986894">
        <w:t xml:space="preserve"> and with Europe-based Louis Dreyfus, which would supply orange juice.</w:t>
      </w:r>
      <w:r w:rsidRPr="00986894">
        <w:rPr>
          <w:rStyle w:val="EndnoteReference"/>
        </w:rPr>
        <w:endnoteReference w:id="49"/>
      </w:r>
      <w:r w:rsidRPr="00986894">
        <w:t xml:space="preserve"> Earlier, the company also announced that it would be establishing separate </w:t>
      </w:r>
      <w:proofErr w:type="spellStart"/>
      <w:r w:rsidRPr="00986894">
        <w:t>Luckin</w:t>
      </w:r>
      <w:proofErr w:type="spellEnd"/>
      <w:r w:rsidRPr="00986894">
        <w:t xml:space="preserve"> Tea Stores under a partnership model to sell the tea drinks it had been selling in the coffee shops.</w:t>
      </w:r>
      <w:r w:rsidRPr="00986894">
        <w:rPr>
          <w:rStyle w:val="EndnoteReference"/>
        </w:rPr>
        <w:endnoteReference w:id="50"/>
      </w:r>
      <w:r w:rsidRPr="00986894">
        <w:t xml:space="preserve"> </w:t>
      </w:r>
    </w:p>
    <w:p w14:paraId="12AE835E" w14:textId="77777777" w:rsidR="00986894" w:rsidRPr="00986894" w:rsidRDefault="00986894">
      <w:pPr>
        <w:pStyle w:val="BodyTextMain"/>
      </w:pPr>
    </w:p>
    <w:p w14:paraId="3212B16B" w14:textId="2B0A1C1C" w:rsidR="00986894" w:rsidRPr="00986894" w:rsidRDefault="00986894">
      <w:pPr>
        <w:pStyle w:val="BodyTextMain"/>
      </w:pPr>
      <w:r w:rsidRPr="00986894">
        <w:t>In January 2020, the company revealed it had transacted with 40 million customers</w:t>
      </w:r>
      <w:bookmarkStart w:id="10" w:name="_Hlk54265123"/>
      <w:r w:rsidRPr="00986894">
        <w:rPr>
          <w:rStyle w:val="EndnoteReference"/>
        </w:rPr>
        <w:endnoteReference w:id="51"/>
      </w:r>
      <w:bookmarkEnd w:id="10"/>
      <w:r w:rsidRPr="00986894">
        <w:t xml:space="preserve"> and reached its target of 4,500 stores.</w:t>
      </w:r>
      <w:r w:rsidRPr="00986894">
        <w:rPr>
          <w:rStyle w:val="EndnoteReference"/>
        </w:rPr>
        <w:endnoteReference w:id="52"/>
      </w:r>
      <w:r w:rsidRPr="00986894">
        <w:t xml:space="preserve"> These accomplishments paved the way for even greater growth strategies. With the intention of entering the unstaffed retail market with </w:t>
      </w:r>
      <w:proofErr w:type="spellStart"/>
      <w:r w:rsidRPr="00986894">
        <w:t>Luckin</w:t>
      </w:r>
      <w:proofErr w:type="spellEnd"/>
      <w:r w:rsidRPr="00986894">
        <w:t xml:space="preserve"> Coffee Express and </w:t>
      </w:r>
      <w:proofErr w:type="spellStart"/>
      <w:r w:rsidRPr="00986894">
        <w:t>Luckin</w:t>
      </w:r>
      <w:proofErr w:type="spellEnd"/>
      <w:r w:rsidRPr="00986894">
        <w:t xml:space="preserve"> Pop, the company announced it was offering $400 million in aggregate principal amounts of convertible senior notes, which would be due in 2025 with a put option in 2023,</w:t>
      </w:r>
      <w:r w:rsidRPr="00986894">
        <w:rPr>
          <w:rStyle w:val="EndnoteReference"/>
        </w:rPr>
        <w:endnoteReference w:id="53"/>
      </w:r>
      <w:r w:rsidRPr="00986894">
        <w:t xml:space="preserve"> as well as 12 million ADSs priced at $42 each.</w:t>
      </w:r>
      <w:r w:rsidRPr="00986894">
        <w:rPr>
          <w:rStyle w:val="EndnoteReference"/>
        </w:rPr>
        <w:endnoteReference w:id="54"/>
      </w:r>
      <w:r w:rsidRPr="00986894">
        <w:t xml:space="preserve"> The company later disclosed that it had received net proceeds of about $446 million from the note offering and $418 million from the ADS offering.</w:t>
      </w:r>
      <w:r w:rsidRPr="00986894">
        <w:rPr>
          <w:rStyle w:val="EndnoteReference"/>
        </w:rPr>
        <w:endnoteReference w:id="55"/>
      </w:r>
      <w:r w:rsidRPr="00986894">
        <w:t xml:space="preserve"> That same month, its stock price reached its highest level of $51.38, closing at $50.02 on January 17</w:t>
      </w:r>
      <w:r w:rsidRPr="00986894">
        <w:rPr>
          <w:rStyle w:val="EndnoteReference"/>
        </w:rPr>
        <w:endnoteReference w:id="56"/>
      </w:r>
      <w:r w:rsidRPr="00986894">
        <w:t xml:space="preserve"> (see Exhibit 5). </w:t>
      </w:r>
    </w:p>
    <w:p w14:paraId="6819CD01" w14:textId="6DC1D2B5" w:rsidR="00986894" w:rsidRPr="00986894" w:rsidRDefault="00986894" w:rsidP="00515CCA">
      <w:pPr>
        <w:pStyle w:val="Casehead1"/>
        <w:keepNext/>
      </w:pPr>
      <w:r w:rsidRPr="00986894">
        <w:lastRenderedPageBreak/>
        <w:t>COMPETING WITH STARBUCKS</w:t>
      </w:r>
    </w:p>
    <w:p w14:paraId="40DA7EAC" w14:textId="77777777" w:rsidR="00986894" w:rsidRPr="00CD7A66" w:rsidRDefault="00986894" w:rsidP="00515CCA">
      <w:pPr>
        <w:pStyle w:val="BodyTextMain"/>
        <w:keepNext/>
        <w:rPr>
          <w:sz w:val="18"/>
        </w:rPr>
      </w:pPr>
    </w:p>
    <w:p w14:paraId="731BDE05" w14:textId="1B2FF8F5" w:rsidR="00986894" w:rsidRPr="00986894" w:rsidRDefault="00986894" w:rsidP="00961D61">
      <w:pPr>
        <w:keepNext/>
        <w:keepLines/>
        <w:jc w:val="both"/>
        <w:rPr>
          <w:rFonts w:eastAsia="Calibri"/>
          <w:color w:val="000000" w:themeColor="text1"/>
          <w:sz w:val="22"/>
          <w:szCs w:val="22"/>
          <w:lang w:val="en-GB"/>
        </w:rPr>
      </w:pP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mission, from its outset, was to surpass Starbucks Corporation (Starbucks) in terms of its number of stores.</w:t>
      </w:r>
      <w:r w:rsidRPr="00515CCA">
        <w:rPr>
          <w:rStyle w:val="EndnoteReference"/>
          <w:sz w:val="22"/>
          <w:lang w:val="en-GB"/>
        </w:rPr>
        <w:endnoteReference w:id="57"/>
      </w:r>
      <w:r w:rsidRPr="00986894">
        <w:rPr>
          <w:rFonts w:eastAsia="Calibri"/>
          <w:color w:val="000000" w:themeColor="text1"/>
          <w:sz w:val="22"/>
          <w:szCs w:val="22"/>
          <w:lang w:val="en-GB"/>
        </w:rPr>
        <w:t xml:space="preserve"> While there were several international brands in the market—such as Costa Coffee, the McDonalds Corporation, Pacific Coffee, Tim Hortons Inc., and Luigi Lavazza </w:t>
      </w:r>
      <w:proofErr w:type="spellStart"/>
      <w:r w:rsidRPr="00986894">
        <w:rPr>
          <w:rFonts w:eastAsia="Calibri"/>
          <w:color w:val="000000" w:themeColor="text1"/>
          <w:sz w:val="22"/>
          <w:szCs w:val="22"/>
          <w:lang w:val="en-GB"/>
        </w:rPr>
        <w:t>SpA</w:t>
      </w:r>
      <w:proofErr w:type="spellEnd"/>
      <w:r w:rsidRPr="00986894">
        <w:rPr>
          <w:rStyle w:val="EndnoteReference"/>
          <w:sz w:val="22"/>
          <w:szCs w:val="22"/>
          <w:lang w:val="en-GB"/>
        </w:rPr>
        <w:endnoteReference w:id="58"/>
      </w:r>
      <w:r w:rsidRPr="00986894">
        <w:rPr>
          <w:rFonts w:eastAsia="Calibri"/>
          <w:color w:val="000000" w:themeColor="text1"/>
          <w:sz w:val="22"/>
          <w:szCs w:val="22"/>
          <w:lang w:val="en-GB"/>
        </w:rPr>
        <w:t xml:space="preserve">—Starbucks was the market leader by a wide margin. Some reports pegged its share of the Chinese market at 80 per cent before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entered the picture.</w:t>
      </w:r>
      <w:r w:rsidRPr="00986894">
        <w:rPr>
          <w:rStyle w:val="EndnoteReference"/>
          <w:sz w:val="22"/>
          <w:szCs w:val="22"/>
          <w:lang w:val="en-GB"/>
        </w:rPr>
        <w:endnoteReference w:id="59"/>
      </w:r>
      <w:r w:rsidRPr="00986894">
        <w:rPr>
          <w:rFonts w:eastAsia="Calibri"/>
          <w:color w:val="000000" w:themeColor="text1"/>
          <w:sz w:val="22"/>
          <w:szCs w:val="22"/>
          <w:lang w:val="en-GB"/>
        </w:rPr>
        <w:t xml:space="preserve"> </w:t>
      </w:r>
    </w:p>
    <w:p w14:paraId="0CEF5B30" w14:textId="77777777" w:rsidR="00986894" w:rsidRPr="00CD7A66" w:rsidRDefault="00986894" w:rsidP="0052419A">
      <w:pPr>
        <w:jc w:val="both"/>
        <w:rPr>
          <w:rFonts w:eastAsia="Calibri"/>
          <w:color w:val="000000" w:themeColor="text1"/>
          <w:sz w:val="18"/>
          <w:szCs w:val="22"/>
          <w:lang w:val="en-GB"/>
        </w:rPr>
      </w:pPr>
    </w:p>
    <w:p w14:paraId="472EF09E" w14:textId="2DA80A2E" w:rsidR="00986894" w:rsidRPr="00986894" w:rsidRDefault="00986894" w:rsidP="0052419A">
      <w:pPr>
        <w:jc w:val="both"/>
        <w:rPr>
          <w:rFonts w:eastAsia="Calibri"/>
          <w:color w:val="000000" w:themeColor="text1"/>
          <w:sz w:val="22"/>
          <w:szCs w:val="22"/>
          <w:lang w:val="en-GB"/>
        </w:rPr>
      </w:pPr>
      <w:r w:rsidRPr="00986894">
        <w:rPr>
          <w:rFonts w:eastAsia="Calibri"/>
          <w:color w:val="000000" w:themeColor="text1"/>
          <w:sz w:val="22"/>
          <w:szCs w:val="22"/>
          <w:lang w:val="en-GB"/>
        </w:rPr>
        <w:t>While Starbucks had introduced coffee to China in 1999,</w:t>
      </w:r>
      <w:r w:rsidRPr="00986894">
        <w:rPr>
          <w:rStyle w:val="EndnoteReference"/>
          <w:rFonts w:eastAsia="Calibri"/>
          <w:color w:val="000000" w:themeColor="text1"/>
          <w:sz w:val="22"/>
          <w:szCs w:val="22"/>
          <w:lang w:val="en-GB"/>
        </w:rPr>
        <w:endnoteReference w:id="60"/>
      </w:r>
      <w:r w:rsidRPr="00986894">
        <w:rPr>
          <w:rFonts w:eastAsia="Calibri"/>
          <w:color w:val="000000" w:themeColor="text1"/>
          <w:sz w:val="22"/>
          <w:szCs w:val="22"/>
          <w:lang w:val="en-GB"/>
        </w:rPr>
        <w:t xml:space="preserve"> it was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that made it possible for more Chinese people to enjoy the drink, increasing the demand for coffee. The path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opted to take contrasted greatly with that of Starbucks (see Exhibit 6). The Chinese firm was intent on making its presence felt by being affordable and accessible; it also had a coffee blend that had received international recognition,</w:t>
      </w:r>
      <w:r w:rsidRPr="00986894">
        <w:rPr>
          <w:rStyle w:val="EndnoteReference"/>
          <w:sz w:val="22"/>
          <w:szCs w:val="22"/>
          <w:lang w:val="en-GB"/>
        </w:rPr>
        <w:endnoteReference w:id="61"/>
      </w:r>
      <w:r w:rsidRPr="00986894">
        <w:rPr>
          <w:rFonts w:eastAsia="Calibri"/>
          <w:color w:val="000000" w:themeColor="text1"/>
          <w:sz w:val="22"/>
          <w:szCs w:val="22"/>
          <w:lang w:val="en-GB"/>
        </w:rPr>
        <w:t xml:space="preserve"> thanks to its coffee consultant </w:t>
      </w:r>
      <w:proofErr w:type="spellStart"/>
      <w:r w:rsidRPr="00986894">
        <w:rPr>
          <w:rFonts w:eastAsia="Calibri"/>
          <w:color w:val="000000" w:themeColor="text1"/>
          <w:sz w:val="22"/>
          <w:szCs w:val="22"/>
          <w:lang w:val="en-GB"/>
        </w:rPr>
        <w:t>Hidenori</w:t>
      </w:r>
      <w:proofErr w:type="spellEnd"/>
      <w:r w:rsidRPr="00986894">
        <w:rPr>
          <w:rFonts w:eastAsia="Calibri"/>
          <w:color w:val="000000" w:themeColor="text1"/>
          <w:sz w:val="22"/>
          <w:szCs w:val="22"/>
          <w:lang w:val="en-GB"/>
        </w:rPr>
        <w:t xml:space="preserve"> </w:t>
      </w:r>
      <w:proofErr w:type="spellStart"/>
      <w:r w:rsidRPr="00986894">
        <w:rPr>
          <w:rFonts w:eastAsia="Calibri"/>
          <w:color w:val="000000" w:themeColor="text1"/>
          <w:sz w:val="22"/>
          <w:szCs w:val="22"/>
          <w:lang w:val="en-GB"/>
        </w:rPr>
        <w:t>Izaki</w:t>
      </w:r>
      <w:proofErr w:type="spellEnd"/>
      <w:r w:rsidRPr="00986894">
        <w:rPr>
          <w:rFonts w:eastAsia="Calibri"/>
          <w:color w:val="000000" w:themeColor="text1"/>
          <w:sz w:val="22"/>
          <w:szCs w:val="22"/>
          <w:lang w:val="en-GB"/>
        </w:rPr>
        <w:t>.</w:t>
      </w:r>
      <w:r w:rsidRPr="00515CCA">
        <w:rPr>
          <w:rStyle w:val="EndnoteReference"/>
          <w:sz w:val="22"/>
          <w:szCs w:val="22"/>
          <w:lang w:val="en-GB"/>
        </w:rPr>
        <w:endnoteReference w:id="62"/>
      </w:r>
      <w:r w:rsidRPr="00D606C4">
        <w:rPr>
          <w:rFonts w:eastAsia="Calibri"/>
          <w:color w:val="000000" w:themeColor="text1"/>
          <w:sz w:val="22"/>
          <w:szCs w:val="22"/>
          <w:lang w:val="en-GB"/>
        </w:rPr>
        <w:t xml:space="preserve"> </w:t>
      </w: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coffee was priced 40 per cent lower than Starbucks</w:t>
      </w:r>
      <w:r w:rsidR="00476DCF">
        <w:rPr>
          <w:rFonts w:eastAsia="Calibri"/>
          <w:color w:val="000000" w:themeColor="text1"/>
          <w:sz w:val="22"/>
          <w:szCs w:val="22"/>
          <w:lang w:val="en-GB"/>
        </w:rPr>
        <w:t>’</w:t>
      </w:r>
      <w:r w:rsidRPr="00986894">
        <w:rPr>
          <w:rFonts w:eastAsia="Calibri"/>
          <w:color w:val="000000" w:themeColor="text1"/>
          <w:sz w:val="22"/>
          <w:szCs w:val="22"/>
          <w:lang w:val="en-GB"/>
        </w:rPr>
        <w:t xml:space="preserve"> and cost even less when combined with promotions.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also introduced coffee delivery before Starbucks, even though the international firm had considered the delivery option much earlier.</w:t>
      </w:r>
      <w:r w:rsidRPr="00515CCA">
        <w:rPr>
          <w:rStyle w:val="EndnoteReference"/>
          <w:color w:val="000000" w:themeColor="text1"/>
          <w:sz w:val="22"/>
          <w:lang w:val="en-GB"/>
        </w:rPr>
        <w:endnoteReference w:id="63"/>
      </w:r>
      <w:r w:rsidRPr="00986894">
        <w:rPr>
          <w:rFonts w:eastAsia="Calibri"/>
          <w:color w:val="000000" w:themeColor="text1"/>
          <w:sz w:val="22"/>
          <w:szCs w:val="22"/>
          <w:lang w:val="en-GB"/>
        </w:rPr>
        <w:t xml:space="preserve"> Further,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required all orders to be made via its mobile app, while Starbucks allowed customers to order and pay for their purchases in the store</w:t>
      </w:r>
      <w:bookmarkStart w:id="11" w:name="_Hlk54265214"/>
      <w:r w:rsidRPr="00986894">
        <w:rPr>
          <w:rFonts w:eastAsia="Calibri"/>
          <w:color w:val="000000" w:themeColor="text1"/>
          <w:sz w:val="22"/>
          <w:szCs w:val="22"/>
          <w:lang w:val="en-GB"/>
        </w:rPr>
        <w:t>.</w:t>
      </w:r>
      <w:r w:rsidRPr="00986894">
        <w:rPr>
          <w:rStyle w:val="EndnoteReference"/>
          <w:rFonts w:eastAsia="Calibri"/>
          <w:color w:val="000000" w:themeColor="text1"/>
          <w:sz w:val="22"/>
          <w:szCs w:val="22"/>
          <w:lang w:val="en-GB"/>
        </w:rPr>
        <w:endnoteReference w:id="64"/>
      </w:r>
      <w:bookmarkEnd w:id="11"/>
      <w:r w:rsidRPr="00986894">
        <w:rPr>
          <w:rFonts w:eastAsia="Calibri"/>
          <w:color w:val="000000" w:themeColor="text1"/>
          <w:sz w:val="22"/>
          <w:szCs w:val="22"/>
          <w:lang w:val="en-GB"/>
        </w:rPr>
        <w:t xml:space="preserve"> This way, the local firm acquired information about its customers and their purchasing patterns</w:t>
      </w:r>
      <w:r w:rsidR="00476DCF">
        <w:rPr>
          <w:rFonts w:eastAsia="Calibri"/>
          <w:color w:val="000000" w:themeColor="text1"/>
          <w:sz w:val="22"/>
          <w:szCs w:val="22"/>
          <w:lang w:val="en-GB"/>
        </w:rPr>
        <w:t>,</w:t>
      </w:r>
      <w:r w:rsidRPr="00986894">
        <w:rPr>
          <w:rFonts w:eastAsia="Calibri"/>
          <w:color w:val="000000" w:themeColor="text1"/>
          <w:sz w:val="22"/>
          <w:szCs w:val="22"/>
          <w:lang w:val="en-GB"/>
        </w:rPr>
        <w:t xml:space="preserve"> </w:t>
      </w:r>
      <w:r w:rsidR="00476DCF">
        <w:rPr>
          <w:rFonts w:eastAsia="Calibri"/>
          <w:color w:val="000000" w:themeColor="text1"/>
          <w:sz w:val="22"/>
          <w:szCs w:val="22"/>
          <w:lang w:val="en-GB"/>
        </w:rPr>
        <w:t>which</w:t>
      </w:r>
      <w:r w:rsidR="00476DCF" w:rsidRPr="00986894">
        <w:rPr>
          <w:rFonts w:eastAsia="Calibri"/>
          <w:color w:val="000000" w:themeColor="text1"/>
          <w:sz w:val="22"/>
          <w:szCs w:val="22"/>
          <w:lang w:val="en-GB"/>
        </w:rPr>
        <w:t xml:space="preserve"> </w:t>
      </w:r>
      <w:r w:rsidRPr="00986894">
        <w:rPr>
          <w:rFonts w:eastAsia="Calibri"/>
          <w:color w:val="000000" w:themeColor="text1"/>
          <w:sz w:val="22"/>
          <w:szCs w:val="22"/>
          <w:lang w:val="en-GB"/>
        </w:rPr>
        <w:t>allowed it to be more targeted in its promotions.</w:t>
      </w:r>
      <w:r w:rsidRPr="00515CCA">
        <w:rPr>
          <w:rStyle w:val="EndnoteReference"/>
          <w:sz w:val="22"/>
          <w:lang w:val="en-GB"/>
        </w:rPr>
        <w:endnoteReference w:id="65"/>
      </w:r>
    </w:p>
    <w:p w14:paraId="6D2B1D34" w14:textId="77777777" w:rsidR="00986894" w:rsidRPr="00CD7A66" w:rsidRDefault="00986894" w:rsidP="0052419A">
      <w:pPr>
        <w:jc w:val="both"/>
        <w:rPr>
          <w:rFonts w:eastAsia="Calibri"/>
          <w:color w:val="000000" w:themeColor="text1"/>
          <w:sz w:val="18"/>
          <w:szCs w:val="22"/>
          <w:lang w:val="en-GB"/>
        </w:rPr>
      </w:pPr>
    </w:p>
    <w:p w14:paraId="1F5B2CDB" w14:textId="75A42CCE" w:rsidR="00986894" w:rsidRPr="00986894" w:rsidRDefault="00986894" w:rsidP="0052419A">
      <w:pPr>
        <w:jc w:val="both"/>
        <w:rPr>
          <w:rFonts w:eastAsia="Calibri"/>
          <w:color w:val="000000" w:themeColor="text1"/>
          <w:sz w:val="22"/>
          <w:szCs w:val="22"/>
          <w:lang w:val="en-GB"/>
        </w:rPr>
      </w:pP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promotional spending was to be offset by its lower rental expenses, due to its smaller coffee shops. Compared to its competitors—which had an average store size of 100 square metres (m</w:t>
      </w:r>
      <w:r w:rsidRPr="00952FE3">
        <w:rPr>
          <w:rFonts w:eastAsia="Calibri"/>
          <w:color w:val="000000" w:themeColor="text1"/>
          <w:sz w:val="22"/>
          <w:szCs w:val="22"/>
          <w:vertAlign w:val="superscript"/>
          <w:lang w:val="en-GB"/>
        </w:rPr>
        <w:t>2</w:t>
      </w:r>
      <w:r w:rsidRPr="00986894">
        <w:rPr>
          <w:rFonts w:eastAsia="Calibri"/>
          <w:color w:val="000000" w:themeColor="text1"/>
          <w:sz w:val="22"/>
          <w:szCs w:val="22"/>
          <w:lang w:val="en-GB"/>
        </w:rPr>
        <w:t>) to accommodate dine-in customers—</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stores averaged 40 m</w:t>
      </w:r>
      <w:r w:rsidRPr="00952FE3">
        <w:rPr>
          <w:rFonts w:eastAsia="Calibri"/>
          <w:color w:val="000000" w:themeColor="text1"/>
          <w:sz w:val="22"/>
          <w:szCs w:val="22"/>
          <w:vertAlign w:val="superscript"/>
          <w:lang w:val="en-GB"/>
        </w:rPr>
        <w:t>2</w:t>
      </w:r>
      <w:r w:rsidRPr="00986894">
        <w:rPr>
          <w:rFonts w:eastAsia="Calibri"/>
          <w:color w:val="000000" w:themeColor="text1"/>
          <w:sz w:val="22"/>
          <w:szCs w:val="22"/>
          <w:lang w:val="en-GB"/>
        </w:rPr>
        <w:t xml:space="preserve">. Further, as an aspirational brand, Starbucks had to </w:t>
      </w:r>
      <w:proofErr w:type="gramStart"/>
      <w:r w:rsidRPr="00986894">
        <w:rPr>
          <w:rFonts w:eastAsia="Calibri"/>
          <w:color w:val="000000" w:themeColor="text1"/>
          <w:sz w:val="22"/>
          <w:szCs w:val="22"/>
          <w:lang w:val="en-GB"/>
        </w:rPr>
        <w:t>be located in</w:t>
      </w:r>
      <w:proofErr w:type="gramEnd"/>
      <w:r w:rsidRPr="00986894">
        <w:rPr>
          <w:rFonts w:eastAsia="Calibri"/>
          <w:color w:val="000000" w:themeColor="text1"/>
          <w:sz w:val="22"/>
          <w:szCs w:val="22"/>
          <w:lang w:val="en-GB"/>
        </w:rPr>
        <w:t xml:space="preserve"> high-visibility, high-traffic locations, which made its rents more expensive.</w:t>
      </w:r>
      <w:r w:rsidRPr="00986894">
        <w:rPr>
          <w:rStyle w:val="EndnoteReference"/>
          <w:rFonts w:eastAsia="Calibri"/>
          <w:color w:val="000000" w:themeColor="text1"/>
          <w:sz w:val="22"/>
          <w:szCs w:val="22"/>
          <w:lang w:val="en-GB"/>
        </w:rPr>
        <w:endnoteReference w:id="66"/>
      </w:r>
      <w:r w:rsidRPr="00986894">
        <w:rPr>
          <w:rFonts w:eastAsia="Calibri"/>
          <w:color w:val="000000" w:themeColor="text1"/>
          <w:sz w:val="22"/>
          <w:szCs w:val="22"/>
          <w:lang w:val="en-GB"/>
        </w:rPr>
        <w:t xml:space="preserv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stores were pervasive, but the company did not need showcase store locations like Starbucks. Consequently,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overtook Starbucks in </w:t>
      </w:r>
      <w:proofErr w:type="gramStart"/>
      <w:r w:rsidR="00CA018B">
        <w:rPr>
          <w:rFonts w:eastAsia="Calibri"/>
          <w:color w:val="000000" w:themeColor="text1"/>
          <w:sz w:val="22"/>
          <w:szCs w:val="22"/>
          <w:lang w:val="en-GB"/>
        </w:rPr>
        <w:t xml:space="preserve">a </w:t>
      </w:r>
      <w:r w:rsidRPr="00986894">
        <w:rPr>
          <w:rFonts w:eastAsia="Calibri"/>
          <w:color w:val="000000" w:themeColor="text1"/>
          <w:sz w:val="22"/>
          <w:szCs w:val="22"/>
          <w:lang w:val="en-GB"/>
        </w:rPr>
        <w:t>number of</w:t>
      </w:r>
      <w:proofErr w:type="gramEnd"/>
      <w:r w:rsidRPr="00986894">
        <w:rPr>
          <w:rFonts w:eastAsia="Calibri"/>
          <w:color w:val="000000" w:themeColor="text1"/>
          <w:sz w:val="22"/>
          <w:szCs w:val="22"/>
          <w:lang w:val="en-GB"/>
        </w:rPr>
        <w:t xml:space="preserve"> stores by the end of 2019 (see Exhibit 7). In 2019,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had an average of six store operations employees per store.</w:t>
      </w:r>
      <w:r w:rsidRPr="00986894">
        <w:rPr>
          <w:rStyle w:val="EndnoteReference"/>
          <w:rFonts w:eastAsia="Calibri"/>
          <w:color w:val="000000" w:themeColor="text1"/>
          <w:sz w:val="22"/>
          <w:szCs w:val="22"/>
          <w:lang w:val="en-GB"/>
        </w:rPr>
        <w:endnoteReference w:id="67"/>
      </w:r>
    </w:p>
    <w:p w14:paraId="42D26CEC" w14:textId="1DA970F4" w:rsidR="00986894" w:rsidRPr="00CD7A66" w:rsidRDefault="00986894" w:rsidP="00C51AEE">
      <w:pPr>
        <w:tabs>
          <w:tab w:val="left" w:pos="5103"/>
        </w:tabs>
        <w:jc w:val="both"/>
        <w:rPr>
          <w:rFonts w:eastAsia="Calibri"/>
          <w:color w:val="000000" w:themeColor="text1"/>
          <w:sz w:val="18"/>
          <w:szCs w:val="22"/>
          <w:lang w:val="en-GB"/>
        </w:rPr>
      </w:pPr>
    </w:p>
    <w:p w14:paraId="17467D99" w14:textId="77777777" w:rsidR="00986894" w:rsidRPr="00CD7A66" w:rsidRDefault="00986894" w:rsidP="00D606C4">
      <w:pPr>
        <w:pStyle w:val="BodyTextMain"/>
        <w:rPr>
          <w:sz w:val="18"/>
        </w:rPr>
      </w:pPr>
    </w:p>
    <w:p w14:paraId="24C3B261" w14:textId="459EEE9D" w:rsidR="00986894" w:rsidRPr="00986894" w:rsidRDefault="00986894" w:rsidP="001769C5">
      <w:pPr>
        <w:pStyle w:val="Casehead1"/>
      </w:pPr>
      <w:r w:rsidRPr="00986894">
        <w:t>ACCOUNTING FRAUD</w:t>
      </w:r>
      <w:r w:rsidR="000A743E">
        <w:t>:</w:t>
      </w:r>
      <w:r w:rsidRPr="00986894">
        <w:t xml:space="preserve"> DISCOVERY and extent</w:t>
      </w:r>
    </w:p>
    <w:p w14:paraId="029EF7F4" w14:textId="77777777" w:rsidR="00986894" w:rsidRPr="00CD7A66" w:rsidRDefault="00986894" w:rsidP="00EE6190">
      <w:pPr>
        <w:pStyle w:val="BodyTextMain"/>
        <w:rPr>
          <w:sz w:val="18"/>
        </w:rPr>
      </w:pPr>
    </w:p>
    <w:p w14:paraId="1F0DA243" w14:textId="3B7EB154" w:rsidR="00986894" w:rsidRPr="00986894" w:rsidRDefault="00986894">
      <w:pPr>
        <w:pStyle w:val="BodyTextMain"/>
      </w:pPr>
      <w:r w:rsidRPr="00986894">
        <w:t xml:space="preserve">While </w:t>
      </w:r>
      <w:proofErr w:type="spellStart"/>
      <w:r w:rsidRPr="00986894">
        <w:t>Luckin</w:t>
      </w:r>
      <w:proofErr w:type="spellEnd"/>
      <w:r w:rsidRPr="00986894">
        <w:t xml:space="preserve"> had no timetable for declaring profits,</w:t>
      </w:r>
      <w:r w:rsidRPr="00986894">
        <w:rPr>
          <w:rStyle w:val="EndnoteReference"/>
        </w:rPr>
        <w:endnoteReference w:id="68"/>
      </w:r>
      <w:r w:rsidRPr="00986894">
        <w:t xml:space="preserve"> it proclaimed on November 13, 2019, that its store margins were finally in the black for the first time since its founding. Investors’ positive response to the news was reflected by rising stock prices. However, the proclamation also prompted unsolicited surveillance of store operations in the fourth quarter of 2019 by an anonymous group that gathered hours of store video coverage and thousands of receipts as the basis for their analysis, which refuted </w:t>
      </w:r>
      <w:proofErr w:type="spellStart"/>
      <w:r w:rsidRPr="00986894">
        <w:t>Luckin</w:t>
      </w:r>
      <w:r w:rsidR="00425049">
        <w:t>’</w:t>
      </w:r>
      <w:r w:rsidRPr="00986894">
        <w:t>s</w:t>
      </w:r>
      <w:proofErr w:type="spellEnd"/>
      <w:r w:rsidRPr="00986894">
        <w:t xml:space="preserve"> claims of store profitability.</w:t>
      </w:r>
      <w:r w:rsidRPr="00986894">
        <w:rPr>
          <w:rStyle w:val="EndnoteReference"/>
        </w:rPr>
        <w:endnoteReference w:id="69"/>
      </w:r>
      <w:r w:rsidRPr="00986894">
        <w:t xml:space="preserve"> This group’s 89-page report suggested that </w:t>
      </w:r>
      <w:proofErr w:type="spellStart"/>
      <w:r w:rsidRPr="00986894">
        <w:t>Luckin</w:t>
      </w:r>
      <w:proofErr w:type="spellEnd"/>
      <w:r w:rsidRPr="00986894">
        <w:t xml:space="preserve"> had taken deliberate actions to deceive its investors.</w:t>
      </w:r>
      <w:r w:rsidRPr="00986894">
        <w:rPr>
          <w:rStyle w:val="EndnoteReference"/>
        </w:rPr>
        <w:endnoteReference w:id="70"/>
      </w:r>
      <w:r w:rsidRPr="00986894">
        <w:t xml:space="preserve"> The report was sent to the investment research firm Muddy Waters Research, which in turn shared the file publicly on its Twitter account on January 30, 2020.</w:t>
      </w:r>
      <w:r w:rsidRPr="00986894">
        <w:rPr>
          <w:vertAlign w:val="superscript"/>
        </w:rPr>
        <w:endnoteReference w:id="71"/>
      </w:r>
      <w:r w:rsidRPr="00986894">
        <w:t xml:space="preserve"> </w:t>
      </w:r>
      <w:proofErr w:type="spellStart"/>
      <w:r w:rsidRPr="00986894">
        <w:t>Luckin</w:t>
      </w:r>
      <w:proofErr w:type="spellEnd"/>
      <w:r w:rsidRPr="00986894">
        <w:t xml:space="preserve"> was quick to deny the allegations and went immediately back to business as usual.</w:t>
      </w:r>
      <w:r w:rsidRPr="00986894">
        <w:rPr>
          <w:rStyle w:val="EndnoteReference"/>
        </w:rPr>
        <w:endnoteReference w:id="72"/>
      </w:r>
      <w:r w:rsidRPr="00986894">
        <w:t xml:space="preserve"> Nonetheless, the next day, in a practice known as short selling, Muddy Waters Research borrowed third-party shares and sold these to investors with the intention of paying back the borrowed shares at a later date, when it would be able to buy </w:t>
      </w:r>
      <w:proofErr w:type="spellStart"/>
      <w:r w:rsidRPr="00986894">
        <w:t>Luckin</w:t>
      </w:r>
      <w:proofErr w:type="spellEnd"/>
      <w:r w:rsidRPr="00986894">
        <w:t xml:space="preserve"> shares at a lower price.</w:t>
      </w:r>
      <w:r w:rsidRPr="00986894">
        <w:rPr>
          <w:vertAlign w:val="superscript"/>
        </w:rPr>
        <w:endnoteReference w:id="73"/>
      </w:r>
      <w:r w:rsidRPr="00986894">
        <w:t xml:space="preserve"> </w:t>
      </w:r>
    </w:p>
    <w:p w14:paraId="391B964A" w14:textId="414D299A" w:rsidR="00986894" w:rsidRPr="00CD7A66" w:rsidRDefault="00986894" w:rsidP="00F47A7B">
      <w:pPr>
        <w:pStyle w:val="Default"/>
        <w:rPr>
          <w:rFonts w:ascii="Times New Roman" w:hAnsi="Times New Roman" w:hint="default"/>
          <w:sz w:val="18"/>
          <w:szCs w:val="22"/>
          <w:lang w:val="en-GB"/>
        </w:rPr>
      </w:pPr>
    </w:p>
    <w:p w14:paraId="1C37CD45" w14:textId="7C0494DC" w:rsidR="00986894" w:rsidRPr="00986894" w:rsidRDefault="00986894" w:rsidP="00321485">
      <w:pPr>
        <w:pStyle w:val="Default"/>
        <w:jc w:val="both"/>
        <w:rPr>
          <w:rFonts w:ascii="Times New Roman" w:eastAsia="Calibri" w:hAnsi="Times New Roman" w:hint="default"/>
          <w:color w:val="000000" w:themeColor="text1"/>
          <w:sz w:val="22"/>
          <w:szCs w:val="22"/>
          <w:lang w:val="en-GB"/>
        </w:rPr>
      </w:pPr>
      <w:r w:rsidRPr="00986894">
        <w:rPr>
          <w:rFonts w:ascii="Times New Roman" w:hAnsi="Times New Roman" w:hint="default"/>
          <w:sz w:val="22"/>
          <w:szCs w:val="22"/>
          <w:lang w:val="en-GB"/>
        </w:rPr>
        <w:t xml:space="preserve">Not wasting time, </w:t>
      </w:r>
      <w:proofErr w:type="spellStart"/>
      <w:r w:rsidRPr="00986894">
        <w:rPr>
          <w:rFonts w:ascii="Times New Roman" w:hAnsi="Times New Roman" w:hint="default"/>
          <w:sz w:val="22"/>
          <w:szCs w:val="22"/>
          <w:lang w:val="en-GB"/>
        </w:rPr>
        <w:t>Luckin’s</w:t>
      </w:r>
      <w:proofErr w:type="spellEnd"/>
      <w:r w:rsidRPr="00986894">
        <w:rPr>
          <w:rFonts w:ascii="Times New Roman" w:hAnsi="Times New Roman" w:hint="default"/>
          <w:sz w:val="22"/>
          <w:szCs w:val="22"/>
          <w:lang w:val="en-GB"/>
        </w:rPr>
        <w:t xml:space="preserve"> auditor, Ernst &amp; Young (EY), through its local partner EY Hua Ming LLP, began auditing the company’s financial records.</w:t>
      </w:r>
      <w:r w:rsidRPr="00986894">
        <w:rPr>
          <w:rFonts w:ascii="Times New Roman" w:hAnsi="Times New Roman" w:hint="default"/>
          <w:sz w:val="22"/>
          <w:szCs w:val="22"/>
          <w:vertAlign w:val="superscript"/>
          <w:lang w:val="en-GB"/>
        </w:rPr>
        <w:endnoteReference w:id="74"/>
      </w:r>
      <w:r w:rsidRPr="00986894">
        <w:rPr>
          <w:rFonts w:ascii="Times New Roman" w:hAnsi="Times New Roman" w:hint="default"/>
          <w:sz w:val="22"/>
          <w:szCs w:val="22"/>
          <w:lang w:val="en-GB"/>
        </w:rPr>
        <w:t xml:space="preserve"> Suspecting falsified transactions, EY requested related documents from top management, which they later used to confirm their suspicions.</w:t>
      </w:r>
      <w:r w:rsidRPr="00986894">
        <w:rPr>
          <w:rFonts w:ascii="Times New Roman" w:hAnsi="Times New Roman" w:hint="default"/>
          <w:sz w:val="22"/>
          <w:szCs w:val="22"/>
          <w:vertAlign w:val="superscript"/>
          <w:lang w:val="en-GB"/>
        </w:rPr>
        <w:endnoteReference w:id="75"/>
      </w:r>
      <w:r w:rsidRPr="00986894">
        <w:rPr>
          <w:rFonts w:ascii="Times New Roman" w:hAnsi="Times New Roman" w:hint="default"/>
          <w:sz w:val="22"/>
          <w:szCs w:val="22"/>
          <w:lang w:val="en-GB"/>
        </w:rPr>
        <w:t xml:space="preserve"> On March 19, </w:t>
      </w:r>
      <w:r w:rsidR="007F3EEC">
        <w:rPr>
          <w:rFonts w:ascii="Times New Roman" w:hAnsi="Times New Roman" w:hint="default"/>
          <w:sz w:val="22"/>
          <w:szCs w:val="22"/>
          <w:lang w:val="en-GB"/>
        </w:rPr>
        <w:t xml:space="preserve">2020, </w:t>
      </w:r>
      <w:r w:rsidRPr="00986894">
        <w:rPr>
          <w:rFonts w:ascii="Times New Roman" w:hAnsi="Times New Roman" w:hint="default"/>
          <w:sz w:val="22"/>
          <w:szCs w:val="22"/>
          <w:lang w:val="en-GB"/>
        </w:rPr>
        <w:t>the board formed a special committee to conduct its own i</w:t>
      </w:r>
      <w:r w:rsidRPr="00986894">
        <w:rPr>
          <w:rFonts w:ascii="Times New Roman" w:hAnsi="Times New Roman" w:hint="default"/>
          <w:color w:val="000000" w:themeColor="text1"/>
          <w:sz w:val="22"/>
          <w:szCs w:val="22"/>
          <w:lang w:val="en-GB"/>
        </w:rPr>
        <w:t>nvestigation.</w:t>
      </w:r>
      <w:r w:rsidRPr="00986894">
        <w:rPr>
          <w:rFonts w:ascii="Times New Roman" w:hAnsi="Times New Roman" w:hint="default"/>
          <w:color w:val="000000" w:themeColor="text1"/>
          <w:sz w:val="22"/>
          <w:szCs w:val="22"/>
          <w:vertAlign w:val="superscript"/>
          <w:lang w:val="en-GB"/>
        </w:rPr>
        <w:endnoteReference w:id="76"/>
      </w:r>
      <w:r w:rsidRPr="00986894">
        <w:rPr>
          <w:rFonts w:ascii="Times New Roman" w:hAnsi="Times New Roman" w:hint="default"/>
          <w:color w:val="000000" w:themeColor="text1"/>
          <w:sz w:val="22"/>
          <w:szCs w:val="22"/>
          <w:lang w:val="en-GB"/>
        </w:rPr>
        <w:t xml:space="preserve"> The results of the investigation confirmed the presence of falsified sales transactions that could only have been executed with the cooperation of the CEO, COO, and individuals who reported directly to these two executives. </w:t>
      </w:r>
      <w:r w:rsidRPr="00986894">
        <w:rPr>
          <w:rFonts w:ascii="Times New Roman" w:eastAsia="Calibri" w:hAnsi="Times New Roman" w:hint="default"/>
          <w:color w:val="000000" w:themeColor="text1"/>
          <w:sz w:val="22"/>
          <w:szCs w:val="22"/>
          <w:lang w:val="en-GB"/>
        </w:rPr>
        <w:t xml:space="preserve">The internal report further indicated the presence of related-party transactions that had allowed funds to be transferred out of </w:t>
      </w:r>
      <w:proofErr w:type="spellStart"/>
      <w:r w:rsidRPr="00986894">
        <w:rPr>
          <w:rFonts w:ascii="Times New Roman" w:eastAsia="Calibri" w:hAnsi="Times New Roman" w:hint="default"/>
          <w:color w:val="000000" w:themeColor="text1"/>
          <w:sz w:val="22"/>
          <w:szCs w:val="22"/>
          <w:lang w:val="en-GB"/>
        </w:rPr>
        <w:t>Luckin’s</w:t>
      </w:r>
      <w:proofErr w:type="spellEnd"/>
      <w:r w:rsidRPr="00986894">
        <w:rPr>
          <w:rFonts w:ascii="Times New Roman" w:eastAsia="Calibri" w:hAnsi="Times New Roman" w:hint="default"/>
          <w:color w:val="000000" w:themeColor="text1"/>
          <w:sz w:val="22"/>
          <w:szCs w:val="22"/>
          <w:lang w:val="en-GB"/>
        </w:rPr>
        <w:t>’ coffers.</w:t>
      </w:r>
      <w:r w:rsidRPr="00986894">
        <w:rPr>
          <w:rStyle w:val="EndnoteReference"/>
          <w:rFonts w:ascii="Times New Roman" w:hAnsi="Times New Roman" w:hint="default"/>
          <w:sz w:val="22"/>
          <w:szCs w:val="22"/>
          <w:lang w:val="en-GB"/>
        </w:rPr>
        <w:endnoteReference w:id="77"/>
      </w:r>
      <w:r w:rsidRPr="00986894">
        <w:rPr>
          <w:rFonts w:ascii="Times New Roman" w:eastAsia="Calibri" w:hAnsi="Times New Roman" w:hint="default"/>
          <w:color w:val="000000" w:themeColor="text1"/>
          <w:sz w:val="22"/>
          <w:szCs w:val="22"/>
          <w:lang w:val="en-GB"/>
        </w:rPr>
        <w:t xml:space="preserve"> The findings were disclosed by the committee on April 2</w:t>
      </w:r>
      <w:r w:rsidR="007F3EEC">
        <w:rPr>
          <w:rFonts w:ascii="Times New Roman" w:eastAsia="Calibri" w:hAnsi="Times New Roman" w:hint="default"/>
          <w:color w:val="000000" w:themeColor="text1"/>
          <w:sz w:val="22"/>
          <w:szCs w:val="22"/>
          <w:lang w:val="en-GB"/>
        </w:rPr>
        <w:t>, 2020</w:t>
      </w:r>
      <w:r w:rsidRPr="00986894">
        <w:rPr>
          <w:rFonts w:ascii="Times New Roman" w:eastAsia="Calibri" w:hAnsi="Times New Roman" w:hint="default"/>
          <w:color w:val="000000" w:themeColor="text1"/>
          <w:sz w:val="22"/>
          <w:szCs w:val="22"/>
          <w:lang w:val="en-GB"/>
        </w:rPr>
        <w:t>.</w:t>
      </w:r>
      <w:r w:rsidRPr="00986894">
        <w:rPr>
          <w:rFonts w:ascii="Times New Roman" w:eastAsia="Calibri" w:hAnsi="Times New Roman" w:hint="default"/>
          <w:color w:val="000000" w:themeColor="text1"/>
          <w:sz w:val="22"/>
          <w:szCs w:val="22"/>
          <w:vertAlign w:val="superscript"/>
          <w:lang w:val="en-GB"/>
        </w:rPr>
        <w:endnoteReference w:id="78"/>
      </w:r>
    </w:p>
    <w:p w14:paraId="26CDF804" w14:textId="331B9BB1" w:rsidR="00986894" w:rsidRPr="00986894" w:rsidRDefault="00986894" w:rsidP="00321485">
      <w:pPr>
        <w:pStyle w:val="Default"/>
        <w:jc w:val="both"/>
        <w:rPr>
          <w:rFonts w:ascii="Times New Roman" w:eastAsia="Calibri" w:hAnsi="Times New Roman" w:hint="default"/>
          <w:color w:val="000000" w:themeColor="text1"/>
          <w:sz w:val="22"/>
          <w:szCs w:val="22"/>
          <w:lang w:val="en-GB"/>
        </w:rPr>
      </w:pPr>
      <w:r w:rsidRPr="00986894">
        <w:rPr>
          <w:rFonts w:ascii="Times New Roman" w:eastAsia="Calibri" w:hAnsi="Times New Roman" w:hint="default"/>
          <w:color w:val="000000" w:themeColor="text1"/>
          <w:sz w:val="22"/>
          <w:szCs w:val="22"/>
          <w:lang w:val="en-GB"/>
        </w:rPr>
        <w:lastRenderedPageBreak/>
        <w:t>By July 1,</w:t>
      </w:r>
      <w:r w:rsidR="00F4180A">
        <w:rPr>
          <w:rFonts w:ascii="Times New Roman" w:eastAsia="Calibri" w:hAnsi="Times New Roman" w:hint="default"/>
          <w:color w:val="000000" w:themeColor="text1"/>
          <w:sz w:val="22"/>
          <w:szCs w:val="22"/>
          <w:lang w:val="en-GB"/>
        </w:rPr>
        <w:t xml:space="preserve"> 2020,</w:t>
      </w:r>
      <w:r w:rsidRPr="00986894">
        <w:rPr>
          <w:rFonts w:ascii="Times New Roman" w:eastAsia="Calibri" w:hAnsi="Times New Roman" w:hint="default"/>
          <w:color w:val="000000" w:themeColor="text1"/>
          <w:sz w:val="22"/>
          <w:szCs w:val="22"/>
          <w:lang w:val="en-GB"/>
        </w:rPr>
        <w:t xml:space="preserve"> the special committee declared that the investigation was substantially completed and divulged the news that, over a three-quarter period, sales had been inflated by ¥2.12 billion</w:t>
      </w:r>
      <w:r w:rsidRPr="00986894">
        <w:rPr>
          <w:rStyle w:val="EndnoteReference"/>
          <w:rFonts w:ascii="Times New Roman" w:eastAsia="Calibri" w:hAnsi="Times New Roman" w:hint="default"/>
          <w:color w:val="000000" w:themeColor="text1"/>
          <w:sz w:val="22"/>
          <w:szCs w:val="22"/>
          <w:lang w:val="en-GB"/>
        </w:rPr>
        <w:endnoteReference w:id="79"/>
      </w:r>
      <w:r w:rsidRPr="00986894">
        <w:rPr>
          <w:rFonts w:ascii="Times New Roman" w:eastAsia="Calibri" w:hAnsi="Times New Roman" w:hint="default"/>
          <w:color w:val="000000" w:themeColor="text1"/>
          <w:sz w:val="22"/>
          <w:szCs w:val="22"/>
          <w:lang w:val="en-GB"/>
        </w:rPr>
        <w:t xml:space="preserve"> and expenses had been inflated by ¥1.34 billion</w:t>
      </w:r>
      <w:r w:rsidRPr="00986894">
        <w:rPr>
          <w:rStyle w:val="EndnoteReference"/>
          <w:rFonts w:ascii="Times New Roman" w:eastAsia="Calibri" w:hAnsi="Times New Roman" w:hint="default"/>
          <w:color w:val="000000" w:themeColor="text1"/>
          <w:sz w:val="22"/>
          <w:szCs w:val="22"/>
          <w:lang w:val="en-GB"/>
        </w:rPr>
        <w:endnoteReference w:id="80"/>
      </w:r>
      <w:r w:rsidRPr="00986894">
        <w:rPr>
          <w:rFonts w:ascii="Times New Roman" w:eastAsia="Calibri" w:hAnsi="Times New Roman" w:hint="default"/>
          <w:color w:val="000000" w:themeColor="text1"/>
          <w:sz w:val="22"/>
          <w:szCs w:val="22"/>
          <w:lang w:val="en-GB"/>
        </w:rPr>
        <w:t xml:space="preserve"> (see Exhibit 8). The report indicated that, as one method of inflating the sales figure</w:t>
      </w:r>
      <w:r w:rsidR="00476DCF">
        <w:rPr>
          <w:rFonts w:ascii="Times New Roman" w:eastAsia="Calibri" w:hAnsi="Times New Roman" w:hint="default"/>
          <w:color w:val="000000" w:themeColor="text1"/>
          <w:sz w:val="22"/>
          <w:szCs w:val="22"/>
          <w:lang w:val="en-GB"/>
        </w:rPr>
        <w:t>s</w:t>
      </w:r>
      <w:r w:rsidRPr="00986894">
        <w:rPr>
          <w:rFonts w:ascii="Times New Roman" w:eastAsia="Calibri" w:hAnsi="Times New Roman" w:hint="default"/>
          <w:color w:val="000000" w:themeColor="text1"/>
          <w:sz w:val="22"/>
          <w:szCs w:val="22"/>
          <w:lang w:val="en-GB"/>
        </w:rPr>
        <w:t>, the company had sold redeemable vouchers in bulk to businesses associated with its chairperson.</w:t>
      </w:r>
      <w:r w:rsidRPr="00986894">
        <w:rPr>
          <w:rFonts w:ascii="Times New Roman" w:eastAsia="Calibri" w:hAnsi="Times New Roman" w:hint="default"/>
          <w:color w:val="000000" w:themeColor="text1"/>
          <w:sz w:val="22"/>
          <w:szCs w:val="22"/>
          <w:vertAlign w:val="superscript"/>
          <w:lang w:val="en-GB"/>
        </w:rPr>
        <w:endnoteReference w:id="81"/>
      </w:r>
      <w:r w:rsidRPr="00986894">
        <w:rPr>
          <w:rFonts w:ascii="Times New Roman" w:eastAsia="Calibri" w:hAnsi="Times New Roman" w:hint="default"/>
          <w:color w:val="000000" w:themeColor="text1"/>
          <w:sz w:val="22"/>
          <w:szCs w:val="22"/>
          <w:lang w:val="en-GB"/>
        </w:rPr>
        <w:t xml:space="preserve"> To manage profit levels, </w:t>
      </w:r>
      <w:proofErr w:type="spellStart"/>
      <w:r w:rsidRPr="00986894">
        <w:rPr>
          <w:rFonts w:ascii="Times New Roman" w:eastAsia="Calibri" w:hAnsi="Times New Roman" w:hint="default"/>
          <w:color w:val="000000" w:themeColor="text1"/>
          <w:sz w:val="22"/>
          <w:szCs w:val="22"/>
          <w:lang w:val="en-GB"/>
        </w:rPr>
        <w:t>Luckin</w:t>
      </w:r>
      <w:proofErr w:type="spellEnd"/>
      <w:r w:rsidRPr="00986894">
        <w:rPr>
          <w:rFonts w:ascii="Times New Roman" w:eastAsia="Calibri" w:hAnsi="Times New Roman" w:hint="default"/>
          <w:color w:val="000000" w:themeColor="text1"/>
          <w:sz w:val="22"/>
          <w:szCs w:val="22"/>
          <w:lang w:val="en-GB"/>
        </w:rPr>
        <w:t xml:space="preserve"> had also inflated its expenses. One method it had used was to create fictitious raw-materials purchases that bypassed the CFO but were approved by Qian.</w:t>
      </w:r>
      <w:r w:rsidRPr="00986894">
        <w:rPr>
          <w:rFonts w:ascii="Times New Roman" w:eastAsia="Calibri" w:hAnsi="Times New Roman" w:hint="default"/>
          <w:color w:val="000000" w:themeColor="text1"/>
          <w:sz w:val="22"/>
          <w:szCs w:val="22"/>
          <w:vertAlign w:val="superscript"/>
          <w:lang w:val="en-GB"/>
        </w:rPr>
        <w:endnoteReference w:id="82"/>
      </w:r>
      <w:r w:rsidRPr="00986894">
        <w:rPr>
          <w:rFonts w:ascii="Times New Roman" w:eastAsia="Calibri" w:hAnsi="Times New Roman" w:hint="default"/>
          <w:color w:val="000000" w:themeColor="text1"/>
          <w:sz w:val="22"/>
          <w:szCs w:val="22"/>
          <w:lang w:val="en-GB"/>
        </w:rPr>
        <w:t xml:space="preserve"> To avoid traceability, documents relating to raw material suppliers that were affiliated with the </w:t>
      </w:r>
      <w:bookmarkStart w:id="13" w:name="_Hlk54265285"/>
      <w:r w:rsidRPr="00986894">
        <w:rPr>
          <w:rFonts w:ascii="Times New Roman" w:eastAsia="Calibri" w:hAnsi="Times New Roman" w:hint="default"/>
          <w:color w:val="000000" w:themeColor="text1"/>
          <w:sz w:val="22"/>
          <w:szCs w:val="22"/>
          <w:lang w:val="en-GB"/>
        </w:rPr>
        <w:t>chairperson were processed by a fictitious employee.</w:t>
      </w:r>
      <w:r w:rsidRPr="00986894">
        <w:rPr>
          <w:rFonts w:ascii="Times New Roman" w:eastAsia="Calibri" w:hAnsi="Times New Roman" w:hint="default"/>
          <w:color w:val="000000" w:themeColor="text1"/>
          <w:sz w:val="22"/>
          <w:szCs w:val="22"/>
          <w:vertAlign w:val="superscript"/>
          <w:lang w:val="en-GB"/>
        </w:rPr>
        <w:endnoteReference w:id="83"/>
      </w:r>
      <w:bookmarkEnd w:id="13"/>
      <w:r w:rsidRPr="00986894">
        <w:rPr>
          <w:rFonts w:ascii="Times New Roman" w:eastAsia="Calibri" w:hAnsi="Times New Roman" w:hint="default"/>
          <w:color w:val="000000" w:themeColor="text1"/>
          <w:sz w:val="22"/>
          <w:szCs w:val="22"/>
          <w:lang w:val="en-GB"/>
        </w:rPr>
        <w:t xml:space="preserve"> The funds collected from these raw material purchases were presumably used to pay for the redeemable vouchers that were advanced to bulk buyers. Some of these businesses had been incorporated just prior to the IPO</w:t>
      </w:r>
      <w:bookmarkStart w:id="14" w:name="_Hlk49363181"/>
      <w:r w:rsidRPr="00986894">
        <w:rPr>
          <w:rFonts w:ascii="Times New Roman" w:eastAsia="Calibri" w:hAnsi="Times New Roman" w:hint="default"/>
          <w:color w:val="000000" w:themeColor="text1"/>
          <w:sz w:val="22"/>
          <w:szCs w:val="22"/>
          <w:lang w:val="en-GB"/>
        </w:rPr>
        <w:t>.</w:t>
      </w:r>
      <w:r w:rsidRPr="00986894">
        <w:rPr>
          <w:rFonts w:ascii="Times New Roman" w:eastAsia="Calibri" w:hAnsi="Times New Roman" w:hint="default"/>
          <w:color w:val="000000" w:themeColor="text1"/>
          <w:sz w:val="22"/>
          <w:szCs w:val="22"/>
          <w:vertAlign w:val="superscript"/>
          <w:lang w:val="en-GB"/>
        </w:rPr>
        <w:endnoteReference w:id="84"/>
      </w:r>
      <w:bookmarkEnd w:id="14"/>
    </w:p>
    <w:p w14:paraId="2A142E2E" w14:textId="1F3F2EB1" w:rsidR="00986894" w:rsidRPr="00986894" w:rsidRDefault="00986894" w:rsidP="00D606C4">
      <w:pPr>
        <w:pStyle w:val="BodyTextMain"/>
      </w:pPr>
    </w:p>
    <w:p w14:paraId="06D74898" w14:textId="77777777" w:rsidR="00986894" w:rsidRPr="00986894" w:rsidRDefault="00986894" w:rsidP="001769C5">
      <w:pPr>
        <w:pStyle w:val="BodyTextMain"/>
      </w:pPr>
    </w:p>
    <w:p w14:paraId="31FCCFE2" w14:textId="1741979F" w:rsidR="00986894" w:rsidRPr="00986894" w:rsidRDefault="00986894" w:rsidP="00EE6190">
      <w:pPr>
        <w:pStyle w:val="Casehead1"/>
      </w:pPr>
      <w:r w:rsidRPr="00986894">
        <w:t>CORPORATE RESPONSE</w:t>
      </w:r>
    </w:p>
    <w:p w14:paraId="4ABFF0A3" w14:textId="77777777" w:rsidR="00986894" w:rsidRPr="00986894" w:rsidRDefault="00986894" w:rsidP="00B20ED6">
      <w:pPr>
        <w:keepNext/>
        <w:jc w:val="both"/>
        <w:rPr>
          <w:rFonts w:eastAsia="Calibri"/>
          <w:sz w:val="22"/>
          <w:szCs w:val="22"/>
          <w:lang w:val="en-GB"/>
        </w:rPr>
      </w:pPr>
    </w:p>
    <w:p w14:paraId="309FEA7F" w14:textId="498BC291" w:rsidR="00986894" w:rsidRPr="00986894" w:rsidRDefault="00986894" w:rsidP="00C7393C">
      <w:pPr>
        <w:jc w:val="both"/>
        <w:rPr>
          <w:rFonts w:eastAsia="Calibri"/>
          <w:color w:val="000000" w:themeColor="text1"/>
          <w:sz w:val="22"/>
          <w:szCs w:val="22"/>
          <w:lang w:val="en-GB"/>
        </w:rPr>
      </w:pPr>
      <w:r w:rsidRPr="00986894">
        <w:rPr>
          <w:rFonts w:eastAsia="Calibri"/>
          <w:color w:val="000000" w:themeColor="text1"/>
          <w:sz w:val="22"/>
          <w:szCs w:val="22"/>
          <w:lang w:val="en-GB"/>
        </w:rPr>
        <w:t xml:space="preserve">When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became aware that Muddy Waters Research had made the anonymous report public, it was quick to deny the allegations. In a press release, the company declared that its app-based business tracked store performance in real time; therefore, the data was verifiable.</w:t>
      </w:r>
      <w:r w:rsidRPr="00986894">
        <w:rPr>
          <w:rStyle w:val="EndnoteReference"/>
          <w:sz w:val="22"/>
          <w:szCs w:val="22"/>
          <w:lang w:val="en-GB"/>
        </w:rPr>
        <w:endnoteReference w:id="85"/>
      </w:r>
      <w:r w:rsidRPr="00986894">
        <w:rPr>
          <w:rFonts w:eastAsia="Calibri"/>
          <w:color w:val="000000" w:themeColor="text1"/>
          <w:sz w:val="22"/>
          <w:szCs w:val="22"/>
          <w:lang w:val="en-GB"/>
        </w:rPr>
        <w:t xml:space="preserv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further claimed that its internal control system was robust </w:t>
      </w:r>
      <w:proofErr w:type="gramStart"/>
      <w:r w:rsidRPr="00986894">
        <w:rPr>
          <w:rFonts w:eastAsia="Calibri"/>
          <w:color w:val="000000" w:themeColor="text1"/>
          <w:sz w:val="22"/>
          <w:szCs w:val="22"/>
          <w:lang w:val="en-GB"/>
        </w:rPr>
        <w:t>so as to</w:t>
      </w:r>
      <w:proofErr w:type="gramEnd"/>
      <w:r w:rsidRPr="00986894">
        <w:rPr>
          <w:rFonts w:eastAsia="Calibri"/>
          <w:color w:val="000000" w:themeColor="text1"/>
          <w:sz w:val="22"/>
          <w:szCs w:val="22"/>
          <w:lang w:val="en-GB"/>
        </w:rPr>
        <w:t xml:space="preserve"> ensure the integrity of its data. Consequently, the company contemplated taking appropriate actions against those who had tarnished its reputation.</w:t>
      </w:r>
      <w:r w:rsidRPr="00986894">
        <w:rPr>
          <w:rFonts w:eastAsia="Calibri"/>
          <w:color w:val="000000" w:themeColor="text1"/>
          <w:sz w:val="22"/>
          <w:szCs w:val="22"/>
          <w:vertAlign w:val="superscript"/>
          <w:lang w:val="en-GB"/>
        </w:rPr>
        <w:endnoteReference w:id="86"/>
      </w:r>
    </w:p>
    <w:p w14:paraId="1F91CC3D" w14:textId="3754FDAD" w:rsidR="00986894" w:rsidRPr="00986894" w:rsidRDefault="00986894" w:rsidP="00C7393C">
      <w:pPr>
        <w:jc w:val="both"/>
        <w:rPr>
          <w:rFonts w:eastAsia="Calibri"/>
          <w:color w:val="000000" w:themeColor="text1"/>
          <w:sz w:val="22"/>
          <w:szCs w:val="22"/>
          <w:lang w:val="en-GB"/>
        </w:rPr>
      </w:pPr>
    </w:p>
    <w:p w14:paraId="0911A942" w14:textId="02AC6C9F" w:rsidR="00986894" w:rsidRPr="00CD7A66" w:rsidRDefault="00986894" w:rsidP="00C7393C">
      <w:pPr>
        <w:jc w:val="both"/>
        <w:rPr>
          <w:rFonts w:eastAsia="Calibri"/>
          <w:color w:val="000000" w:themeColor="text1"/>
          <w:spacing w:val="-4"/>
          <w:sz w:val="22"/>
          <w:szCs w:val="22"/>
          <w:lang w:val="en-GB"/>
        </w:rPr>
      </w:pPr>
      <w:r w:rsidRPr="00CD7A66">
        <w:rPr>
          <w:rFonts w:eastAsia="Calibri"/>
          <w:color w:val="000000" w:themeColor="text1"/>
          <w:spacing w:val="-4"/>
          <w:sz w:val="22"/>
          <w:szCs w:val="22"/>
          <w:lang w:val="en-GB"/>
        </w:rPr>
        <w:t xml:space="preserve">When </w:t>
      </w:r>
      <w:proofErr w:type="spellStart"/>
      <w:r w:rsidRPr="00CD7A66">
        <w:rPr>
          <w:rFonts w:eastAsia="Calibri"/>
          <w:color w:val="000000" w:themeColor="text1"/>
          <w:spacing w:val="-4"/>
          <w:sz w:val="22"/>
          <w:szCs w:val="22"/>
          <w:lang w:val="en-GB"/>
        </w:rPr>
        <w:t>Luckin</w:t>
      </w:r>
      <w:proofErr w:type="spellEnd"/>
      <w:r w:rsidRPr="00CD7A66">
        <w:rPr>
          <w:rFonts w:eastAsia="Calibri"/>
          <w:color w:val="000000" w:themeColor="text1"/>
          <w:spacing w:val="-4"/>
          <w:sz w:val="22"/>
          <w:szCs w:val="22"/>
          <w:lang w:val="en-GB"/>
        </w:rPr>
        <w:t xml:space="preserve"> was informed of the accounting fraud by its auditor, it formed a special committee comprised of three independent directors, led by Sean (</w:t>
      </w:r>
      <w:proofErr w:type="spellStart"/>
      <w:r w:rsidRPr="00CD7A66">
        <w:rPr>
          <w:rFonts w:eastAsia="Calibri"/>
          <w:color w:val="000000" w:themeColor="text1"/>
          <w:spacing w:val="-4"/>
          <w:sz w:val="22"/>
          <w:szCs w:val="22"/>
          <w:lang w:val="en-GB"/>
        </w:rPr>
        <w:t>Xiaoheng</w:t>
      </w:r>
      <w:proofErr w:type="spellEnd"/>
      <w:r w:rsidRPr="00CD7A66">
        <w:rPr>
          <w:rFonts w:eastAsia="Calibri"/>
          <w:color w:val="000000" w:themeColor="text1"/>
          <w:spacing w:val="-4"/>
          <w:sz w:val="22"/>
          <w:szCs w:val="22"/>
          <w:lang w:val="en-GB"/>
        </w:rPr>
        <w:t>) Shao, to oversee the internal investigations.</w:t>
      </w:r>
      <w:r w:rsidRPr="00CD7A66">
        <w:rPr>
          <w:rStyle w:val="EndnoteReference"/>
          <w:spacing w:val="-4"/>
          <w:sz w:val="22"/>
          <w:szCs w:val="22"/>
          <w:lang w:val="en-GB"/>
        </w:rPr>
        <w:endnoteReference w:id="87"/>
      </w:r>
      <w:r w:rsidRPr="00CD7A66">
        <w:rPr>
          <w:rFonts w:eastAsia="Calibri"/>
          <w:color w:val="000000" w:themeColor="text1"/>
          <w:spacing w:val="-4"/>
          <w:sz w:val="22"/>
          <w:szCs w:val="22"/>
          <w:lang w:val="en-GB"/>
        </w:rPr>
        <w:t xml:space="preserve"> The company also retained the services of Kirkland &amp; Ellis LLP, as its independent legal counsel, and of FTI Consulting, as its independent forensic accounting expert. On April 2,</w:t>
      </w:r>
      <w:r w:rsidR="00A5730D" w:rsidRPr="00CD7A66">
        <w:rPr>
          <w:rFonts w:eastAsia="Calibri"/>
          <w:color w:val="000000" w:themeColor="text1"/>
          <w:spacing w:val="-4"/>
          <w:sz w:val="22"/>
          <w:szCs w:val="22"/>
          <w:lang w:val="en-GB"/>
        </w:rPr>
        <w:t xml:space="preserve"> 2020,</w:t>
      </w:r>
      <w:r w:rsidRPr="00CD7A66">
        <w:rPr>
          <w:rFonts w:eastAsia="Calibri"/>
          <w:color w:val="000000" w:themeColor="text1"/>
          <w:spacing w:val="-4"/>
          <w:sz w:val="22"/>
          <w:szCs w:val="22"/>
          <w:lang w:val="en-GB"/>
        </w:rPr>
        <w:t xml:space="preserve"> the committee publicly disclosed that the company’s 2019 financial statements were unreliable. The preliminary findings indicated that the COO and some of his subordinates had committed fraud. The suspected individuals were suspended as a preventative measure.</w:t>
      </w:r>
      <w:r w:rsidRPr="00CD7A66">
        <w:rPr>
          <w:rFonts w:eastAsia="Calibri"/>
          <w:color w:val="000000" w:themeColor="text1"/>
          <w:spacing w:val="-4"/>
          <w:sz w:val="22"/>
          <w:szCs w:val="22"/>
          <w:vertAlign w:val="superscript"/>
          <w:lang w:val="en-GB"/>
        </w:rPr>
        <w:endnoteReference w:id="88"/>
      </w:r>
      <w:r w:rsidRPr="00CD7A66">
        <w:rPr>
          <w:rFonts w:eastAsia="Calibri"/>
          <w:color w:val="000000" w:themeColor="text1"/>
          <w:spacing w:val="-4"/>
          <w:sz w:val="22"/>
          <w:szCs w:val="22"/>
          <w:lang w:val="en-GB"/>
        </w:rPr>
        <w:t xml:space="preserve"> Subsequently, </w:t>
      </w:r>
      <w:proofErr w:type="spellStart"/>
      <w:r w:rsidRPr="00CD7A66">
        <w:rPr>
          <w:rFonts w:eastAsia="Calibri"/>
          <w:color w:val="000000" w:themeColor="text1"/>
          <w:spacing w:val="-4"/>
          <w:sz w:val="22"/>
          <w:szCs w:val="22"/>
          <w:lang w:val="en-GB"/>
        </w:rPr>
        <w:t>Luckin</w:t>
      </w:r>
      <w:proofErr w:type="spellEnd"/>
      <w:r w:rsidRPr="00CD7A66">
        <w:rPr>
          <w:rFonts w:eastAsia="Calibri"/>
          <w:color w:val="000000" w:themeColor="text1"/>
          <w:spacing w:val="-4"/>
          <w:sz w:val="22"/>
          <w:szCs w:val="22"/>
          <w:lang w:val="en-GB"/>
        </w:rPr>
        <w:t xml:space="preserve"> announced that the CEO and COO’s employment had been terminated and that they had been compelled to resign from the board. At the same time, it was announced that the company’s senior vice president, Guo, would become interim CEO and would have a seat at the board.</w:t>
      </w:r>
      <w:r w:rsidRPr="00CD7A66">
        <w:rPr>
          <w:rStyle w:val="EndnoteReference"/>
          <w:spacing w:val="-4"/>
          <w:sz w:val="22"/>
          <w:szCs w:val="22"/>
          <w:lang w:val="en-GB"/>
        </w:rPr>
        <w:endnoteReference w:id="89"/>
      </w:r>
    </w:p>
    <w:p w14:paraId="0EC12466" w14:textId="6AE80A62" w:rsidR="00986894" w:rsidRPr="00986894" w:rsidRDefault="00986894" w:rsidP="00C7393C">
      <w:pPr>
        <w:jc w:val="both"/>
        <w:rPr>
          <w:rFonts w:eastAsia="Calibri"/>
          <w:color w:val="000000" w:themeColor="text1"/>
          <w:sz w:val="22"/>
          <w:szCs w:val="22"/>
          <w:lang w:val="en-GB"/>
        </w:rPr>
      </w:pPr>
    </w:p>
    <w:p w14:paraId="57DA2C95" w14:textId="6C1CE06B" w:rsidR="00986894" w:rsidRPr="00986894" w:rsidRDefault="00986894" w:rsidP="00C7393C">
      <w:pPr>
        <w:jc w:val="both"/>
        <w:rPr>
          <w:rFonts w:eastAsia="Calibri"/>
          <w:color w:val="000000" w:themeColor="text1"/>
          <w:sz w:val="22"/>
          <w:szCs w:val="22"/>
          <w:lang w:val="en-GB"/>
        </w:rPr>
      </w:pPr>
      <w:r w:rsidRPr="00986894">
        <w:rPr>
          <w:rFonts w:eastAsia="Calibri"/>
          <w:color w:val="000000" w:themeColor="text1"/>
          <w:sz w:val="22"/>
          <w:szCs w:val="22"/>
          <w:lang w:val="en-GB"/>
        </w:rPr>
        <w:t>After this announcement, the committee continued its investigation, which involved the review of over 550,000 documents and 60 witness interviews. It became evident that 12 complicit employees had to be terminated and disciplinary action taken against 15 employees. Moreover, the committee also recommended the termination of relations with third parties involved in the fraud.</w:t>
      </w:r>
      <w:r w:rsidRPr="00986894">
        <w:rPr>
          <w:rFonts w:eastAsia="Calibri"/>
          <w:color w:val="000000" w:themeColor="text1"/>
          <w:sz w:val="22"/>
          <w:szCs w:val="22"/>
          <w:vertAlign w:val="superscript"/>
          <w:lang w:val="en-GB"/>
        </w:rPr>
        <w:endnoteReference w:id="90"/>
      </w:r>
    </w:p>
    <w:p w14:paraId="12F0E3EE" w14:textId="77777777" w:rsidR="00986894" w:rsidRPr="00986894" w:rsidRDefault="00986894" w:rsidP="00C7393C">
      <w:pPr>
        <w:jc w:val="both"/>
        <w:rPr>
          <w:rFonts w:eastAsia="Calibri"/>
          <w:color w:val="000000" w:themeColor="text1"/>
          <w:sz w:val="22"/>
          <w:szCs w:val="22"/>
          <w:lang w:val="en-GB"/>
        </w:rPr>
      </w:pPr>
    </w:p>
    <w:p w14:paraId="1391E457" w14:textId="64FD539E" w:rsidR="00986894" w:rsidRPr="00986894" w:rsidRDefault="00986894" w:rsidP="00F75CDB">
      <w:pPr>
        <w:jc w:val="both"/>
        <w:rPr>
          <w:rFonts w:eastAsia="Calibri"/>
          <w:color w:val="000000" w:themeColor="text1"/>
          <w:sz w:val="22"/>
          <w:szCs w:val="22"/>
          <w:lang w:val="en-GB"/>
        </w:rPr>
      </w:pPr>
      <w:r w:rsidRPr="00986894">
        <w:rPr>
          <w:rFonts w:eastAsia="Calibri"/>
          <w:color w:val="000000" w:themeColor="text1"/>
          <w:sz w:val="22"/>
          <w:szCs w:val="22"/>
          <w:lang w:val="en-GB"/>
        </w:rPr>
        <w:t xml:space="preserve">Just as these investigations were </w:t>
      </w:r>
      <w:proofErr w:type="gramStart"/>
      <w:r w:rsidRPr="00986894">
        <w:rPr>
          <w:rFonts w:eastAsia="Calibri"/>
          <w:color w:val="000000" w:themeColor="text1"/>
          <w:sz w:val="22"/>
          <w:szCs w:val="22"/>
          <w:lang w:val="en-GB"/>
        </w:rPr>
        <w:t>coming to a close</w:t>
      </w:r>
      <w:proofErr w:type="gramEnd"/>
      <w:r w:rsidRPr="00986894">
        <w:rPr>
          <w:rFonts w:eastAsia="Calibri"/>
          <w:color w:val="000000" w:themeColor="text1"/>
          <w:sz w:val="22"/>
          <w:szCs w:val="22"/>
          <w:lang w:val="en-GB"/>
        </w:rPr>
        <w:t>, majority shareholder Charles Lu (see Exhibit 9) called for an extraordinary general meeting (EGM) with the intent of removing Shao. Simultaneously, the special committee announced its recommendation that Lu should be removed as board chair, due to his failure to cooperate with the investigation. The committee declared that Lu knew or should have known about the fraudulent transactions—a claim that Lu denied.</w:t>
      </w:r>
      <w:r w:rsidRPr="00986894">
        <w:rPr>
          <w:rFonts w:eastAsia="Calibri"/>
          <w:color w:val="000000" w:themeColor="text1"/>
          <w:sz w:val="22"/>
          <w:szCs w:val="22"/>
          <w:vertAlign w:val="superscript"/>
          <w:lang w:val="en-GB"/>
        </w:rPr>
        <w:endnoteReference w:id="91"/>
      </w:r>
      <w:r w:rsidRPr="00986894">
        <w:rPr>
          <w:rFonts w:eastAsia="Calibri"/>
          <w:color w:val="000000" w:themeColor="text1"/>
          <w:sz w:val="22"/>
          <w:szCs w:val="22"/>
          <w:lang w:val="en-GB"/>
        </w:rPr>
        <w:t xml:space="preserve"> </w:t>
      </w:r>
    </w:p>
    <w:p w14:paraId="7332717D" w14:textId="77777777" w:rsidR="00986894" w:rsidRPr="00986894" w:rsidRDefault="00986894" w:rsidP="00F75CDB">
      <w:pPr>
        <w:jc w:val="both"/>
        <w:rPr>
          <w:rFonts w:eastAsia="Calibri"/>
          <w:color w:val="000000" w:themeColor="text1"/>
          <w:sz w:val="22"/>
          <w:szCs w:val="22"/>
          <w:lang w:val="en-GB"/>
        </w:rPr>
      </w:pPr>
    </w:p>
    <w:p w14:paraId="72EB0D8F" w14:textId="5E5937A0" w:rsidR="00986894" w:rsidRPr="00986894" w:rsidRDefault="00986894" w:rsidP="00F75CDB">
      <w:pPr>
        <w:jc w:val="both"/>
        <w:rPr>
          <w:rFonts w:eastAsia="Calibri"/>
          <w:color w:val="000000" w:themeColor="text1"/>
          <w:sz w:val="22"/>
          <w:szCs w:val="22"/>
          <w:lang w:val="en-GB"/>
        </w:rPr>
      </w:pPr>
      <w:r w:rsidRPr="00986894">
        <w:rPr>
          <w:rFonts w:eastAsia="Calibri"/>
          <w:color w:val="000000" w:themeColor="text1"/>
          <w:sz w:val="22"/>
          <w:szCs w:val="22"/>
          <w:lang w:val="en-GB"/>
        </w:rPr>
        <w:t>On July 13,</w:t>
      </w:r>
      <w:r w:rsidR="00A5730D">
        <w:rPr>
          <w:rFonts w:eastAsia="Calibri"/>
          <w:color w:val="000000" w:themeColor="text1"/>
          <w:sz w:val="22"/>
          <w:szCs w:val="22"/>
          <w:lang w:val="en-GB"/>
        </w:rPr>
        <w:t xml:space="preserve"> 2020,</w:t>
      </w:r>
      <w:r w:rsidRPr="00986894">
        <w:rPr>
          <w:rFonts w:eastAsia="Calibri"/>
          <w:color w:val="000000" w:themeColor="text1"/>
          <w:sz w:val="22"/>
          <w:szCs w:val="22"/>
          <w:lang w:val="en-GB"/>
        </w:rPr>
        <w:t xml:space="preserv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announced several changes in the board, effective July 5</w:t>
      </w:r>
      <w:r w:rsidR="00A5730D">
        <w:rPr>
          <w:rFonts w:eastAsia="Calibri"/>
          <w:color w:val="000000" w:themeColor="text1"/>
          <w:sz w:val="22"/>
          <w:szCs w:val="22"/>
          <w:lang w:val="en-GB"/>
        </w:rPr>
        <w:t>, 2020</w:t>
      </w:r>
      <w:r w:rsidRPr="00986894">
        <w:rPr>
          <w:rFonts w:eastAsia="Calibri"/>
          <w:color w:val="000000" w:themeColor="text1"/>
          <w:sz w:val="22"/>
          <w:szCs w:val="22"/>
          <w:lang w:val="en-GB"/>
        </w:rPr>
        <w:t>:</w:t>
      </w:r>
      <w:r w:rsidRPr="00986894">
        <w:rPr>
          <w:rStyle w:val="EndnoteReference"/>
          <w:rFonts w:eastAsia="Calibri"/>
          <w:color w:val="000000" w:themeColor="text1"/>
          <w:sz w:val="22"/>
          <w:szCs w:val="22"/>
          <w:lang w:val="en-GB"/>
        </w:rPr>
        <w:endnoteReference w:id="92"/>
      </w:r>
      <w:r w:rsidRPr="00986894">
        <w:rPr>
          <w:rFonts w:eastAsia="Calibri"/>
          <w:color w:val="000000" w:themeColor="text1"/>
          <w:sz w:val="22"/>
          <w:szCs w:val="22"/>
          <w:lang w:val="en-GB"/>
        </w:rPr>
        <w:t xml:space="preserve"> Lu, Shao, and two of the original directors were removed; Guo was named CEO and chair, and remained </w:t>
      </w:r>
      <w:r w:rsidR="00425049" w:rsidRPr="00986894">
        <w:rPr>
          <w:rFonts w:eastAsia="Calibri"/>
          <w:color w:val="000000" w:themeColor="text1"/>
          <w:sz w:val="22"/>
          <w:szCs w:val="22"/>
          <w:lang w:val="en-GB"/>
        </w:rPr>
        <w:t>as the</w:t>
      </w:r>
      <w:r w:rsidRPr="00986894">
        <w:rPr>
          <w:rFonts w:eastAsia="Calibri"/>
          <w:color w:val="000000" w:themeColor="text1"/>
          <w:sz w:val="22"/>
          <w:szCs w:val="22"/>
          <w:lang w:val="en-GB"/>
        </w:rPr>
        <w:t xml:space="preserve"> only member of the eight-person board that had </w:t>
      </w:r>
      <w:proofErr w:type="gramStart"/>
      <w:r w:rsidRPr="00986894">
        <w:rPr>
          <w:rFonts w:eastAsia="Calibri"/>
          <w:color w:val="000000" w:themeColor="text1"/>
          <w:sz w:val="22"/>
          <w:szCs w:val="22"/>
          <w:lang w:val="en-GB"/>
        </w:rPr>
        <w:t>been connected with</w:t>
      </w:r>
      <w:proofErr w:type="gramEnd"/>
      <w:r w:rsidRPr="00986894">
        <w:rPr>
          <w:rFonts w:eastAsia="Calibri"/>
          <w:color w:val="000000" w:themeColor="text1"/>
          <w:sz w:val="22"/>
          <w:szCs w:val="22"/>
          <w:lang w:val="en-GB"/>
        </w:rPr>
        <w:t xml:space="preserv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before the scandal erupted.</w:t>
      </w:r>
      <w:r w:rsidRPr="00986894">
        <w:rPr>
          <w:rStyle w:val="EndnoteReference"/>
          <w:sz w:val="22"/>
          <w:szCs w:val="22"/>
          <w:lang w:val="en-GB"/>
        </w:rPr>
        <w:endnoteReference w:id="93"/>
      </w:r>
      <w:r w:rsidRPr="00986894">
        <w:rPr>
          <w:rFonts w:eastAsia="Calibri"/>
          <w:color w:val="000000" w:themeColor="text1"/>
          <w:sz w:val="22"/>
          <w:szCs w:val="22"/>
          <w:lang w:val="en-GB"/>
        </w:rPr>
        <w:t xml:space="preserve"> Other resignations and replacements had already taken place (see Exhibit 10). </w:t>
      </w:r>
    </w:p>
    <w:p w14:paraId="7F2CF506" w14:textId="77777777" w:rsidR="00986894" w:rsidRPr="00986894" w:rsidRDefault="00986894" w:rsidP="00F75CDB">
      <w:pPr>
        <w:jc w:val="both"/>
        <w:rPr>
          <w:rFonts w:eastAsia="Calibri"/>
          <w:color w:val="000000" w:themeColor="text1"/>
          <w:sz w:val="22"/>
          <w:szCs w:val="22"/>
          <w:lang w:val="en-GB"/>
        </w:rPr>
      </w:pPr>
    </w:p>
    <w:p w14:paraId="0A28078F" w14:textId="1F33DAF2" w:rsidR="00986894" w:rsidRPr="00986894" w:rsidRDefault="00986894" w:rsidP="00C7393C">
      <w:pPr>
        <w:jc w:val="both"/>
        <w:rPr>
          <w:rFonts w:eastAsia="Calibri"/>
          <w:color w:val="000000" w:themeColor="text1"/>
          <w:sz w:val="22"/>
          <w:szCs w:val="22"/>
          <w:lang w:val="en-GB"/>
        </w:rPr>
      </w:pPr>
      <w:r w:rsidRPr="00986894">
        <w:rPr>
          <w:rFonts w:eastAsia="Calibri"/>
          <w:color w:val="000000" w:themeColor="text1"/>
          <w:sz w:val="22"/>
          <w:szCs w:val="22"/>
          <w:lang w:val="en-GB"/>
        </w:rPr>
        <w:t xml:space="preserve">Despite the changes to the board’s composition, some were </w:t>
      </w:r>
      <w:r w:rsidR="00A5730D">
        <w:rPr>
          <w:rFonts w:eastAsia="Calibri"/>
          <w:color w:val="000000" w:themeColor="text1"/>
          <w:sz w:val="22"/>
          <w:szCs w:val="22"/>
          <w:lang w:val="en-GB"/>
        </w:rPr>
        <w:t xml:space="preserve">still </w:t>
      </w:r>
      <w:proofErr w:type="spellStart"/>
      <w:r w:rsidRPr="00986894">
        <w:rPr>
          <w:rFonts w:eastAsia="Calibri"/>
          <w:color w:val="000000" w:themeColor="text1"/>
          <w:sz w:val="22"/>
          <w:szCs w:val="22"/>
          <w:lang w:val="en-GB"/>
        </w:rPr>
        <w:t>skeptical</w:t>
      </w:r>
      <w:proofErr w:type="spellEnd"/>
      <w:r w:rsidRPr="00986894">
        <w:rPr>
          <w:rFonts w:eastAsia="Calibri"/>
          <w:color w:val="000000" w:themeColor="text1"/>
          <w:sz w:val="22"/>
          <w:szCs w:val="22"/>
          <w:lang w:val="en-GB"/>
        </w:rPr>
        <w:t xml:space="preserve"> about the independence of the board because the replacements were perceived to have been personally selected by Lu.</w:t>
      </w:r>
      <w:r w:rsidRPr="00986894">
        <w:rPr>
          <w:rFonts w:eastAsia="Calibri"/>
          <w:color w:val="000000" w:themeColor="text1"/>
          <w:sz w:val="22"/>
          <w:szCs w:val="22"/>
          <w:vertAlign w:val="superscript"/>
          <w:lang w:val="en-GB"/>
        </w:rPr>
        <w:endnoteReference w:id="94"/>
      </w:r>
      <w:r w:rsidRPr="00986894">
        <w:rPr>
          <w:rFonts w:eastAsia="Calibri"/>
          <w:color w:val="000000" w:themeColor="text1"/>
          <w:sz w:val="22"/>
          <w:szCs w:val="22"/>
          <w:lang w:val="en-GB"/>
        </w:rPr>
        <w:t xml:space="preserve"> There were also speculations as to why Lu had allowed himself to be removed as both the chair and a member of the board. </w:t>
      </w:r>
      <w:r w:rsidRPr="00986894">
        <w:rPr>
          <w:rFonts w:eastAsia="Calibri"/>
          <w:color w:val="000000" w:themeColor="text1"/>
          <w:sz w:val="22"/>
          <w:szCs w:val="22"/>
          <w:lang w:val="en-GB"/>
        </w:rPr>
        <w:lastRenderedPageBreak/>
        <w:t>Some suspected that Lu wanted to divert attention away from his possible role in the fraud.</w:t>
      </w:r>
      <w:r w:rsidRPr="00986894">
        <w:rPr>
          <w:rStyle w:val="EndnoteReference"/>
          <w:color w:val="000000" w:themeColor="text1"/>
          <w:sz w:val="22"/>
          <w:szCs w:val="22"/>
          <w:lang w:val="en-GB"/>
        </w:rPr>
        <w:endnoteReference w:id="95"/>
      </w:r>
      <w:r w:rsidRPr="00986894">
        <w:rPr>
          <w:rFonts w:eastAsia="Calibri"/>
          <w:color w:val="000000" w:themeColor="text1"/>
          <w:sz w:val="22"/>
          <w:szCs w:val="22"/>
          <w:lang w:val="en-GB"/>
        </w:rPr>
        <w:t xml:space="preserve"> It was also suspected that Lu’s removal had been pre-emptive and that Lu had expected to lose control of </w:t>
      </w:r>
      <w:proofErr w:type="spellStart"/>
      <w:r w:rsidRPr="00986894">
        <w:rPr>
          <w:rFonts w:eastAsia="Calibri"/>
          <w:color w:val="000000" w:themeColor="text1"/>
          <w:sz w:val="22"/>
          <w:szCs w:val="22"/>
          <w:lang w:val="en-GB"/>
        </w:rPr>
        <w:t>Haode</w:t>
      </w:r>
      <w:proofErr w:type="spellEnd"/>
      <w:r w:rsidRPr="00986894">
        <w:rPr>
          <w:rFonts w:eastAsia="Calibri"/>
          <w:color w:val="000000" w:themeColor="text1"/>
          <w:sz w:val="22"/>
          <w:szCs w:val="22"/>
          <w:lang w:val="en-GB"/>
        </w:rPr>
        <w:t xml:space="preserve"> Investments after the British Virgin Islands granted both Credit Suisse and Wall Street banks the authority to liquidate investments following Lu’s default on loans he had secured, prior to the IPO, with stocks in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w:t>
      </w:r>
      <w:r w:rsidRPr="00986894">
        <w:rPr>
          <w:rFonts w:eastAsia="Calibri"/>
          <w:color w:val="000000" w:themeColor="text1"/>
          <w:sz w:val="22"/>
          <w:szCs w:val="22"/>
          <w:vertAlign w:val="superscript"/>
          <w:lang w:val="en-GB"/>
        </w:rPr>
        <w:endnoteReference w:id="96"/>
      </w:r>
      <w:r w:rsidRPr="00986894">
        <w:rPr>
          <w:rFonts w:eastAsia="Calibri"/>
          <w:color w:val="000000" w:themeColor="text1"/>
          <w:sz w:val="22"/>
          <w:szCs w:val="22"/>
          <w:lang w:val="en-GB"/>
        </w:rPr>
        <w:t xml:space="preserve"> </w:t>
      </w:r>
      <w:r w:rsidR="00A5730D">
        <w:rPr>
          <w:rFonts w:eastAsia="Calibri"/>
          <w:color w:val="000000" w:themeColor="text1"/>
          <w:sz w:val="22"/>
          <w:szCs w:val="22"/>
          <w:lang w:val="en-GB"/>
        </w:rPr>
        <w:t>A</w:t>
      </w:r>
      <w:r w:rsidRPr="00986894">
        <w:rPr>
          <w:rFonts w:eastAsia="Calibri"/>
          <w:color w:val="000000" w:themeColor="text1"/>
          <w:sz w:val="22"/>
          <w:szCs w:val="22"/>
          <w:lang w:val="en-GB"/>
        </w:rPr>
        <w:t>lso</w:t>
      </w:r>
      <w:r w:rsidR="00A5730D">
        <w:rPr>
          <w:rFonts w:eastAsia="Calibri"/>
          <w:color w:val="000000" w:themeColor="text1"/>
          <w:sz w:val="22"/>
          <w:szCs w:val="22"/>
          <w:lang w:val="en-GB"/>
        </w:rPr>
        <w:t>,</w:t>
      </w:r>
      <w:r w:rsidRPr="00986894">
        <w:rPr>
          <w:rFonts w:eastAsia="Calibri"/>
          <w:color w:val="000000" w:themeColor="text1"/>
          <w:sz w:val="22"/>
          <w:szCs w:val="22"/>
          <w:lang w:val="en-GB"/>
        </w:rPr>
        <w:t xml:space="preserve"> some believed that Lu wanted relief from scrutiny, since trading in shares of his non-related businesses, CAR and </w:t>
      </w:r>
      <w:proofErr w:type="spellStart"/>
      <w:r w:rsidRPr="00986894">
        <w:rPr>
          <w:rFonts w:eastAsia="Calibri"/>
          <w:color w:val="000000" w:themeColor="text1"/>
          <w:sz w:val="22"/>
          <w:szCs w:val="22"/>
          <w:lang w:val="en-GB"/>
        </w:rPr>
        <w:t>UCar</w:t>
      </w:r>
      <w:proofErr w:type="spellEnd"/>
      <w:r w:rsidRPr="00986894">
        <w:rPr>
          <w:rFonts w:eastAsia="Calibri"/>
          <w:color w:val="000000" w:themeColor="text1"/>
          <w:sz w:val="22"/>
          <w:szCs w:val="22"/>
          <w:lang w:val="en-GB"/>
        </w:rPr>
        <w:t xml:space="preserve">, had been </w:t>
      </w:r>
      <w:r w:rsidR="00425049" w:rsidRPr="00986894">
        <w:rPr>
          <w:rFonts w:eastAsia="Calibri"/>
          <w:color w:val="000000" w:themeColor="text1"/>
          <w:sz w:val="22"/>
          <w:szCs w:val="22"/>
          <w:lang w:val="en-GB"/>
        </w:rPr>
        <w:t>unfavourably</w:t>
      </w:r>
      <w:r w:rsidRPr="00986894">
        <w:rPr>
          <w:rFonts w:eastAsia="Calibri"/>
          <w:color w:val="000000" w:themeColor="text1"/>
          <w:sz w:val="22"/>
          <w:szCs w:val="22"/>
          <w:lang w:val="en-GB"/>
        </w:rPr>
        <w:t xml:space="preserve"> affected</w:t>
      </w:r>
      <w:r w:rsidRPr="00986894">
        <w:rPr>
          <w:color w:val="000000" w:themeColor="text1"/>
          <w:sz w:val="22"/>
          <w:szCs w:val="22"/>
          <w:vertAlign w:val="superscript"/>
          <w:lang w:val="en-GB"/>
        </w:rPr>
        <w:endnoteReference w:id="97"/>
      </w:r>
      <w:r w:rsidRPr="00986894">
        <w:rPr>
          <w:rFonts w:eastAsia="Calibri"/>
          <w:color w:val="000000" w:themeColor="text1"/>
          <w:sz w:val="22"/>
          <w:szCs w:val="22"/>
          <w:lang w:val="en-GB"/>
        </w:rPr>
        <w:t xml:space="preserve"> and his shares in </w:t>
      </w:r>
      <w:proofErr w:type="spellStart"/>
      <w:r w:rsidRPr="00986894">
        <w:rPr>
          <w:rFonts w:eastAsia="Calibri"/>
          <w:color w:val="000000" w:themeColor="text1"/>
          <w:sz w:val="22"/>
          <w:szCs w:val="22"/>
          <w:lang w:val="en-GB"/>
        </w:rPr>
        <w:t>UCar</w:t>
      </w:r>
      <w:proofErr w:type="spellEnd"/>
      <w:r w:rsidRPr="00986894">
        <w:rPr>
          <w:rFonts w:eastAsia="Calibri"/>
          <w:color w:val="000000" w:themeColor="text1"/>
          <w:sz w:val="22"/>
          <w:szCs w:val="22"/>
          <w:lang w:val="en-GB"/>
        </w:rPr>
        <w:t xml:space="preserve"> had </w:t>
      </w:r>
      <w:r w:rsidR="00425049" w:rsidRPr="00986894">
        <w:rPr>
          <w:rFonts w:eastAsia="Calibri"/>
          <w:color w:val="000000" w:themeColor="text1"/>
          <w:sz w:val="22"/>
          <w:szCs w:val="22"/>
          <w:lang w:val="en-GB"/>
        </w:rPr>
        <w:t>been frozen</w:t>
      </w:r>
      <w:r w:rsidRPr="00986894">
        <w:rPr>
          <w:rFonts w:eastAsia="Calibri"/>
          <w:color w:val="000000" w:themeColor="text1"/>
          <w:sz w:val="22"/>
          <w:szCs w:val="22"/>
          <w:lang w:val="en-GB"/>
        </w:rPr>
        <w:t>.</w:t>
      </w:r>
      <w:r w:rsidRPr="00986894">
        <w:rPr>
          <w:color w:val="000000" w:themeColor="text1"/>
          <w:sz w:val="22"/>
          <w:szCs w:val="22"/>
          <w:vertAlign w:val="superscript"/>
          <w:lang w:val="en-GB"/>
        </w:rPr>
        <w:endnoteReference w:id="98"/>
      </w:r>
      <w:r w:rsidRPr="00986894">
        <w:rPr>
          <w:rFonts w:eastAsia="Calibri"/>
          <w:color w:val="000000" w:themeColor="text1"/>
          <w:sz w:val="22"/>
          <w:szCs w:val="22"/>
          <w:lang w:val="en-GB"/>
        </w:rPr>
        <w:t xml:space="preserve"> In June 2020, Lu also stepped down as chair of CAR.</w:t>
      </w:r>
      <w:r w:rsidRPr="00986894">
        <w:rPr>
          <w:color w:val="000000" w:themeColor="text1"/>
          <w:sz w:val="22"/>
          <w:szCs w:val="22"/>
          <w:vertAlign w:val="superscript"/>
          <w:lang w:val="en-GB"/>
        </w:rPr>
        <w:endnoteReference w:id="99"/>
      </w:r>
    </w:p>
    <w:p w14:paraId="1F6AB9D8" w14:textId="5C6846F1" w:rsidR="00986894" w:rsidRPr="00CD7A66" w:rsidRDefault="00986894" w:rsidP="00C7393C">
      <w:pPr>
        <w:jc w:val="both"/>
        <w:rPr>
          <w:rFonts w:eastAsia="Calibri"/>
          <w:color w:val="000000" w:themeColor="text1"/>
          <w:sz w:val="18"/>
          <w:szCs w:val="22"/>
          <w:lang w:val="en-GB"/>
        </w:rPr>
      </w:pPr>
    </w:p>
    <w:p w14:paraId="27768396" w14:textId="46871114" w:rsidR="00986894" w:rsidRPr="00986894" w:rsidRDefault="00986894" w:rsidP="00C7393C">
      <w:pPr>
        <w:jc w:val="both"/>
        <w:rPr>
          <w:rFonts w:eastAsia="Calibri"/>
          <w:color w:val="000000" w:themeColor="text1"/>
          <w:sz w:val="22"/>
          <w:szCs w:val="22"/>
          <w:lang w:val="en-GB"/>
        </w:rPr>
      </w:pPr>
      <w:r w:rsidRPr="00986894">
        <w:rPr>
          <w:rFonts w:eastAsia="Calibri"/>
          <w:color w:val="000000" w:themeColor="text1"/>
          <w:sz w:val="22"/>
          <w:szCs w:val="22"/>
          <w:lang w:val="en-GB"/>
        </w:rPr>
        <w:t xml:space="preserve">The changes to the composition of the board were far from over. On August 3, Centurium Capital, which held more than 10 per cent of voting shares, requested that another EGM be scheduled to reinstate Shao as an independent director and to remove the two female </w:t>
      </w:r>
      <w:proofErr w:type="gramStart"/>
      <w:r w:rsidRPr="00986894">
        <w:rPr>
          <w:rFonts w:eastAsia="Calibri"/>
          <w:color w:val="000000" w:themeColor="text1"/>
          <w:sz w:val="22"/>
          <w:szCs w:val="22"/>
          <w:lang w:val="en-GB"/>
        </w:rPr>
        <w:t>directors</w:t>
      </w:r>
      <w:proofErr w:type="gramEnd"/>
      <w:r w:rsidRPr="00986894">
        <w:rPr>
          <w:rFonts w:eastAsia="Calibri"/>
          <w:color w:val="000000" w:themeColor="text1"/>
          <w:sz w:val="22"/>
          <w:szCs w:val="22"/>
          <w:lang w:val="en-GB"/>
        </w:rPr>
        <w:t xml:space="preserve"> Lu had brought onto the board.</w:t>
      </w:r>
      <w:r w:rsidRPr="00986894">
        <w:rPr>
          <w:sz w:val="22"/>
          <w:szCs w:val="22"/>
          <w:vertAlign w:val="superscript"/>
          <w:lang w:val="en-GB"/>
        </w:rPr>
        <w:endnoteReference w:id="100"/>
      </w:r>
    </w:p>
    <w:p w14:paraId="3766FF8A" w14:textId="77777777" w:rsidR="00986894" w:rsidRPr="00CD7A66" w:rsidRDefault="00986894" w:rsidP="00C7393C">
      <w:pPr>
        <w:jc w:val="both"/>
        <w:rPr>
          <w:rFonts w:eastAsia="Calibri"/>
          <w:color w:val="000000" w:themeColor="text1"/>
          <w:sz w:val="18"/>
          <w:szCs w:val="22"/>
          <w:lang w:val="en-GB"/>
        </w:rPr>
      </w:pPr>
    </w:p>
    <w:p w14:paraId="7A753E90" w14:textId="77777777" w:rsidR="00986894" w:rsidRPr="00CD7A66" w:rsidRDefault="00986894" w:rsidP="00D606C4">
      <w:pPr>
        <w:pStyle w:val="BodyTextMain"/>
        <w:rPr>
          <w:sz w:val="18"/>
        </w:rPr>
      </w:pPr>
    </w:p>
    <w:p w14:paraId="4900DB9C" w14:textId="45D0362A" w:rsidR="00986894" w:rsidRPr="00986894" w:rsidRDefault="00986894" w:rsidP="00515CCA">
      <w:pPr>
        <w:pStyle w:val="Casehead1"/>
      </w:pPr>
      <w:r w:rsidRPr="00986894">
        <w:t>ACTION TAKEN BY REGULATORS</w:t>
      </w:r>
    </w:p>
    <w:p w14:paraId="40F5D0A1" w14:textId="77777777" w:rsidR="00986894" w:rsidRPr="00CD7A66" w:rsidRDefault="00986894" w:rsidP="00515CCA">
      <w:pPr>
        <w:pStyle w:val="BodyTextMain"/>
        <w:rPr>
          <w:sz w:val="18"/>
        </w:rPr>
      </w:pPr>
    </w:p>
    <w:p w14:paraId="3B32AF57" w14:textId="01E34A26" w:rsidR="00986894" w:rsidRPr="00986894" w:rsidRDefault="00986894" w:rsidP="00434F9E">
      <w:pPr>
        <w:keepNext/>
        <w:jc w:val="both"/>
        <w:rPr>
          <w:rFonts w:eastAsia="Calibri"/>
          <w:color w:val="000000" w:themeColor="text1"/>
          <w:sz w:val="22"/>
          <w:szCs w:val="22"/>
          <w:lang w:val="en-GB"/>
        </w:rPr>
      </w:pPr>
      <w:r w:rsidRPr="00986894">
        <w:rPr>
          <w:rFonts w:eastAsia="Calibri"/>
          <w:color w:val="000000" w:themeColor="text1"/>
          <w:sz w:val="22"/>
          <w:szCs w:val="22"/>
          <w:lang w:val="en-GB"/>
        </w:rPr>
        <w:t xml:space="preserve">The Nasdaq was quick to react to </w:t>
      </w: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public disclosure of accounting fraud. A few days after the announcement, trading in </w:t>
      </w: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stocks was suspended, and before the six-week suspension ended in May</w:t>
      </w:r>
      <w:r w:rsidR="00A5730D">
        <w:rPr>
          <w:rFonts w:eastAsia="Calibri"/>
          <w:color w:val="000000" w:themeColor="text1"/>
          <w:sz w:val="22"/>
          <w:szCs w:val="22"/>
          <w:lang w:val="en-GB"/>
        </w:rPr>
        <w:t xml:space="preserve"> 2020</w:t>
      </w:r>
      <w:r w:rsidRPr="00986894">
        <w:rPr>
          <w:rFonts w:eastAsia="Calibri"/>
          <w:color w:val="000000" w:themeColor="text1"/>
          <w:sz w:val="22"/>
          <w:szCs w:val="22"/>
          <w:lang w:val="en-GB"/>
        </w:rPr>
        <w:t xml:space="preserve">, Nasdaq warned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that it might be delisted due to its failure to publicly disclose material information and the concerns raised by investors.</w:t>
      </w:r>
      <w:r w:rsidRPr="00986894">
        <w:rPr>
          <w:rFonts w:eastAsia="Calibri"/>
          <w:color w:val="000000" w:themeColor="text1"/>
          <w:sz w:val="22"/>
          <w:szCs w:val="22"/>
          <w:vertAlign w:val="superscript"/>
          <w:lang w:val="en-GB"/>
        </w:rPr>
        <w:endnoteReference w:id="101"/>
      </w:r>
      <w:r w:rsidRPr="00986894">
        <w:rPr>
          <w:rFonts w:eastAsia="Calibri"/>
          <w:color w:val="000000" w:themeColor="text1"/>
          <w:sz w:val="22"/>
          <w:szCs w:val="22"/>
          <w:lang w:val="en-GB"/>
        </w:rPr>
        <w:t xml:space="preserve"> A month later, Nasdaq issued a second delisting notice due to </w:t>
      </w: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failure to file an annual financial report for 2019.</w:t>
      </w:r>
      <w:r w:rsidRPr="00986894">
        <w:rPr>
          <w:rFonts w:eastAsia="Calibri"/>
          <w:color w:val="000000" w:themeColor="text1"/>
          <w:sz w:val="22"/>
          <w:szCs w:val="22"/>
          <w:vertAlign w:val="superscript"/>
          <w:lang w:val="en-GB"/>
        </w:rPr>
        <w:endnoteReference w:id="102"/>
      </w:r>
      <w:r w:rsidRPr="00986894">
        <w:rPr>
          <w:rFonts w:eastAsia="Calibri"/>
          <w:color w:val="000000" w:themeColor="text1"/>
          <w:sz w:val="22"/>
          <w:szCs w:val="22"/>
          <w:lang w:val="en-GB"/>
        </w:rPr>
        <w:t xml:space="preserve"> At </w:t>
      </w: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request, a hearing was set for June 25</w:t>
      </w:r>
      <w:r w:rsidR="00A5730D">
        <w:rPr>
          <w:rFonts w:eastAsia="Calibri"/>
          <w:color w:val="000000" w:themeColor="text1"/>
          <w:sz w:val="22"/>
          <w:szCs w:val="22"/>
          <w:lang w:val="en-GB"/>
        </w:rPr>
        <w:t>, 2020,</w:t>
      </w:r>
      <w:r w:rsidRPr="00986894">
        <w:rPr>
          <w:rFonts w:eastAsia="Calibri"/>
          <w:color w:val="000000" w:themeColor="text1"/>
          <w:sz w:val="22"/>
          <w:szCs w:val="22"/>
          <w:lang w:val="en-GB"/>
        </w:rPr>
        <w:t xml:space="preserve"> to allow the company an opportunity to be heard, but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withdrew this request a day before the hearing. Consequently, Nasdaq notified the company that trading of its shares would be suspended as of June 29, </w:t>
      </w:r>
      <w:r w:rsidR="00A5730D">
        <w:rPr>
          <w:rFonts w:eastAsia="Calibri"/>
          <w:color w:val="000000" w:themeColor="text1"/>
          <w:sz w:val="22"/>
          <w:szCs w:val="22"/>
          <w:lang w:val="en-GB"/>
        </w:rPr>
        <w:t xml:space="preserve">2020, </w:t>
      </w:r>
      <w:r w:rsidRPr="00986894">
        <w:rPr>
          <w:rFonts w:eastAsia="Calibri"/>
          <w:color w:val="000000" w:themeColor="text1"/>
          <w:sz w:val="22"/>
          <w:szCs w:val="22"/>
          <w:lang w:val="en-GB"/>
        </w:rPr>
        <w:t>until delisting could take effect.</w:t>
      </w:r>
      <w:r w:rsidRPr="00986894">
        <w:rPr>
          <w:rFonts w:eastAsia="Calibri"/>
          <w:color w:val="000000" w:themeColor="text1"/>
          <w:sz w:val="22"/>
          <w:szCs w:val="22"/>
          <w:vertAlign w:val="superscript"/>
          <w:lang w:val="en-GB"/>
        </w:rPr>
        <w:endnoteReference w:id="103"/>
      </w:r>
      <w:r w:rsidRPr="00986894">
        <w:rPr>
          <w:rFonts w:eastAsia="Calibri"/>
          <w:color w:val="000000" w:themeColor="text1"/>
          <w:sz w:val="22"/>
          <w:szCs w:val="22"/>
          <w:lang w:val="en-GB"/>
        </w:rPr>
        <w:t xml:space="preserve"> </w:t>
      </w:r>
    </w:p>
    <w:p w14:paraId="423EA654" w14:textId="77777777" w:rsidR="00986894" w:rsidRPr="00CD7A66" w:rsidRDefault="00986894" w:rsidP="00E86201">
      <w:pPr>
        <w:jc w:val="both"/>
        <w:rPr>
          <w:rFonts w:eastAsia="Calibri"/>
          <w:color w:val="000000" w:themeColor="text1"/>
          <w:sz w:val="18"/>
          <w:szCs w:val="22"/>
          <w:lang w:val="en-GB"/>
        </w:rPr>
      </w:pPr>
    </w:p>
    <w:p w14:paraId="722F519A" w14:textId="4F44368B" w:rsidR="00986894" w:rsidRPr="00986894" w:rsidRDefault="00986894" w:rsidP="00E86201">
      <w:pPr>
        <w:jc w:val="both"/>
        <w:rPr>
          <w:rFonts w:eastAsia="Calibri"/>
          <w:color w:val="000000" w:themeColor="text1"/>
          <w:sz w:val="22"/>
          <w:szCs w:val="22"/>
          <w:lang w:val="en-GB"/>
        </w:rPr>
      </w:pPr>
      <w:r w:rsidRPr="00986894">
        <w:rPr>
          <w:rFonts w:eastAsia="Calibri"/>
          <w:color w:val="000000" w:themeColor="text1"/>
          <w:sz w:val="22"/>
          <w:szCs w:val="22"/>
          <w:lang w:val="en-GB"/>
        </w:rPr>
        <w:t xml:space="preserve">As Nasdaq </w:t>
      </w:r>
      <w:proofErr w:type="gramStart"/>
      <w:r w:rsidRPr="00986894">
        <w:rPr>
          <w:rFonts w:eastAsia="Calibri"/>
          <w:color w:val="000000" w:themeColor="text1"/>
          <w:sz w:val="22"/>
          <w:szCs w:val="22"/>
          <w:lang w:val="en-GB"/>
        </w:rPr>
        <w:t>took action</w:t>
      </w:r>
      <w:proofErr w:type="gramEnd"/>
      <w:r w:rsidRPr="00986894">
        <w:rPr>
          <w:rFonts w:eastAsia="Calibri"/>
          <w:color w:val="000000" w:themeColor="text1"/>
          <w:sz w:val="22"/>
          <w:szCs w:val="22"/>
          <w:lang w:val="en-GB"/>
        </w:rPr>
        <w:t xml:space="preserve"> against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regulators coordinated with their counterparts in China to call for an investigation regarding the public disclosure of fraud. Unlike other countries, which allowed the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regulators to directly audit the financial records of firms listed on its stock exchanges, China granted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regulators no such authority. Under Chinese law, only locally based firms </w:t>
      </w:r>
      <w:proofErr w:type="gramStart"/>
      <w:r w:rsidRPr="00986894">
        <w:rPr>
          <w:rFonts w:eastAsia="Calibri"/>
          <w:color w:val="000000" w:themeColor="text1"/>
          <w:sz w:val="22"/>
          <w:szCs w:val="22"/>
          <w:lang w:val="en-GB"/>
        </w:rPr>
        <w:t>were allowed to</w:t>
      </w:r>
      <w:proofErr w:type="gramEnd"/>
      <w:r w:rsidRPr="00986894">
        <w:rPr>
          <w:rFonts w:eastAsia="Calibri"/>
          <w:color w:val="000000" w:themeColor="text1"/>
          <w:sz w:val="22"/>
          <w:szCs w:val="22"/>
          <w:lang w:val="en-GB"/>
        </w:rPr>
        <w:t xml:space="preserve"> audit Chinese firms; the country’s secrecy law also meant that documents could not be brought out of China</w:t>
      </w:r>
      <w:r w:rsidRPr="00CE2C20">
        <w:rPr>
          <w:rFonts w:eastAsia="Calibri"/>
          <w:color w:val="000000" w:themeColor="text1"/>
          <w:sz w:val="22"/>
          <w:szCs w:val="22"/>
          <w:lang w:val="en-GB"/>
        </w:rPr>
        <w:t>.</w:t>
      </w:r>
      <w:r w:rsidRPr="00515CCA">
        <w:rPr>
          <w:sz w:val="22"/>
          <w:szCs w:val="22"/>
          <w:vertAlign w:val="superscript"/>
          <w:lang w:val="en-GB"/>
        </w:rPr>
        <w:endnoteReference w:id="104"/>
      </w:r>
    </w:p>
    <w:p w14:paraId="3D766EC0" w14:textId="77777777" w:rsidR="00986894" w:rsidRPr="00CD7A66" w:rsidRDefault="00986894" w:rsidP="00C618F9">
      <w:pPr>
        <w:pStyle w:val="Default"/>
        <w:rPr>
          <w:rFonts w:ascii="Times New Roman" w:hAnsi="Times New Roman" w:hint="default"/>
          <w:sz w:val="18"/>
          <w:szCs w:val="22"/>
          <w:lang w:val="en-GB"/>
        </w:rPr>
      </w:pPr>
    </w:p>
    <w:p w14:paraId="52A9F38F" w14:textId="3011B002" w:rsidR="00986894" w:rsidRPr="00515CCA" w:rsidRDefault="00986894" w:rsidP="00E86201">
      <w:pPr>
        <w:jc w:val="both"/>
        <w:rPr>
          <w:rFonts w:eastAsia="Calibri"/>
          <w:color w:val="000000" w:themeColor="text1"/>
          <w:spacing w:val="-2"/>
          <w:sz w:val="22"/>
          <w:szCs w:val="22"/>
          <w:lang w:val="en-GB"/>
        </w:rPr>
      </w:pPr>
      <w:r w:rsidRPr="00515CCA">
        <w:rPr>
          <w:rFonts w:eastAsia="Calibri"/>
          <w:color w:val="000000" w:themeColor="text1"/>
          <w:spacing w:val="-2"/>
          <w:sz w:val="22"/>
          <w:szCs w:val="22"/>
          <w:lang w:val="en-GB"/>
        </w:rPr>
        <w:t>Three Chinese government units worked together to determine the extent of the fraudulent transactions</w:t>
      </w:r>
      <w:r w:rsidR="00C61491" w:rsidRPr="00515CCA">
        <w:rPr>
          <w:rFonts w:eastAsia="Calibri"/>
          <w:color w:val="000000" w:themeColor="text1"/>
          <w:spacing w:val="-2"/>
          <w:sz w:val="22"/>
          <w:szCs w:val="22"/>
          <w:lang w:val="en-GB"/>
        </w:rPr>
        <w:t>—</w:t>
      </w:r>
      <w:r w:rsidRPr="00515CCA">
        <w:rPr>
          <w:rFonts w:eastAsia="Calibri"/>
          <w:color w:val="000000" w:themeColor="text1"/>
          <w:spacing w:val="-2"/>
          <w:sz w:val="22"/>
          <w:szCs w:val="22"/>
          <w:lang w:val="en-GB"/>
        </w:rPr>
        <w:t xml:space="preserve"> the Ministry of Finance, the Chinese Securities Regulatory Commission, and the State Administration for Market Regulation. They concluded that </w:t>
      </w:r>
      <w:proofErr w:type="spellStart"/>
      <w:r w:rsidRPr="00515CCA">
        <w:rPr>
          <w:rFonts w:eastAsia="Calibri"/>
          <w:color w:val="000000" w:themeColor="text1"/>
          <w:spacing w:val="-2"/>
          <w:sz w:val="22"/>
          <w:szCs w:val="22"/>
          <w:lang w:val="en-GB"/>
        </w:rPr>
        <w:t>Luckin</w:t>
      </w:r>
      <w:proofErr w:type="spellEnd"/>
      <w:r w:rsidRPr="00515CCA">
        <w:rPr>
          <w:rFonts w:eastAsia="Calibri"/>
          <w:color w:val="000000" w:themeColor="text1"/>
          <w:spacing w:val="-2"/>
          <w:sz w:val="22"/>
          <w:szCs w:val="22"/>
          <w:lang w:val="en-GB"/>
        </w:rPr>
        <w:t xml:space="preserve"> had violated accounting laws, anti-competition regulations, and the new securities law that had taken effect in March 2020</w:t>
      </w:r>
      <w:bookmarkStart w:id="15" w:name="_Hlk48932503"/>
      <w:r w:rsidRPr="00515CCA">
        <w:rPr>
          <w:rFonts w:eastAsia="Calibri"/>
          <w:color w:val="000000" w:themeColor="text1"/>
          <w:spacing w:val="-2"/>
          <w:sz w:val="22"/>
          <w:szCs w:val="22"/>
          <w:vertAlign w:val="superscript"/>
          <w:lang w:val="en-GB"/>
        </w:rPr>
        <w:endnoteReference w:id="105"/>
      </w:r>
      <w:bookmarkEnd w:id="15"/>
      <w:r w:rsidRPr="00515CCA">
        <w:rPr>
          <w:rFonts w:eastAsia="Calibri"/>
          <w:color w:val="000000" w:themeColor="text1"/>
          <w:spacing w:val="-2"/>
          <w:sz w:val="22"/>
          <w:szCs w:val="22"/>
          <w:lang w:val="en-GB"/>
        </w:rPr>
        <w:t xml:space="preserve"> with its false advertising as well as its inflation of income and expenses.</w:t>
      </w:r>
      <w:r w:rsidRPr="00515CCA">
        <w:rPr>
          <w:rFonts w:eastAsia="Calibri"/>
          <w:color w:val="000000" w:themeColor="text1"/>
          <w:spacing w:val="-2"/>
          <w:sz w:val="22"/>
          <w:szCs w:val="22"/>
          <w:vertAlign w:val="superscript"/>
          <w:lang w:val="en-GB"/>
        </w:rPr>
        <w:endnoteReference w:id="106"/>
      </w:r>
      <w:r w:rsidRPr="00515CCA">
        <w:rPr>
          <w:rFonts w:eastAsia="Calibri"/>
          <w:color w:val="000000" w:themeColor="text1"/>
          <w:spacing w:val="-2"/>
          <w:sz w:val="22"/>
          <w:szCs w:val="22"/>
          <w:lang w:val="en-GB"/>
        </w:rPr>
        <w:t xml:space="preserve"> On top of applying administrative penalties to </w:t>
      </w:r>
      <w:proofErr w:type="spellStart"/>
      <w:r w:rsidRPr="00515CCA">
        <w:rPr>
          <w:rFonts w:eastAsia="Calibri"/>
          <w:color w:val="000000" w:themeColor="text1"/>
          <w:spacing w:val="-2"/>
          <w:sz w:val="22"/>
          <w:szCs w:val="22"/>
          <w:lang w:val="en-GB"/>
        </w:rPr>
        <w:t>Luckin</w:t>
      </w:r>
      <w:proofErr w:type="spellEnd"/>
      <w:r w:rsidRPr="00515CCA">
        <w:rPr>
          <w:rFonts w:eastAsia="Calibri"/>
          <w:color w:val="000000" w:themeColor="text1"/>
          <w:spacing w:val="-2"/>
          <w:sz w:val="22"/>
          <w:szCs w:val="22"/>
          <w:lang w:val="en-GB"/>
        </w:rPr>
        <w:t xml:space="preserve"> and related firms, the Chinese regulators prepared to penalize and even prosecute the former chairperson for his involvement in the fraud.</w:t>
      </w:r>
      <w:r w:rsidRPr="00515CCA">
        <w:rPr>
          <w:rStyle w:val="EndnoteReference"/>
          <w:spacing w:val="-2"/>
          <w:sz w:val="22"/>
          <w:szCs w:val="22"/>
          <w:lang w:val="en-GB"/>
        </w:rPr>
        <w:endnoteReference w:id="107"/>
      </w:r>
    </w:p>
    <w:p w14:paraId="4B0830D8" w14:textId="6F54A6B6" w:rsidR="00986894" w:rsidRPr="00CD7A66" w:rsidRDefault="00986894" w:rsidP="00E86201">
      <w:pPr>
        <w:jc w:val="both"/>
        <w:rPr>
          <w:rFonts w:eastAsia="Calibri"/>
          <w:color w:val="000000" w:themeColor="text1"/>
          <w:sz w:val="18"/>
          <w:szCs w:val="22"/>
          <w:lang w:val="en-GB"/>
        </w:rPr>
      </w:pPr>
    </w:p>
    <w:p w14:paraId="5385D26D" w14:textId="77777777" w:rsidR="00986894" w:rsidRPr="00CD7A66" w:rsidRDefault="00986894" w:rsidP="006A0C8B">
      <w:pPr>
        <w:pStyle w:val="Default"/>
        <w:rPr>
          <w:rFonts w:ascii="Times New Roman" w:hAnsi="Times New Roman" w:hint="default"/>
          <w:sz w:val="18"/>
          <w:szCs w:val="22"/>
          <w:lang w:val="en-GB"/>
        </w:rPr>
      </w:pPr>
    </w:p>
    <w:p w14:paraId="3CF621D7" w14:textId="0043F92A" w:rsidR="00986894" w:rsidRPr="00986894" w:rsidRDefault="00986894" w:rsidP="00515CCA">
      <w:pPr>
        <w:pStyle w:val="Casehead1"/>
      </w:pPr>
      <w:r w:rsidRPr="00986894">
        <w:t>RESPONSE OF INVESTORS</w:t>
      </w:r>
    </w:p>
    <w:p w14:paraId="4ABA7D06" w14:textId="6F5B34EE" w:rsidR="00986894" w:rsidRPr="00CD7A66" w:rsidRDefault="00986894" w:rsidP="00515CCA">
      <w:pPr>
        <w:pStyle w:val="Casehead1"/>
        <w:rPr>
          <w:sz w:val="16"/>
        </w:rPr>
      </w:pPr>
    </w:p>
    <w:p w14:paraId="248E066B" w14:textId="7275479D" w:rsidR="00986894" w:rsidRPr="00986894" w:rsidRDefault="00986894" w:rsidP="00DE0D51">
      <w:pPr>
        <w:keepNext/>
        <w:jc w:val="both"/>
        <w:rPr>
          <w:rFonts w:eastAsia="Calibri"/>
          <w:color w:val="000000" w:themeColor="text1"/>
          <w:sz w:val="22"/>
          <w:szCs w:val="22"/>
          <w:lang w:val="en-GB"/>
        </w:rPr>
      </w:pPr>
      <w:r w:rsidRPr="00986894">
        <w:rPr>
          <w:rFonts w:eastAsia="Calibri"/>
          <w:color w:val="000000" w:themeColor="text1"/>
          <w:sz w:val="22"/>
          <w:szCs w:val="22"/>
          <w:lang w:val="en-GB"/>
        </w:rPr>
        <w:t xml:space="preserve">As of December 2019,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had 158 institutional investors holding 460 million shares.</w:t>
      </w:r>
      <w:r w:rsidRPr="00986894">
        <w:rPr>
          <w:color w:val="000000" w:themeColor="text1"/>
          <w:sz w:val="22"/>
          <w:szCs w:val="22"/>
          <w:vertAlign w:val="superscript"/>
          <w:lang w:val="en-GB"/>
        </w:rPr>
        <w:endnoteReference w:id="108"/>
      </w:r>
      <w:r w:rsidRPr="00986894">
        <w:rPr>
          <w:rFonts w:eastAsia="Calibri"/>
          <w:color w:val="000000" w:themeColor="text1"/>
          <w:sz w:val="22"/>
          <w:szCs w:val="22"/>
          <w:lang w:val="en-GB"/>
        </w:rPr>
        <w:t xml:space="preserve"> These investors were still enthusiastic</w:t>
      </w:r>
      <w:r w:rsidR="00476DCF">
        <w:rPr>
          <w:rFonts w:eastAsia="Calibri"/>
          <w:color w:val="000000" w:themeColor="text1"/>
          <w:sz w:val="22"/>
          <w:szCs w:val="22"/>
          <w:lang w:val="en-GB"/>
        </w:rPr>
        <w:t>,</w:t>
      </w:r>
      <w:r w:rsidRPr="00986894">
        <w:rPr>
          <w:rFonts w:eastAsia="Calibri"/>
          <w:color w:val="000000" w:themeColor="text1"/>
          <w:sz w:val="22"/>
          <w:szCs w:val="22"/>
          <w:lang w:val="en-GB"/>
        </w:rPr>
        <w:t xml:space="preserve"> even though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as an emerging, growth company, was taking advantage of reduced public reporting requirements under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securities </w:t>
      </w:r>
      <w:bookmarkStart w:id="16" w:name="_Hlk48835433"/>
      <w:r w:rsidRPr="00986894">
        <w:rPr>
          <w:rFonts w:eastAsia="Calibri"/>
          <w:color w:val="000000" w:themeColor="text1"/>
          <w:sz w:val="22"/>
          <w:szCs w:val="22"/>
          <w:lang w:val="en-GB"/>
        </w:rPr>
        <w:t>law.</w:t>
      </w:r>
      <w:r w:rsidRPr="00986894">
        <w:rPr>
          <w:rStyle w:val="EndnoteReference"/>
          <w:lang w:val="en-GB"/>
        </w:rPr>
        <w:endnoteReference w:id="109"/>
      </w:r>
      <w:bookmarkEnd w:id="16"/>
      <w:r w:rsidRPr="00986894">
        <w:rPr>
          <w:rFonts w:eastAsia="Calibri"/>
          <w:color w:val="000000" w:themeColor="text1"/>
          <w:sz w:val="22"/>
          <w:szCs w:val="22"/>
          <w:lang w:val="en-GB"/>
        </w:rPr>
        <w:t xml:space="preserve"> The company’s stock price steadily increased—</w:t>
      </w:r>
      <w:r w:rsidR="006159C4">
        <w:rPr>
          <w:rFonts w:eastAsia="Calibri"/>
          <w:color w:val="000000" w:themeColor="text1"/>
          <w:sz w:val="22"/>
          <w:szCs w:val="22"/>
          <w:lang w:val="en-GB"/>
        </w:rPr>
        <w:t>far</w:t>
      </w:r>
      <w:r w:rsidR="006159C4" w:rsidRPr="00986894">
        <w:rPr>
          <w:rFonts w:eastAsia="Calibri"/>
          <w:color w:val="000000" w:themeColor="text1"/>
          <w:sz w:val="22"/>
          <w:szCs w:val="22"/>
          <w:lang w:val="en-GB"/>
        </w:rPr>
        <w:t xml:space="preserve"> </w:t>
      </w:r>
      <w:r w:rsidRPr="00986894">
        <w:rPr>
          <w:rFonts w:eastAsia="Calibri"/>
          <w:color w:val="000000" w:themeColor="text1"/>
          <w:sz w:val="22"/>
          <w:szCs w:val="22"/>
          <w:lang w:val="en-GB"/>
        </w:rPr>
        <w:t>beyond the $17 it had reached at the IPO opening—as the company continued to provide updates on its targets. For instance, the November 2019 announcement of store profits boosted the share price even further, and the share price peaked at $50</w:t>
      </w:r>
      <w:r w:rsidRPr="00986894">
        <w:rPr>
          <w:rStyle w:val="EndnoteReference"/>
          <w:sz w:val="22"/>
          <w:szCs w:val="22"/>
          <w:lang w:val="en-GB"/>
        </w:rPr>
        <w:endnoteReference w:id="110"/>
      </w:r>
      <w:r w:rsidRPr="00986894">
        <w:rPr>
          <w:rFonts w:eastAsia="Calibri"/>
          <w:color w:val="000000" w:themeColor="text1"/>
          <w:sz w:val="22"/>
          <w:szCs w:val="22"/>
          <w:lang w:val="en-GB"/>
        </w:rPr>
        <w:t xml:space="preserve"> after the company announced it had completed its second offering and fully subscribed its convertible senior notes, pushing its corporate valuation to $12 billion (see Exhibit 11). While prices dipped slightly when the anonymous 89-page report was released by Muddy Waters Research, </w:t>
      </w:r>
      <w:proofErr w:type="spellStart"/>
      <w:r w:rsidR="00C61491">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recovered </w:t>
      </w:r>
      <w:r w:rsidR="00C61491">
        <w:rPr>
          <w:rFonts w:eastAsia="Calibri"/>
          <w:color w:val="000000" w:themeColor="text1"/>
          <w:sz w:val="22"/>
          <w:szCs w:val="22"/>
          <w:lang w:val="en-GB"/>
        </w:rPr>
        <w:t>and</w:t>
      </w:r>
      <w:r w:rsidRPr="00986894">
        <w:rPr>
          <w:rFonts w:eastAsia="Calibri"/>
          <w:color w:val="000000" w:themeColor="text1"/>
          <w:sz w:val="22"/>
          <w:szCs w:val="22"/>
          <w:lang w:val="en-GB"/>
        </w:rPr>
        <w:t xml:space="preserve"> reassured investors that it collected real-time data on sales and therefore all figures could be verified.</w:t>
      </w:r>
      <w:r w:rsidRPr="00986894">
        <w:rPr>
          <w:rStyle w:val="EndnoteReference"/>
          <w:sz w:val="22"/>
          <w:szCs w:val="22"/>
          <w:lang w:val="en-GB"/>
        </w:rPr>
        <w:endnoteReference w:id="111"/>
      </w:r>
      <w:r w:rsidRPr="00986894">
        <w:rPr>
          <w:rFonts w:eastAsia="Calibri"/>
          <w:color w:val="000000" w:themeColor="text1"/>
          <w:sz w:val="22"/>
          <w:szCs w:val="22"/>
          <w:lang w:val="en-GB"/>
        </w:rPr>
        <w:t xml:space="preserve"> </w:t>
      </w:r>
    </w:p>
    <w:p w14:paraId="4379A670" w14:textId="77777777" w:rsidR="00986894" w:rsidRPr="00986894" w:rsidRDefault="00986894" w:rsidP="002F4B24">
      <w:pPr>
        <w:jc w:val="both"/>
        <w:rPr>
          <w:rFonts w:eastAsia="Calibri"/>
          <w:color w:val="000000" w:themeColor="text1"/>
          <w:sz w:val="22"/>
          <w:szCs w:val="22"/>
          <w:lang w:val="en-GB"/>
        </w:rPr>
      </w:pPr>
    </w:p>
    <w:p w14:paraId="28B92245" w14:textId="665F7412" w:rsidR="00986894" w:rsidRPr="00986894" w:rsidRDefault="00986894" w:rsidP="002F4B24">
      <w:pPr>
        <w:jc w:val="both"/>
        <w:rPr>
          <w:rFonts w:eastAsia="Calibri"/>
          <w:color w:val="000000" w:themeColor="text1"/>
          <w:sz w:val="22"/>
          <w:szCs w:val="22"/>
          <w:lang w:val="en-GB"/>
        </w:rPr>
      </w:pPr>
      <w:r w:rsidRPr="00986894">
        <w:rPr>
          <w:rFonts w:eastAsia="Calibri"/>
          <w:color w:val="000000" w:themeColor="text1"/>
          <w:sz w:val="22"/>
          <w:szCs w:val="22"/>
          <w:lang w:val="en-GB"/>
        </w:rPr>
        <w:lastRenderedPageBreak/>
        <w:t xml:space="preserve">However, when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admitted, on April 2, 2020, that financial statements were no longer reliable, its share price tumbled to $6.40 and then to $4.39 a few days later.</w:t>
      </w:r>
      <w:r w:rsidRPr="00986894">
        <w:rPr>
          <w:rStyle w:val="EndnoteReference"/>
          <w:rFonts w:eastAsia="Calibri"/>
          <w:color w:val="000000" w:themeColor="text1"/>
          <w:sz w:val="22"/>
          <w:szCs w:val="22"/>
          <w:lang w:val="en-GB"/>
        </w:rPr>
        <w:endnoteReference w:id="112"/>
      </w:r>
      <w:r w:rsidRPr="00986894">
        <w:rPr>
          <w:rFonts w:eastAsia="Calibri"/>
          <w:color w:val="000000" w:themeColor="text1"/>
          <w:sz w:val="22"/>
          <w:szCs w:val="22"/>
          <w:lang w:val="en-GB"/>
        </w:rPr>
        <w:t xml:space="preserve"> As investors rushed to dispose of their shares, the volume of stocks traded on the Nasdaq reached 447 million within three days of the announcement. The trading volume was </w:t>
      </w:r>
      <w:r w:rsidR="00476DCF">
        <w:rPr>
          <w:rFonts w:eastAsia="Calibri"/>
          <w:color w:val="000000" w:themeColor="text1"/>
          <w:sz w:val="22"/>
          <w:szCs w:val="22"/>
          <w:lang w:val="en-GB"/>
        </w:rPr>
        <w:t>10</w:t>
      </w:r>
      <w:r w:rsidR="00476DCF" w:rsidRPr="00986894">
        <w:rPr>
          <w:rFonts w:eastAsia="Calibri"/>
          <w:color w:val="000000" w:themeColor="text1"/>
          <w:sz w:val="22"/>
          <w:szCs w:val="22"/>
          <w:lang w:val="en-GB"/>
        </w:rPr>
        <w:t xml:space="preserve"> </w:t>
      </w:r>
      <w:r w:rsidRPr="00986894">
        <w:rPr>
          <w:rFonts w:eastAsia="Calibri"/>
          <w:color w:val="000000" w:themeColor="text1"/>
          <w:sz w:val="22"/>
          <w:szCs w:val="22"/>
          <w:lang w:val="en-GB"/>
        </w:rPr>
        <w:t>times higher than during the previous 40 days combined</w:t>
      </w:r>
      <w:r w:rsidR="00476DCF">
        <w:rPr>
          <w:rFonts w:eastAsia="Calibri"/>
          <w:color w:val="000000" w:themeColor="text1"/>
          <w:sz w:val="22"/>
          <w:szCs w:val="22"/>
          <w:lang w:val="en-GB"/>
        </w:rPr>
        <w:t>,</w:t>
      </w:r>
      <w:r w:rsidRPr="00986894">
        <w:rPr>
          <w:rFonts w:eastAsia="Calibri"/>
          <w:color w:val="000000" w:themeColor="text1"/>
          <w:sz w:val="22"/>
          <w:szCs w:val="22"/>
          <w:lang w:val="en-GB"/>
        </w:rPr>
        <w:t xml:space="preserve"> and the unusual volume prompted the suspension of trading.</w:t>
      </w:r>
      <w:r w:rsidRPr="00986894">
        <w:rPr>
          <w:rStyle w:val="EndnoteReference"/>
          <w:sz w:val="22"/>
          <w:szCs w:val="22"/>
          <w:lang w:val="en-GB"/>
        </w:rPr>
        <w:endnoteReference w:id="113"/>
      </w:r>
      <w:r w:rsidRPr="00986894">
        <w:rPr>
          <w:rFonts w:eastAsia="Calibri"/>
          <w:color w:val="000000" w:themeColor="text1"/>
          <w:sz w:val="22"/>
          <w:szCs w:val="22"/>
          <w:lang w:val="en-GB"/>
        </w:rPr>
        <w:t xml:space="preserve"> After a six-week hiatus, shares opened on May 20</w:t>
      </w:r>
      <w:r w:rsidR="00C61491">
        <w:rPr>
          <w:rFonts w:eastAsia="Calibri"/>
          <w:color w:val="000000" w:themeColor="text1"/>
          <w:sz w:val="22"/>
          <w:szCs w:val="22"/>
          <w:lang w:val="en-GB"/>
        </w:rPr>
        <w:t>, 2020,</w:t>
      </w:r>
      <w:r w:rsidRPr="00986894">
        <w:rPr>
          <w:rFonts w:eastAsia="Calibri"/>
          <w:color w:val="000000" w:themeColor="text1"/>
          <w:sz w:val="22"/>
          <w:szCs w:val="22"/>
          <w:lang w:val="en-GB"/>
        </w:rPr>
        <w:t xml:space="preserve"> at $2.52 and reached their lowest level on May 22 at $1.39.</w:t>
      </w:r>
      <w:r w:rsidRPr="00986894">
        <w:rPr>
          <w:rStyle w:val="EndnoteReference"/>
          <w:color w:val="000000" w:themeColor="text1"/>
          <w:sz w:val="22"/>
          <w:szCs w:val="22"/>
          <w:lang w:val="en-GB"/>
        </w:rPr>
        <w:endnoteReference w:id="114"/>
      </w:r>
      <w:r w:rsidRPr="00986894">
        <w:rPr>
          <w:rFonts w:eastAsia="Calibri"/>
          <w:color w:val="000000" w:themeColor="text1"/>
          <w:sz w:val="22"/>
          <w:szCs w:val="22"/>
          <w:lang w:val="en-GB"/>
        </w:rPr>
        <w:t xml:space="preserve"> By the first week of July 2020,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was delisted from the Nasdaq and immediately began to trade in the over-the-counter (OTC) market under the ticker symbol LKNCY:OTC.</w:t>
      </w:r>
      <w:r w:rsidRPr="00986894">
        <w:rPr>
          <w:rStyle w:val="EndnoteReference"/>
          <w:color w:val="000000" w:themeColor="text1"/>
          <w:lang w:val="en-GB"/>
        </w:rPr>
        <w:endnoteReference w:id="115"/>
      </w:r>
      <w:r w:rsidRPr="00986894">
        <w:rPr>
          <w:rFonts w:eastAsia="Calibri"/>
          <w:color w:val="000000" w:themeColor="text1"/>
          <w:sz w:val="22"/>
          <w:szCs w:val="22"/>
          <w:lang w:val="en-GB"/>
        </w:rPr>
        <w:t xml:space="preserve"> Stocks had since been trading at the $2 level.</w:t>
      </w:r>
      <w:r w:rsidRPr="00986894">
        <w:rPr>
          <w:rStyle w:val="EndnoteReference"/>
          <w:color w:val="000000" w:themeColor="text1"/>
          <w:lang w:val="en-GB"/>
        </w:rPr>
        <w:endnoteReference w:id="116"/>
      </w:r>
    </w:p>
    <w:p w14:paraId="65748304" w14:textId="48637F21" w:rsidR="00986894" w:rsidRPr="00986894" w:rsidRDefault="00986894" w:rsidP="002F4B24">
      <w:pPr>
        <w:jc w:val="both"/>
        <w:rPr>
          <w:rFonts w:eastAsia="Calibri"/>
          <w:color w:val="000000" w:themeColor="text1"/>
          <w:sz w:val="22"/>
          <w:szCs w:val="22"/>
          <w:lang w:val="en-GB"/>
        </w:rPr>
      </w:pPr>
    </w:p>
    <w:p w14:paraId="71C27ACA" w14:textId="444021ED" w:rsidR="00986894" w:rsidRPr="00986894" w:rsidRDefault="00986894" w:rsidP="002F4B24">
      <w:pPr>
        <w:jc w:val="both"/>
        <w:rPr>
          <w:rFonts w:eastAsia="Calibri"/>
          <w:color w:val="000000" w:themeColor="text1"/>
          <w:sz w:val="22"/>
          <w:szCs w:val="22"/>
          <w:lang w:val="en-GB"/>
        </w:rPr>
      </w:pPr>
      <w:r w:rsidRPr="00986894">
        <w:rPr>
          <w:rFonts w:eastAsia="Calibri"/>
          <w:color w:val="000000" w:themeColor="text1"/>
          <w:sz w:val="22"/>
          <w:szCs w:val="22"/>
          <w:lang w:val="en-GB"/>
        </w:rPr>
        <w:t xml:space="preserve">The exodus from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began even before the scandal erupted. Point72 Asset Management was able to reduce its holding to 1.2 per cent as early as February</w:t>
      </w:r>
      <w:r w:rsidR="005A5C98">
        <w:rPr>
          <w:rFonts w:eastAsia="Calibri"/>
          <w:color w:val="000000" w:themeColor="text1"/>
          <w:sz w:val="22"/>
          <w:szCs w:val="22"/>
          <w:lang w:val="en-GB"/>
        </w:rPr>
        <w:t xml:space="preserve"> 2020</w:t>
      </w:r>
      <w:r w:rsidRPr="00986894">
        <w:rPr>
          <w:rFonts w:eastAsia="Calibri"/>
          <w:color w:val="000000" w:themeColor="text1"/>
          <w:sz w:val="22"/>
          <w:szCs w:val="22"/>
          <w:lang w:val="en-GB"/>
        </w:rPr>
        <w:t>;</w:t>
      </w:r>
      <w:r w:rsidRPr="00986894">
        <w:rPr>
          <w:rStyle w:val="EndnoteReference"/>
          <w:rFonts w:eastAsia="Calibri"/>
          <w:color w:val="000000" w:themeColor="text1"/>
          <w:sz w:val="22"/>
          <w:szCs w:val="22"/>
          <w:lang w:val="en-GB"/>
        </w:rPr>
        <w:endnoteReference w:id="117"/>
      </w:r>
      <w:r w:rsidRPr="00986894">
        <w:rPr>
          <w:rFonts w:eastAsia="Calibri"/>
          <w:color w:val="000000" w:themeColor="text1"/>
          <w:sz w:val="22"/>
          <w:szCs w:val="22"/>
          <w:lang w:val="en-GB"/>
        </w:rPr>
        <w:t xml:space="preserve"> Lone Pine Capital, which held 14.5 per cent of ADSs, pulled out on the day the scandal erupted;</w:t>
      </w:r>
      <w:r w:rsidRPr="00986894">
        <w:rPr>
          <w:rStyle w:val="EndnoteReference"/>
          <w:sz w:val="22"/>
          <w:szCs w:val="22"/>
          <w:lang w:val="en-GB"/>
        </w:rPr>
        <w:endnoteReference w:id="118"/>
      </w:r>
      <w:r w:rsidRPr="00986894">
        <w:rPr>
          <w:rFonts w:eastAsia="Calibri"/>
          <w:color w:val="000000" w:themeColor="text1"/>
          <w:sz w:val="22"/>
          <w:szCs w:val="22"/>
          <w:lang w:val="en-GB"/>
        </w:rPr>
        <w:t xml:space="preserve"> and Capital Group, which held 9.2 per cent of Class A shares, was able to exit a month later.</w:t>
      </w:r>
      <w:r w:rsidRPr="00986894">
        <w:rPr>
          <w:rStyle w:val="EndnoteReference"/>
          <w:color w:val="000000" w:themeColor="text1"/>
          <w:sz w:val="22"/>
          <w:szCs w:val="22"/>
          <w:lang w:val="en-GB"/>
        </w:rPr>
        <w:endnoteReference w:id="119"/>
      </w:r>
      <w:r w:rsidRPr="00986894">
        <w:rPr>
          <w:rFonts w:eastAsia="Calibri"/>
          <w:color w:val="000000" w:themeColor="text1"/>
          <w:sz w:val="22"/>
          <w:szCs w:val="22"/>
          <w:lang w:val="en-GB"/>
        </w:rPr>
        <w:t xml:space="preserve"> BlackRock followed suit.</w:t>
      </w:r>
      <w:r w:rsidRPr="00986894">
        <w:rPr>
          <w:rStyle w:val="EndnoteReference"/>
          <w:rFonts w:eastAsia="Calibri"/>
          <w:color w:val="000000" w:themeColor="text1"/>
          <w:sz w:val="22"/>
          <w:szCs w:val="22"/>
          <w:lang w:val="en-GB"/>
        </w:rPr>
        <w:endnoteReference w:id="120"/>
      </w:r>
      <w:r w:rsidRPr="00986894">
        <w:rPr>
          <w:rFonts w:eastAsia="Calibri"/>
          <w:color w:val="000000" w:themeColor="text1"/>
          <w:sz w:val="22"/>
          <w:szCs w:val="22"/>
          <w:lang w:val="en-GB"/>
        </w:rPr>
        <w:t xml:space="preserve"> </w:t>
      </w:r>
    </w:p>
    <w:p w14:paraId="0665FA06" w14:textId="77777777" w:rsidR="00986894" w:rsidRPr="00986894" w:rsidRDefault="00986894" w:rsidP="002F4B24">
      <w:pPr>
        <w:jc w:val="both"/>
        <w:rPr>
          <w:rFonts w:eastAsia="Calibri"/>
          <w:color w:val="000000" w:themeColor="text1"/>
          <w:sz w:val="22"/>
          <w:szCs w:val="22"/>
          <w:lang w:val="en-GB"/>
        </w:rPr>
      </w:pPr>
    </w:p>
    <w:p w14:paraId="2C10EAEF" w14:textId="44A16A85" w:rsidR="00986894" w:rsidRPr="00986894" w:rsidRDefault="00986894" w:rsidP="002F4B24">
      <w:pPr>
        <w:jc w:val="both"/>
        <w:rPr>
          <w:rFonts w:eastAsia="Calibri"/>
          <w:color w:val="000000" w:themeColor="text1"/>
          <w:sz w:val="22"/>
          <w:szCs w:val="22"/>
          <w:lang w:val="en-GB"/>
        </w:rPr>
      </w:pPr>
      <w:r w:rsidRPr="00986894">
        <w:rPr>
          <w:rFonts w:eastAsia="Calibri"/>
          <w:color w:val="000000" w:themeColor="text1"/>
          <w:sz w:val="22"/>
          <w:szCs w:val="22"/>
          <w:lang w:val="en-GB"/>
        </w:rPr>
        <w:t xml:space="preserve">Other investors suffered substantial losses and aimed to take appropriate actions against the firm. Those who had purchased shares from November </w:t>
      </w:r>
      <w:r w:rsidR="001321B0">
        <w:rPr>
          <w:rFonts w:eastAsia="Calibri"/>
          <w:color w:val="000000" w:themeColor="text1"/>
          <w:sz w:val="22"/>
          <w:szCs w:val="22"/>
          <w:lang w:val="en-GB"/>
        </w:rPr>
        <w:t xml:space="preserve">2019 </w:t>
      </w:r>
      <w:r w:rsidRPr="00986894">
        <w:rPr>
          <w:rFonts w:eastAsia="Calibri"/>
          <w:color w:val="000000" w:themeColor="text1"/>
          <w:sz w:val="22"/>
          <w:szCs w:val="22"/>
          <w:lang w:val="en-GB"/>
        </w:rPr>
        <w:t>to January</w:t>
      </w:r>
      <w:r w:rsidR="001321B0">
        <w:rPr>
          <w:rFonts w:eastAsia="Calibri"/>
          <w:color w:val="000000" w:themeColor="text1"/>
          <w:sz w:val="22"/>
          <w:szCs w:val="22"/>
          <w:lang w:val="en-GB"/>
        </w:rPr>
        <w:t xml:space="preserve"> 2020</w:t>
      </w:r>
      <w:r w:rsidRPr="00986894">
        <w:rPr>
          <w:rFonts w:eastAsia="Calibri"/>
          <w:color w:val="000000" w:themeColor="text1"/>
          <w:sz w:val="22"/>
          <w:szCs w:val="22"/>
          <w:lang w:val="en-GB"/>
        </w:rPr>
        <w:t xml:space="preserve"> joined a class-action suit filed in February 2020, after early allegations of fraud surfaced.</w:t>
      </w:r>
      <w:r w:rsidRPr="00986894">
        <w:rPr>
          <w:rStyle w:val="EndnoteReference"/>
          <w:sz w:val="22"/>
          <w:szCs w:val="22"/>
          <w:lang w:val="en-GB"/>
        </w:rPr>
        <w:endnoteReference w:id="121"/>
      </w:r>
      <w:r w:rsidRPr="00986894">
        <w:rPr>
          <w:rFonts w:eastAsia="Calibri"/>
          <w:color w:val="000000" w:themeColor="text1"/>
          <w:sz w:val="22"/>
          <w:szCs w:val="22"/>
          <w:lang w:val="en-GB"/>
        </w:rPr>
        <w:t xml:space="preserve"> Still others, with damages that exceeded $100,000 </w:t>
      </w:r>
      <w:proofErr w:type="gramStart"/>
      <w:r w:rsidRPr="00986894">
        <w:rPr>
          <w:rFonts w:eastAsia="Calibri"/>
          <w:color w:val="000000" w:themeColor="text1"/>
          <w:sz w:val="22"/>
          <w:szCs w:val="22"/>
          <w:lang w:val="en-GB"/>
        </w:rPr>
        <w:t>as a result of</w:t>
      </w:r>
      <w:proofErr w:type="gramEnd"/>
      <w:r w:rsidRPr="00986894">
        <w:rPr>
          <w:rFonts w:eastAsia="Calibri"/>
          <w:color w:val="000000" w:themeColor="text1"/>
          <w:sz w:val="22"/>
          <w:szCs w:val="22"/>
          <w:lang w:val="en-GB"/>
        </w:rPr>
        <w:t xml:space="preserve"> purchases during the same period, were invited to join another class-action suit.</w:t>
      </w:r>
      <w:r w:rsidRPr="00986894">
        <w:rPr>
          <w:rStyle w:val="EndnoteReference"/>
          <w:sz w:val="22"/>
          <w:szCs w:val="22"/>
          <w:lang w:val="en-GB"/>
        </w:rPr>
        <w:endnoteReference w:id="122"/>
      </w:r>
    </w:p>
    <w:p w14:paraId="45E00BFD" w14:textId="3F38B869" w:rsidR="00986894" w:rsidRPr="00986894" w:rsidRDefault="00986894" w:rsidP="002F4B24">
      <w:pPr>
        <w:jc w:val="both"/>
        <w:rPr>
          <w:rFonts w:eastAsia="Calibri"/>
          <w:color w:val="000000" w:themeColor="text1"/>
          <w:sz w:val="22"/>
          <w:szCs w:val="22"/>
          <w:lang w:val="en-GB"/>
        </w:rPr>
      </w:pPr>
    </w:p>
    <w:p w14:paraId="420C882A" w14:textId="792DC0BE" w:rsidR="00986894" w:rsidRPr="00986894" w:rsidRDefault="00986894" w:rsidP="002F4B24">
      <w:pPr>
        <w:jc w:val="both"/>
        <w:rPr>
          <w:rFonts w:eastAsia="Calibri"/>
          <w:color w:val="000000" w:themeColor="text1"/>
          <w:sz w:val="22"/>
          <w:szCs w:val="22"/>
          <w:lang w:val="en-GB"/>
        </w:rPr>
      </w:pPr>
      <w:r w:rsidRPr="00986894">
        <w:rPr>
          <w:rFonts w:eastAsia="Calibri"/>
          <w:color w:val="000000" w:themeColor="text1"/>
          <w:sz w:val="22"/>
          <w:szCs w:val="22"/>
          <w:lang w:val="en-GB"/>
        </w:rPr>
        <w:t>Meanwhile, the unsecured convertible senior notes, which would have earned an interest of 0.75 per cent per annum and a conversion price of $54.601 per share in January</w:t>
      </w:r>
      <w:r w:rsidR="001321B0">
        <w:rPr>
          <w:rFonts w:eastAsia="Calibri"/>
          <w:color w:val="000000" w:themeColor="text1"/>
          <w:sz w:val="22"/>
          <w:szCs w:val="22"/>
          <w:lang w:val="en-GB"/>
        </w:rPr>
        <w:t xml:space="preserve"> </w:t>
      </w:r>
      <w:r w:rsidRPr="00986894">
        <w:rPr>
          <w:rFonts w:eastAsia="Calibri"/>
          <w:color w:val="000000" w:themeColor="text1"/>
          <w:sz w:val="22"/>
          <w:szCs w:val="22"/>
          <w:lang w:val="en-GB"/>
        </w:rPr>
        <w:t>2025,</w:t>
      </w:r>
      <w:r w:rsidRPr="00515CCA">
        <w:rPr>
          <w:sz w:val="22"/>
          <w:vertAlign w:val="superscript"/>
          <w:lang w:val="en-GB"/>
        </w:rPr>
        <w:endnoteReference w:id="123"/>
      </w:r>
      <w:r w:rsidRPr="00630CE1">
        <w:rPr>
          <w:rFonts w:eastAsia="Calibri"/>
          <w:color w:val="000000" w:themeColor="text1"/>
          <w:sz w:val="22"/>
          <w:szCs w:val="22"/>
          <w:lang w:val="en-GB"/>
        </w:rPr>
        <w:t xml:space="preserve"> </w:t>
      </w:r>
      <w:r w:rsidRPr="00986894">
        <w:rPr>
          <w:rFonts w:eastAsia="Calibri"/>
          <w:color w:val="000000" w:themeColor="text1"/>
          <w:sz w:val="22"/>
          <w:szCs w:val="22"/>
          <w:lang w:val="en-GB"/>
        </w:rPr>
        <w:t>had a value of 27.5 cents to the dollar in late April</w:t>
      </w:r>
      <w:r w:rsidR="001321B0">
        <w:rPr>
          <w:rFonts w:eastAsia="Calibri"/>
          <w:color w:val="000000" w:themeColor="text1"/>
          <w:sz w:val="22"/>
          <w:szCs w:val="22"/>
          <w:lang w:val="en-GB"/>
        </w:rPr>
        <w:t xml:space="preserve"> 2020</w:t>
      </w:r>
      <w:r w:rsidRPr="00986894">
        <w:rPr>
          <w:rFonts w:eastAsia="Calibri"/>
          <w:color w:val="000000" w:themeColor="text1"/>
          <w:sz w:val="22"/>
          <w:szCs w:val="22"/>
          <w:lang w:val="en-GB"/>
        </w:rPr>
        <w:t>.</w:t>
      </w:r>
      <w:r w:rsidRPr="00986894">
        <w:rPr>
          <w:rStyle w:val="EndnoteReference"/>
          <w:rFonts w:eastAsia="Calibri"/>
          <w:color w:val="000000" w:themeColor="text1"/>
          <w:sz w:val="22"/>
          <w:szCs w:val="22"/>
          <w:lang w:val="en-GB"/>
        </w:rPr>
        <w:endnoteReference w:id="124"/>
      </w:r>
      <w:r w:rsidRPr="00986894">
        <w:rPr>
          <w:rFonts w:eastAsia="Calibri"/>
          <w:color w:val="000000" w:themeColor="text1"/>
          <w:sz w:val="22"/>
          <w:szCs w:val="22"/>
          <w:lang w:val="en-GB"/>
        </w:rPr>
        <w:t xml:space="preserve"> The notes were subsequently removed from the Standard &amp; Poor’s Depositary Receipt (SPDR) Bloomberg Barclays Convertible Securities exchange traded fund (ETF) (</w:t>
      </w:r>
      <w:proofErr w:type="gramStart"/>
      <w:r w:rsidRPr="00986894">
        <w:rPr>
          <w:rFonts w:eastAsia="Calibri"/>
          <w:color w:val="000000" w:themeColor="text1"/>
          <w:sz w:val="22"/>
          <w:szCs w:val="22"/>
          <w:lang w:val="en-GB"/>
        </w:rPr>
        <w:t>NYSEARCA:CWB</w:t>
      </w:r>
      <w:proofErr w:type="gramEnd"/>
      <w:r w:rsidRPr="00986894">
        <w:rPr>
          <w:rFonts w:eastAsia="Calibri"/>
          <w:color w:val="000000" w:themeColor="text1"/>
          <w:sz w:val="22"/>
          <w:szCs w:val="22"/>
          <w:lang w:val="en-GB"/>
        </w:rPr>
        <w:t xml:space="preserve">), following </w:t>
      </w: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delisting.</w:t>
      </w:r>
      <w:r w:rsidRPr="00986894">
        <w:rPr>
          <w:rStyle w:val="EndnoteReference"/>
          <w:rFonts w:eastAsia="Calibri"/>
          <w:color w:val="000000" w:themeColor="text1"/>
          <w:sz w:val="22"/>
          <w:szCs w:val="22"/>
          <w:lang w:val="en-GB"/>
        </w:rPr>
        <w:endnoteReference w:id="125"/>
      </w:r>
    </w:p>
    <w:p w14:paraId="7A24F01C" w14:textId="77777777" w:rsidR="00986894" w:rsidRPr="00986894" w:rsidRDefault="00986894" w:rsidP="002F4B24">
      <w:pPr>
        <w:jc w:val="both"/>
        <w:rPr>
          <w:rFonts w:eastAsia="Calibri"/>
          <w:color w:val="000000" w:themeColor="text1"/>
          <w:sz w:val="22"/>
          <w:szCs w:val="22"/>
          <w:lang w:val="en-GB"/>
        </w:rPr>
      </w:pPr>
    </w:p>
    <w:p w14:paraId="4845723A" w14:textId="77777777" w:rsidR="00986894" w:rsidRPr="00986894" w:rsidRDefault="00986894" w:rsidP="002F4B24">
      <w:pPr>
        <w:jc w:val="both"/>
        <w:rPr>
          <w:rFonts w:eastAsia="Calibri"/>
          <w:color w:val="000000" w:themeColor="text1"/>
          <w:sz w:val="22"/>
          <w:szCs w:val="22"/>
          <w:lang w:val="en-GB"/>
        </w:rPr>
      </w:pPr>
    </w:p>
    <w:p w14:paraId="2DF492BE" w14:textId="0F7C3011" w:rsidR="00986894" w:rsidRPr="00986894" w:rsidRDefault="00986894" w:rsidP="006F12AA">
      <w:pPr>
        <w:jc w:val="both"/>
        <w:rPr>
          <w:rFonts w:ascii="Arial" w:eastAsia="Calibri" w:hAnsi="Arial" w:cs="Arial"/>
          <w:b/>
          <w:color w:val="000000" w:themeColor="text1"/>
          <w:lang w:val="en-GB"/>
        </w:rPr>
      </w:pPr>
      <w:r w:rsidRPr="00986894">
        <w:rPr>
          <w:rFonts w:ascii="Arial" w:eastAsia="Calibri" w:hAnsi="Arial" w:cs="Arial"/>
          <w:b/>
          <w:color w:val="000000" w:themeColor="text1"/>
          <w:lang w:val="en-GB"/>
        </w:rPr>
        <w:t>IMPLICATIONS OF THE LUCKIN SCANDAL</w:t>
      </w:r>
    </w:p>
    <w:p w14:paraId="1AAE3DEB" w14:textId="77777777" w:rsidR="00986894" w:rsidRPr="00986894" w:rsidRDefault="00986894" w:rsidP="006F12AA">
      <w:pPr>
        <w:jc w:val="both"/>
        <w:rPr>
          <w:rFonts w:eastAsia="Calibri"/>
          <w:color w:val="000000" w:themeColor="text1"/>
          <w:sz w:val="22"/>
          <w:szCs w:val="22"/>
          <w:lang w:val="en-GB"/>
        </w:rPr>
      </w:pPr>
    </w:p>
    <w:p w14:paraId="74EC8222" w14:textId="13DA568C" w:rsidR="00986894" w:rsidRPr="00986894" w:rsidRDefault="00986894" w:rsidP="008B2A83">
      <w:pPr>
        <w:ind w:right="4"/>
        <w:jc w:val="both"/>
        <w:rPr>
          <w:rFonts w:eastAsia="Calibri"/>
          <w:color w:val="000000" w:themeColor="text1"/>
          <w:sz w:val="22"/>
          <w:szCs w:val="22"/>
          <w:lang w:val="en-GB"/>
        </w:rPr>
      </w:pPr>
      <w:bookmarkStart w:id="17" w:name="_Hlk48663022"/>
      <w:r w:rsidRPr="00986894">
        <w:rPr>
          <w:rFonts w:eastAsia="Calibri"/>
          <w:color w:val="000000" w:themeColor="text1"/>
          <w:sz w:val="22"/>
          <w:szCs w:val="22"/>
          <w:lang w:val="en-GB"/>
        </w:rPr>
        <w:t xml:space="preserve">The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scandal hastened the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Senate approval of the </w:t>
      </w:r>
      <w:r w:rsidRPr="00952FE3">
        <w:rPr>
          <w:rFonts w:eastAsia="Calibri"/>
          <w:i/>
          <w:color w:val="000000" w:themeColor="text1"/>
          <w:sz w:val="22"/>
          <w:szCs w:val="22"/>
          <w:lang w:val="en-GB"/>
        </w:rPr>
        <w:t>Holding Foreign Companies Accountable Act</w:t>
      </w:r>
      <w:r w:rsidRPr="00986894">
        <w:rPr>
          <w:rFonts w:eastAsia="Calibri"/>
          <w:color w:val="000000" w:themeColor="text1"/>
          <w:sz w:val="22"/>
          <w:szCs w:val="22"/>
          <w:lang w:val="en-GB"/>
        </w:rPr>
        <w:t>.</w:t>
      </w:r>
      <w:r w:rsidR="00990C25">
        <w:rPr>
          <w:rStyle w:val="EndnoteReference"/>
          <w:rFonts w:eastAsia="Calibri"/>
          <w:color w:val="000000" w:themeColor="text1"/>
          <w:sz w:val="22"/>
          <w:szCs w:val="22"/>
          <w:lang w:val="en-GB"/>
        </w:rPr>
        <w:endnoteReference w:id="126"/>
      </w:r>
      <w:r w:rsidRPr="00986894">
        <w:rPr>
          <w:rFonts w:eastAsia="Calibri"/>
          <w:color w:val="000000" w:themeColor="text1"/>
          <w:sz w:val="22"/>
          <w:szCs w:val="22"/>
          <w:lang w:val="en-GB"/>
        </w:rPr>
        <w:t xml:space="preserve"> The bill was forwarded to the House of Representatives, which had to approve the document before it could finally be signed into law by the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president. When enacted into law, the bill would require all foreign firms that had raised funds, or intended to raise funds, from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investors through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stock exchanges or private endeavours to subject their financial records to the scrutiny of the Public Company Accounting Oversight Board (PCAOB)</w:t>
      </w:r>
      <w:bookmarkStart w:id="18" w:name="_Hlk48929406"/>
      <w:r w:rsidRPr="00986894">
        <w:rPr>
          <w:rFonts w:eastAsia="Calibri"/>
          <w:color w:val="000000" w:themeColor="text1"/>
          <w:sz w:val="22"/>
          <w:szCs w:val="22"/>
          <w:lang w:val="en-GB"/>
        </w:rPr>
        <w:t>.</w:t>
      </w:r>
      <w:r w:rsidRPr="00986894">
        <w:rPr>
          <w:rFonts w:eastAsia="Calibri"/>
          <w:color w:val="000000" w:themeColor="text1"/>
          <w:sz w:val="22"/>
          <w:szCs w:val="22"/>
          <w:vertAlign w:val="superscript"/>
          <w:lang w:val="en-GB"/>
        </w:rPr>
        <w:endnoteReference w:id="127"/>
      </w:r>
      <w:bookmarkEnd w:id="18"/>
      <w:r w:rsidRPr="00986894">
        <w:rPr>
          <w:rFonts w:eastAsia="Calibri"/>
          <w:color w:val="000000" w:themeColor="text1"/>
          <w:sz w:val="22"/>
          <w:szCs w:val="22"/>
          <w:lang w:val="en-GB"/>
        </w:rPr>
        <w:t xml:space="preserve"> Firms already listed on the boards would have to comply with the new requirements by January 2022 or face delisting. While most foreign firms already complied with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securities law, those in a few countries, like China, which upheld its secrecy laws, did not.</w:t>
      </w:r>
      <w:r w:rsidRPr="00986894">
        <w:rPr>
          <w:rFonts w:eastAsia="Calibri"/>
          <w:color w:val="000000" w:themeColor="text1"/>
          <w:sz w:val="22"/>
          <w:szCs w:val="22"/>
          <w:vertAlign w:val="superscript"/>
          <w:lang w:val="en-GB"/>
        </w:rPr>
        <w:endnoteReference w:id="128"/>
      </w:r>
      <w:r w:rsidRPr="00986894">
        <w:rPr>
          <w:rFonts w:eastAsia="Calibri"/>
          <w:color w:val="000000" w:themeColor="text1"/>
          <w:sz w:val="22"/>
          <w:szCs w:val="22"/>
          <w:lang w:val="en-GB"/>
        </w:rPr>
        <w:t xml:space="preserve"> </w:t>
      </w:r>
    </w:p>
    <w:p w14:paraId="050864C2" w14:textId="7C74CC19" w:rsidR="00986894" w:rsidRPr="00986894" w:rsidRDefault="00986894" w:rsidP="008B2A83">
      <w:pPr>
        <w:ind w:right="4"/>
        <w:jc w:val="both"/>
        <w:rPr>
          <w:rFonts w:eastAsia="Calibri"/>
          <w:color w:val="000000" w:themeColor="text1"/>
          <w:sz w:val="22"/>
          <w:szCs w:val="22"/>
          <w:lang w:val="en-GB"/>
        </w:rPr>
      </w:pPr>
    </w:p>
    <w:p w14:paraId="27C6E27B" w14:textId="41A8C1A9" w:rsidR="00986894" w:rsidRPr="00515CCA" w:rsidRDefault="00986894" w:rsidP="008B2A83">
      <w:pPr>
        <w:ind w:right="4"/>
        <w:jc w:val="both"/>
        <w:rPr>
          <w:rFonts w:eastAsia="Calibri"/>
          <w:color w:val="000000" w:themeColor="text1"/>
          <w:spacing w:val="-4"/>
          <w:sz w:val="22"/>
          <w:szCs w:val="22"/>
          <w:lang w:val="en-GB"/>
        </w:rPr>
      </w:pPr>
      <w:bookmarkStart w:id="19" w:name="_Hlk48852945"/>
      <w:r w:rsidRPr="00515CCA">
        <w:rPr>
          <w:rFonts w:eastAsia="Calibri"/>
          <w:color w:val="000000" w:themeColor="text1"/>
          <w:spacing w:val="-4"/>
          <w:sz w:val="22"/>
          <w:szCs w:val="22"/>
          <w:lang w:val="en-GB"/>
        </w:rPr>
        <w:t xml:space="preserve">However, it was uncertain whether the law would </w:t>
      </w:r>
      <w:proofErr w:type="gramStart"/>
      <w:r w:rsidRPr="00515CCA">
        <w:rPr>
          <w:rFonts w:eastAsia="Calibri"/>
          <w:color w:val="000000" w:themeColor="text1"/>
          <w:spacing w:val="-4"/>
          <w:sz w:val="22"/>
          <w:szCs w:val="22"/>
          <w:lang w:val="en-GB"/>
        </w:rPr>
        <w:t>actually be</w:t>
      </w:r>
      <w:proofErr w:type="gramEnd"/>
      <w:r w:rsidRPr="00515CCA">
        <w:rPr>
          <w:rFonts w:eastAsia="Calibri"/>
          <w:color w:val="000000" w:themeColor="text1"/>
          <w:spacing w:val="-4"/>
          <w:sz w:val="22"/>
          <w:szCs w:val="22"/>
          <w:lang w:val="en-GB"/>
        </w:rPr>
        <w:t xml:space="preserve"> passed. There were concerns that enacting the law might backfire as Chinese listings generated economic activity. There were 230 Chinese firms with market capitalizations estimated at $1.8 trillion listed on </w:t>
      </w:r>
      <w:r w:rsidR="00D43633" w:rsidRPr="00515CCA">
        <w:rPr>
          <w:rFonts w:eastAsia="Calibri"/>
          <w:color w:val="000000" w:themeColor="text1"/>
          <w:spacing w:val="-4"/>
          <w:sz w:val="22"/>
          <w:szCs w:val="22"/>
          <w:lang w:val="en-GB"/>
        </w:rPr>
        <w:t>US</w:t>
      </w:r>
      <w:r w:rsidRPr="00515CCA">
        <w:rPr>
          <w:rFonts w:eastAsia="Calibri"/>
          <w:color w:val="000000" w:themeColor="text1"/>
          <w:spacing w:val="-4"/>
          <w:sz w:val="22"/>
          <w:szCs w:val="22"/>
          <w:lang w:val="en-GB"/>
        </w:rPr>
        <w:t xml:space="preserve"> exchanges.</w:t>
      </w:r>
      <w:r w:rsidRPr="00515CCA">
        <w:rPr>
          <w:rFonts w:eastAsia="Calibri"/>
          <w:color w:val="000000" w:themeColor="text1"/>
          <w:spacing w:val="-4"/>
          <w:sz w:val="22"/>
          <w:szCs w:val="22"/>
          <w:vertAlign w:val="superscript"/>
          <w:lang w:val="en-GB"/>
        </w:rPr>
        <w:endnoteReference w:id="129"/>
      </w:r>
      <w:r w:rsidRPr="00515CCA">
        <w:rPr>
          <w:rFonts w:eastAsia="Calibri"/>
          <w:color w:val="000000" w:themeColor="text1"/>
          <w:spacing w:val="-4"/>
          <w:sz w:val="22"/>
          <w:szCs w:val="22"/>
          <w:lang w:val="en-GB"/>
        </w:rPr>
        <w:t xml:space="preserve"> These firms could readily list on other boards, as they had already obtained the benefits of </w:t>
      </w:r>
      <w:r w:rsidR="00D43633" w:rsidRPr="00515CCA">
        <w:rPr>
          <w:rFonts w:eastAsia="Calibri"/>
          <w:color w:val="000000" w:themeColor="text1"/>
          <w:spacing w:val="-4"/>
          <w:sz w:val="22"/>
          <w:szCs w:val="22"/>
          <w:lang w:val="en-GB"/>
        </w:rPr>
        <w:t>US</w:t>
      </w:r>
      <w:r w:rsidRPr="00515CCA">
        <w:rPr>
          <w:rFonts w:eastAsia="Calibri"/>
          <w:color w:val="000000" w:themeColor="text1"/>
          <w:spacing w:val="-4"/>
          <w:sz w:val="22"/>
          <w:szCs w:val="22"/>
          <w:lang w:val="en-GB"/>
        </w:rPr>
        <w:t xml:space="preserve"> listings such as improved enterprise valuation.</w:t>
      </w:r>
      <w:r w:rsidRPr="00515CCA">
        <w:rPr>
          <w:rFonts w:eastAsia="Calibri"/>
          <w:color w:val="000000" w:themeColor="text1"/>
          <w:spacing w:val="-4"/>
          <w:sz w:val="22"/>
          <w:szCs w:val="22"/>
          <w:vertAlign w:val="superscript"/>
          <w:lang w:val="en-GB"/>
        </w:rPr>
        <w:endnoteReference w:id="130"/>
      </w:r>
      <w:r w:rsidRPr="00515CCA">
        <w:rPr>
          <w:rFonts w:eastAsia="Calibri"/>
          <w:color w:val="000000" w:themeColor="text1"/>
          <w:spacing w:val="-4"/>
          <w:sz w:val="22"/>
          <w:szCs w:val="22"/>
          <w:lang w:val="en-GB"/>
        </w:rPr>
        <w:t xml:space="preserve"> Firms yet to be listed could opt to enter other markets since stock exchanges around the globe were known to compete for IPOs. Even China had eased the rules for IPOs, resulting in dozens of debuts </w:t>
      </w:r>
      <w:bookmarkStart w:id="20" w:name="_Hlk49370866"/>
      <w:r w:rsidRPr="00515CCA">
        <w:rPr>
          <w:rFonts w:eastAsia="Calibri"/>
          <w:color w:val="000000" w:themeColor="text1"/>
          <w:spacing w:val="-4"/>
          <w:sz w:val="22"/>
          <w:szCs w:val="22"/>
          <w:lang w:val="en-GB"/>
        </w:rPr>
        <w:t xml:space="preserve">on the Shenzhen Stock Exchange’s </w:t>
      </w:r>
      <w:proofErr w:type="spellStart"/>
      <w:r w:rsidRPr="00515CCA">
        <w:rPr>
          <w:rFonts w:eastAsia="Calibri"/>
          <w:color w:val="000000" w:themeColor="text1"/>
          <w:spacing w:val="-4"/>
          <w:sz w:val="22"/>
          <w:szCs w:val="22"/>
          <w:lang w:val="en-GB"/>
        </w:rPr>
        <w:t>ChiNext</w:t>
      </w:r>
      <w:proofErr w:type="spellEnd"/>
      <w:r w:rsidRPr="00515CCA">
        <w:rPr>
          <w:rFonts w:eastAsia="Calibri"/>
          <w:color w:val="000000" w:themeColor="text1"/>
          <w:spacing w:val="-4"/>
          <w:sz w:val="22"/>
          <w:szCs w:val="22"/>
          <w:lang w:val="en-GB"/>
        </w:rPr>
        <w:t xml:space="preserve"> market</w:t>
      </w:r>
      <w:bookmarkEnd w:id="20"/>
      <w:r w:rsidRPr="00515CCA">
        <w:rPr>
          <w:rFonts w:eastAsia="Calibri"/>
          <w:color w:val="000000" w:themeColor="text1"/>
          <w:spacing w:val="-4"/>
          <w:sz w:val="22"/>
          <w:szCs w:val="22"/>
          <w:lang w:val="en-GB"/>
        </w:rPr>
        <w:t>.</w:t>
      </w:r>
      <w:r w:rsidRPr="00515CCA">
        <w:rPr>
          <w:rFonts w:eastAsia="Calibri"/>
          <w:color w:val="000000" w:themeColor="text1"/>
          <w:spacing w:val="-4"/>
          <w:sz w:val="22"/>
          <w:szCs w:val="22"/>
          <w:vertAlign w:val="superscript"/>
          <w:lang w:val="en-GB"/>
        </w:rPr>
        <w:endnoteReference w:id="131"/>
      </w:r>
      <w:r w:rsidRPr="00515CCA">
        <w:rPr>
          <w:rFonts w:eastAsia="Calibri"/>
          <w:color w:val="000000" w:themeColor="text1"/>
          <w:spacing w:val="-4"/>
          <w:sz w:val="22"/>
          <w:szCs w:val="22"/>
          <w:lang w:val="en-GB"/>
        </w:rPr>
        <w:t xml:space="preserve"> If Chinese firms listed elsewhere, this would mean a substantial lost opportunity for the United States, since Chinese firms had dominated global IPOs over the last 15 years.</w:t>
      </w:r>
      <w:r w:rsidRPr="00515CCA">
        <w:rPr>
          <w:rFonts w:eastAsia="Calibri"/>
          <w:color w:val="000000" w:themeColor="text1"/>
          <w:spacing w:val="-4"/>
          <w:sz w:val="22"/>
          <w:szCs w:val="22"/>
          <w:vertAlign w:val="superscript"/>
          <w:lang w:val="en-GB"/>
        </w:rPr>
        <w:endnoteReference w:id="132"/>
      </w:r>
      <w:r w:rsidRPr="00515CCA">
        <w:rPr>
          <w:rFonts w:eastAsia="Calibri"/>
          <w:color w:val="000000" w:themeColor="text1"/>
          <w:spacing w:val="-4"/>
          <w:sz w:val="22"/>
          <w:szCs w:val="22"/>
          <w:lang w:val="en-GB"/>
        </w:rPr>
        <w:t xml:space="preserve"> It could also lead to the closure of the ADS market, which was the instrument used by foreign companies. Ninety per cent of the ADS market, with capitalization of $860 billion, was controlled by Chinese firms.</w:t>
      </w:r>
      <w:r w:rsidRPr="00515CCA">
        <w:rPr>
          <w:rFonts w:eastAsia="Calibri"/>
          <w:color w:val="000000" w:themeColor="text1"/>
          <w:spacing w:val="-4"/>
          <w:sz w:val="22"/>
          <w:szCs w:val="22"/>
          <w:vertAlign w:val="superscript"/>
          <w:lang w:val="en-GB"/>
        </w:rPr>
        <w:endnoteReference w:id="133"/>
      </w:r>
    </w:p>
    <w:bookmarkEnd w:id="19"/>
    <w:p w14:paraId="4409AAAB" w14:textId="77777777" w:rsidR="00986894" w:rsidRPr="00986894" w:rsidRDefault="00986894" w:rsidP="008B2A83">
      <w:pPr>
        <w:ind w:right="4"/>
        <w:jc w:val="both"/>
        <w:rPr>
          <w:rFonts w:eastAsia="Calibri"/>
          <w:color w:val="000000" w:themeColor="text1"/>
          <w:sz w:val="22"/>
          <w:szCs w:val="22"/>
          <w:lang w:val="en-GB"/>
        </w:rPr>
      </w:pPr>
    </w:p>
    <w:bookmarkEnd w:id="17"/>
    <w:p w14:paraId="5BEC0A12" w14:textId="467C6B74" w:rsidR="00986894" w:rsidRPr="00986894" w:rsidRDefault="00986894" w:rsidP="008B2A83">
      <w:pPr>
        <w:ind w:right="4"/>
        <w:jc w:val="both"/>
        <w:rPr>
          <w:rFonts w:eastAsia="Calibri"/>
          <w:color w:val="000000" w:themeColor="text1"/>
          <w:sz w:val="22"/>
          <w:szCs w:val="22"/>
          <w:lang w:val="en-GB"/>
        </w:rPr>
      </w:pPr>
      <w:r w:rsidRPr="00986894">
        <w:rPr>
          <w:rFonts w:eastAsia="Calibri"/>
          <w:color w:val="000000" w:themeColor="text1"/>
          <w:sz w:val="22"/>
          <w:szCs w:val="22"/>
          <w:lang w:val="en-GB"/>
        </w:rPr>
        <w:lastRenderedPageBreak/>
        <w:t xml:space="preserve">Meanwhile, Chinese firms were still in a rush to list on </w:t>
      </w:r>
      <w:r w:rsidR="00D43633">
        <w:rPr>
          <w:rFonts w:eastAsia="Calibri"/>
          <w:color w:val="000000" w:themeColor="text1"/>
          <w:sz w:val="22"/>
          <w:szCs w:val="22"/>
          <w:lang w:val="en-GB"/>
        </w:rPr>
        <w:t>US</w:t>
      </w:r>
      <w:r w:rsidRPr="00986894">
        <w:rPr>
          <w:rFonts w:eastAsia="Calibri"/>
          <w:color w:val="000000" w:themeColor="text1"/>
          <w:sz w:val="22"/>
          <w:szCs w:val="22"/>
          <w:lang w:val="en-GB"/>
        </w:rPr>
        <w:t xml:space="preserve"> boards in the hope that the two governments could still reach a compromise before the deadline for compliance with the audit records disclosure requirement.</w:t>
      </w:r>
      <w:r w:rsidRPr="00986894">
        <w:rPr>
          <w:rFonts w:eastAsia="Calibri"/>
          <w:color w:val="000000" w:themeColor="text1"/>
          <w:sz w:val="22"/>
          <w:szCs w:val="22"/>
          <w:vertAlign w:val="superscript"/>
          <w:lang w:val="en-GB"/>
        </w:rPr>
        <w:endnoteReference w:id="134"/>
      </w:r>
      <w:r w:rsidRPr="00986894">
        <w:rPr>
          <w:rFonts w:eastAsia="Calibri"/>
          <w:color w:val="000000" w:themeColor="text1"/>
          <w:sz w:val="22"/>
          <w:szCs w:val="22"/>
          <w:lang w:val="en-GB"/>
        </w:rPr>
        <w:t xml:space="preserve"> Ahead of the pack was Kingsoft Cloud Holdings Limited, the largest independent cloud service provider in China</w:t>
      </w:r>
      <w:r w:rsidR="00476DCF" w:rsidRPr="00986894">
        <w:rPr>
          <w:rFonts w:eastAsia="Calibri"/>
          <w:color w:val="000000" w:themeColor="text1"/>
          <w:sz w:val="22"/>
          <w:szCs w:val="22"/>
          <w:lang w:val="en-GB"/>
        </w:rPr>
        <w:t>.</w:t>
      </w:r>
      <w:r w:rsidR="00476DCF" w:rsidRPr="00986894">
        <w:rPr>
          <w:rFonts w:eastAsia="Calibri"/>
          <w:color w:val="000000" w:themeColor="text1"/>
          <w:sz w:val="22"/>
          <w:szCs w:val="22"/>
          <w:vertAlign w:val="superscript"/>
          <w:lang w:val="en-GB"/>
        </w:rPr>
        <w:endnoteReference w:id="135"/>
      </w:r>
      <w:r w:rsidR="00476DCF">
        <w:rPr>
          <w:rFonts w:eastAsia="Calibri"/>
          <w:color w:val="000000" w:themeColor="text1"/>
          <w:sz w:val="22"/>
          <w:szCs w:val="22"/>
          <w:lang w:val="en-GB"/>
        </w:rPr>
        <w:t xml:space="preserve"> </w:t>
      </w:r>
      <w:r w:rsidRPr="00986894">
        <w:rPr>
          <w:rFonts w:eastAsia="Calibri"/>
          <w:color w:val="000000" w:themeColor="text1"/>
          <w:sz w:val="22"/>
          <w:szCs w:val="22"/>
          <w:lang w:val="en-GB"/>
        </w:rPr>
        <w:t>The company had raised $510 million in its IPO on the Nasdaq in May 2020.</w:t>
      </w:r>
      <w:r w:rsidRPr="00986894">
        <w:rPr>
          <w:rFonts w:eastAsia="Calibri"/>
          <w:color w:val="000000" w:themeColor="text1"/>
          <w:sz w:val="22"/>
          <w:szCs w:val="22"/>
          <w:vertAlign w:val="superscript"/>
          <w:lang w:val="en-GB"/>
        </w:rPr>
        <w:endnoteReference w:id="136"/>
      </w:r>
      <w:r w:rsidRPr="00986894">
        <w:rPr>
          <w:rFonts w:eastAsia="Calibri"/>
          <w:color w:val="000000" w:themeColor="text1"/>
          <w:sz w:val="22"/>
          <w:szCs w:val="22"/>
          <w:lang w:val="en-GB"/>
        </w:rPr>
        <w:t xml:space="preserve"> Like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it had not reported any profits at the time of listing.</w:t>
      </w:r>
    </w:p>
    <w:p w14:paraId="62CADB9F" w14:textId="00368A94" w:rsidR="00986894" w:rsidRPr="00986894" w:rsidRDefault="00986894" w:rsidP="00D606C4">
      <w:pPr>
        <w:pStyle w:val="BodyTextMain"/>
      </w:pPr>
    </w:p>
    <w:p w14:paraId="6899916F" w14:textId="77777777" w:rsidR="00986894" w:rsidRPr="00986894" w:rsidRDefault="00986894" w:rsidP="006159C4">
      <w:pPr>
        <w:pStyle w:val="BodyTextMain"/>
      </w:pPr>
    </w:p>
    <w:p w14:paraId="07580BD2" w14:textId="57CA2345" w:rsidR="00986894" w:rsidRPr="00986894" w:rsidRDefault="00986894" w:rsidP="005A5C98">
      <w:pPr>
        <w:pStyle w:val="Casehead1"/>
      </w:pPr>
      <w:r w:rsidRPr="00986894">
        <w:t>The Future of LUCKIN COFFEE</w:t>
      </w:r>
    </w:p>
    <w:p w14:paraId="7C8963BD" w14:textId="77777777" w:rsidR="00986894" w:rsidRPr="00986894" w:rsidRDefault="00986894" w:rsidP="00BA475D">
      <w:pPr>
        <w:pStyle w:val="BodyTextMain"/>
      </w:pPr>
    </w:p>
    <w:p w14:paraId="7ACBF330" w14:textId="0BE11E03" w:rsidR="00986894" w:rsidRPr="00986894" w:rsidRDefault="00986894" w:rsidP="00F75CDB">
      <w:pPr>
        <w:jc w:val="both"/>
        <w:rPr>
          <w:rFonts w:eastAsia="Calibri"/>
          <w:color w:val="000000" w:themeColor="text1"/>
          <w:sz w:val="22"/>
          <w:szCs w:val="22"/>
          <w:lang w:val="en-GB"/>
        </w:rPr>
      </w:pPr>
      <w:r w:rsidRPr="00986894">
        <w:rPr>
          <w:rFonts w:eastAsia="Calibri"/>
          <w:color w:val="000000" w:themeColor="text1"/>
          <w:sz w:val="22"/>
          <w:szCs w:val="22"/>
          <w:lang w:val="en-GB"/>
        </w:rPr>
        <w:t>As of July 15,</w:t>
      </w:r>
      <w:r w:rsidR="00FC26AC">
        <w:rPr>
          <w:rFonts w:eastAsia="Calibri"/>
          <w:color w:val="000000" w:themeColor="text1"/>
          <w:sz w:val="22"/>
          <w:szCs w:val="22"/>
          <w:lang w:val="en-GB"/>
        </w:rPr>
        <w:t xml:space="preserve"> 2020,</w:t>
      </w:r>
      <w:r w:rsidRPr="00986894">
        <w:rPr>
          <w:rFonts w:eastAsia="Calibri"/>
          <w:color w:val="000000" w:themeColor="text1"/>
          <w:sz w:val="22"/>
          <w:szCs w:val="22"/>
          <w:lang w:val="en-GB"/>
        </w:rPr>
        <w:t xml:space="preserve"> the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board had been placed under the supervision of provisional liquidators Alexander Lawson, of Alvarez &amp; Marsal Cayman Islands Inc., and Wing Sze Tiffany Wong, of Alvarez &amp; Marsal Asia Limited. The appointment of liquidators was mandated by the Grand Court of the Cayman Islands, which had jurisdiction over the Cayman-registered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w:t>
      </w:r>
      <w:r w:rsidRPr="00986894">
        <w:rPr>
          <w:rFonts w:eastAsia="Calibri"/>
          <w:color w:val="000000" w:themeColor="text1"/>
          <w:sz w:val="22"/>
          <w:szCs w:val="22"/>
          <w:vertAlign w:val="superscript"/>
          <w:lang w:val="en-GB"/>
        </w:rPr>
        <w:endnoteReference w:id="137"/>
      </w:r>
      <w:r w:rsidRPr="00986894">
        <w:rPr>
          <w:rFonts w:eastAsia="Calibri"/>
          <w:color w:val="000000" w:themeColor="text1"/>
          <w:sz w:val="22"/>
          <w:szCs w:val="22"/>
          <w:lang w:val="en-GB"/>
        </w:rPr>
        <w:t xml:space="preserve"> These “light touch” liquidators were expected to work with </w:t>
      </w:r>
      <w:proofErr w:type="spellStart"/>
      <w:r w:rsidRPr="00986894">
        <w:rPr>
          <w:rFonts w:eastAsia="Calibri"/>
          <w:color w:val="000000" w:themeColor="text1"/>
          <w:sz w:val="22"/>
          <w:szCs w:val="22"/>
          <w:lang w:val="en-GB"/>
        </w:rPr>
        <w:t>Luckin’s</w:t>
      </w:r>
      <w:proofErr w:type="spellEnd"/>
      <w:r w:rsidRPr="00986894">
        <w:rPr>
          <w:rFonts w:eastAsia="Calibri"/>
          <w:color w:val="000000" w:themeColor="text1"/>
          <w:sz w:val="22"/>
          <w:szCs w:val="22"/>
          <w:lang w:val="en-GB"/>
        </w:rPr>
        <w:t xml:space="preserve"> financial adviser, Houlihan Lokey—a recognized expert for distressed firms—not to liquidate but to restructure the company and to negotiate with its creditors (see Exhibit 12). At the time of their appointment,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had unrestricted cash </w:t>
      </w:r>
      <w:r w:rsidR="00FC26AC">
        <w:rPr>
          <w:rFonts w:eastAsia="Calibri"/>
          <w:color w:val="000000" w:themeColor="text1"/>
          <w:sz w:val="22"/>
          <w:szCs w:val="22"/>
          <w:lang w:val="en-GB"/>
        </w:rPr>
        <w:t xml:space="preserve">estimated at </w:t>
      </w:r>
      <w:r w:rsidRPr="00986894">
        <w:rPr>
          <w:rFonts w:eastAsia="Calibri"/>
          <w:color w:val="000000" w:themeColor="text1"/>
          <w:sz w:val="22"/>
          <w:szCs w:val="22"/>
          <w:lang w:val="en-GB"/>
        </w:rPr>
        <w:t>$780 million.</w:t>
      </w:r>
      <w:r w:rsidRPr="00986894">
        <w:rPr>
          <w:rFonts w:eastAsia="Calibri"/>
          <w:color w:val="000000" w:themeColor="text1"/>
          <w:sz w:val="22"/>
          <w:szCs w:val="22"/>
          <w:vertAlign w:val="superscript"/>
          <w:lang w:val="en-GB"/>
        </w:rPr>
        <w:endnoteReference w:id="138"/>
      </w:r>
    </w:p>
    <w:p w14:paraId="7D3D6DFF" w14:textId="53669C93" w:rsidR="00986894" w:rsidRPr="00986894" w:rsidRDefault="00986894" w:rsidP="00F75CDB">
      <w:pPr>
        <w:shd w:val="clear" w:color="auto" w:fill="FFFFFF"/>
        <w:textAlignment w:val="baseline"/>
        <w:rPr>
          <w:sz w:val="22"/>
          <w:szCs w:val="22"/>
          <w:lang w:val="en-GB"/>
        </w:rPr>
      </w:pPr>
    </w:p>
    <w:p w14:paraId="2291A5E5" w14:textId="41308F69" w:rsidR="00986894" w:rsidRPr="00986894" w:rsidRDefault="00D4751A" w:rsidP="006C2AD3">
      <w:pPr>
        <w:shd w:val="clear" w:color="auto" w:fill="FFFFFF"/>
        <w:jc w:val="both"/>
        <w:textAlignment w:val="baseline"/>
        <w:rPr>
          <w:sz w:val="22"/>
          <w:szCs w:val="22"/>
          <w:lang w:val="en-GB"/>
        </w:rPr>
      </w:pPr>
      <w:r>
        <w:rPr>
          <w:sz w:val="22"/>
          <w:szCs w:val="22"/>
          <w:lang w:val="en-GB"/>
        </w:rPr>
        <w:t>W</w:t>
      </w:r>
      <w:r w:rsidR="00986894" w:rsidRPr="00986894">
        <w:rPr>
          <w:sz w:val="22"/>
          <w:szCs w:val="22"/>
          <w:lang w:val="en-GB"/>
        </w:rPr>
        <w:t>hat the new board intended to do to regain investor trust</w:t>
      </w:r>
      <w:r>
        <w:rPr>
          <w:sz w:val="22"/>
          <w:szCs w:val="22"/>
          <w:lang w:val="en-GB"/>
        </w:rPr>
        <w:t xml:space="preserve"> </w:t>
      </w:r>
      <w:r w:rsidRPr="00986894">
        <w:rPr>
          <w:sz w:val="22"/>
          <w:szCs w:val="22"/>
          <w:lang w:val="en-GB"/>
        </w:rPr>
        <w:t>was still unclear</w:t>
      </w:r>
      <w:r>
        <w:rPr>
          <w:sz w:val="22"/>
          <w:szCs w:val="22"/>
          <w:lang w:val="en-GB"/>
        </w:rPr>
        <w:t xml:space="preserve">. </w:t>
      </w:r>
      <w:r w:rsidR="00986894" w:rsidRPr="00986894">
        <w:rPr>
          <w:sz w:val="22"/>
          <w:szCs w:val="22"/>
          <w:lang w:val="en-GB"/>
        </w:rPr>
        <w:t>As of August 3,</w:t>
      </w:r>
      <w:r w:rsidR="00FC26AC">
        <w:rPr>
          <w:sz w:val="22"/>
          <w:szCs w:val="22"/>
          <w:lang w:val="en-GB"/>
        </w:rPr>
        <w:t xml:space="preserve"> 2020,</w:t>
      </w:r>
      <w:r w:rsidR="00986894" w:rsidRPr="00986894">
        <w:rPr>
          <w:sz w:val="22"/>
          <w:szCs w:val="22"/>
          <w:lang w:val="en-GB"/>
        </w:rPr>
        <w:t xml:space="preserve"> the two independent female directors, who had received their directorships only on July 5,</w:t>
      </w:r>
      <w:r w:rsidR="00FC26AC">
        <w:rPr>
          <w:sz w:val="22"/>
          <w:szCs w:val="22"/>
          <w:lang w:val="en-GB"/>
        </w:rPr>
        <w:t xml:space="preserve"> 2020,</w:t>
      </w:r>
      <w:r w:rsidR="00986894" w:rsidRPr="00986894">
        <w:rPr>
          <w:sz w:val="22"/>
          <w:szCs w:val="22"/>
          <w:lang w:val="en-GB"/>
        </w:rPr>
        <w:t xml:space="preserve"> had submitted their resignations ahead of the September 2</w:t>
      </w:r>
      <w:r w:rsidR="00FC26AC">
        <w:rPr>
          <w:sz w:val="22"/>
          <w:szCs w:val="22"/>
          <w:lang w:val="en-GB"/>
        </w:rPr>
        <w:t>, 2020,</w:t>
      </w:r>
      <w:r w:rsidR="00986894" w:rsidRPr="00986894">
        <w:rPr>
          <w:sz w:val="22"/>
          <w:szCs w:val="22"/>
          <w:lang w:val="en-GB"/>
        </w:rPr>
        <w:t xml:space="preserve"> EGM that sought to remove them.</w:t>
      </w:r>
      <w:r w:rsidR="00986894" w:rsidRPr="00986894">
        <w:rPr>
          <w:sz w:val="22"/>
          <w:szCs w:val="22"/>
          <w:vertAlign w:val="superscript"/>
          <w:lang w:val="en-GB"/>
        </w:rPr>
        <w:endnoteReference w:id="139"/>
      </w:r>
      <w:r w:rsidR="00986894" w:rsidRPr="00986894">
        <w:rPr>
          <w:sz w:val="22"/>
          <w:szCs w:val="22"/>
          <w:lang w:val="en-GB"/>
        </w:rPr>
        <w:t xml:space="preserve"> Among the executives,</w:t>
      </w:r>
      <w:r w:rsidR="00FC26AC">
        <w:rPr>
          <w:sz w:val="22"/>
          <w:szCs w:val="22"/>
          <w:lang w:val="en-GB"/>
        </w:rPr>
        <w:t xml:space="preserve"> </w:t>
      </w:r>
      <w:r w:rsidR="00986894" w:rsidRPr="00986894">
        <w:rPr>
          <w:sz w:val="22"/>
          <w:szCs w:val="22"/>
          <w:lang w:val="en-GB"/>
        </w:rPr>
        <w:t xml:space="preserve">the CFO </w:t>
      </w:r>
      <w:r w:rsidR="00FC26AC">
        <w:rPr>
          <w:sz w:val="22"/>
          <w:szCs w:val="22"/>
          <w:lang w:val="en-GB"/>
        </w:rPr>
        <w:t xml:space="preserve">appeared to </w:t>
      </w:r>
      <w:proofErr w:type="gramStart"/>
      <w:r w:rsidR="00986894" w:rsidRPr="00986894">
        <w:rPr>
          <w:sz w:val="22"/>
          <w:szCs w:val="22"/>
          <w:lang w:val="en-GB"/>
        </w:rPr>
        <w:t>still remain</w:t>
      </w:r>
      <w:proofErr w:type="gramEnd"/>
      <w:r w:rsidR="00986894" w:rsidRPr="00986894">
        <w:rPr>
          <w:sz w:val="22"/>
          <w:szCs w:val="22"/>
          <w:lang w:val="en-GB"/>
        </w:rPr>
        <w:t xml:space="preserve"> at </w:t>
      </w:r>
      <w:proofErr w:type="spellStart"/>
      <w:r w:rsidR="00986894" w:rsidRPr="00986894">
        <w:rPr>
          <w:sz w:val="22"/>
          <w:szCs w:val="22"/>
          <w:lang w:val="en-GB"/>
        </w:rPr>
        <w:t>Luckin</w:t>
      </w:r>
      <w:proofErr w:type="spellEnd"/>
      <w:r w:rsidR="00986894" w:rsidRPr="00986894">
        <w:rPr>
          <w:sz w:val="22"/>
          <w:szCs w:val="22"/>
          <w:lang w:val="en-GB"/>
        </w:rPr>
        <w:t xml:space="preserve">, while there had been no announcements regarding the replacement for the COO, who had been fired. There had also been no word on the CMO, who had been active during the early days but who appeared to have quietly faded from the limelight just prior to the IPO. It was speculated that his absence was necessary </w:t>
      </w:r>
      <w:proofErr w:type="gramStart"/>
      <w:r w:rsidR="00986894" w:rsidRPr="00986894">
        <w:rPr>
          <w:sz w:val="22"/>
          <w:szCs w:val="22"/>
          <w:lang w:val="en-GB"/>
        </w:rPr>
        <w:t>in order to</w:t>
      </w:r>
      <w:proofErr w:type="gramEnd"/>
      <w:r w:rsidR="00986894" w:rsidRPr="00986894">
        <w:rPr>
          <w:sz w:val="22"/>
          <w:szCs w:val="22"/>
          <w:lang w:val="en-GB"/>
        </w:rPr>
        <w:t xml:space="preserve"> divert attention from his criminal record, which might be discovered as investors conducted their own due diligence.</w:t>
      </w:r>
      <w:r w:rsidR="00986894" w:rsidRPr="00986894">
        <w:rPr>
          <w:sz w:val="22"/>
          <w:szCs w:val="22"/>
          <w:vertAlign w:val="superscript"/>
          <w:lang w:val="en-GB"/>
        </w:rPr>
        <w:endnoteReference w:id="140"/>
      </w:r>
    </w:p>
    <w:p w14:paraId="2E282E4B" w14:textId="77777777" w:rsidR="00986894" w:rsidRPr="00986894" w:rsidRDefault="00986894" w:rsidP="00F75CDB">
      <w:pPr>
        <w:shd w:val="clear" w:color="auto" w:fill="FFFFFF"/>
        <w:textAlignment w:val="baseline"/>
        <w:rPr>
          <w:sz w:val="22"/>
          <w:szCs w:val="22"/>
          <w:lang w:val="en-GB"/>
        </w:rPr>
      </w:pPr>
    </w:p>
    <w:p w14:paraId="2C183161" w14:textId="212AEE92" w:rsidR="0052419A" w:rsidRPr="00986894" w:rsidRDefault="00986894" w:rsidP="008266CF">
      <w:pPr>
        <w:ind w:right="4"/>
        <w:jc w:val="both"/>
        <w:rPr>
          <w:rFonts w:ascii="Arial" w:hAnsi="Arial" w:cs="Arial"/>
          <w:b/>
          <w:caps/>
          <w:lang w:val="en-GB"/>
        </w:rPr>
      </w:pPr>
      <w:r w:rsidRPr="00986894">
        <w:rPr>
          <w:rFonts w:eastAsia="Calibri"/>
          <w:color w:val="000000" w:themeColor="text1"/>
          <w:sz w:val="22"/>
          <w:szCs w:val="22"/>
          <w:lang w:val="en-GB"/>
        </w:rPr>
        <w:t xml:space="preserve">Could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survive over the next few months or years, or was bankruptcy within sight? Beyond the hype over its technology, </w:t>
      </w:r>
      <w:proofErr w:type="spellStart"/>
      <w:r w:rsidRPr="00986894">
        <w:rPr>
          <w:rFonts w:eastAsia="Calibri"/>
          <w:color w:val="000000" w:themeColor="text1"/>
          <w:sz w:val="22"/>
          <w:szCs w:val="22"/>
          <w:lang w:val="en-GB"/>
        </w:rPr>
        <w:t>Luckin</w:t>
      </w:r>
      <w:proofErr w:type="spellEnd"/>
      <w:r w:rsidRPr="00986894">
        <w:rPr>
          <w:rFonts w:eastAsia="Calibri"/>
          <w:color w:val="000000" w:themeColor="text1"/>
          <w:sz w:val="22"/>
          <w:szCs w:val="22"/>
          <w:lang w:val="en-GB"/>
        </w:rPr>
        <w:t xml:space="preserve"> was a real company and was visible through its stores across China, which were reported to have reached at least 6,000.</w:t>
      </w:r>
      <w:r w:rsidRPr="00515CCA">
        <w:rPr>
          <w:rStyle w:val="EndnoteReference"/>
          <w:sz w:val="22"/>
          <w:lang w:val="en-GB"/>
        </w:rPr>
        <w:endnoteReference w:id="141"/>
      </w:r>
      <w:r w:rsidRPr="00986894">
        <w:rPr>
          <w:rFonts w:eastAsia="Calibri"/>
          <w:color w:val="000000" w:themeColor="text1"/>
          <w:sz w:val="22"/>
          <w:szCs w:val="22"/>
          <w:lang w:val="en-GB"/>
        </w:rPr>
        <w:t xml:space="preserve"> If records were to be believed, the company had 40 million transacting customers as of December 2019. Immediately after the news of the accounting fraud scandal broke, throngs of customers </w:t>
      </w:r>
      <w:r w:rsidR="00D4751A">
        <w:rPr>
          <w:rFonts w:eastAsia="Calibri"/>
          <w:color w:val="000000" w:themeColor="text1"/>
          <w:sz w:val="22"/>
          <w:szCs w:val="22"/>
          <w:lang w:val="en-GB"/>
        </w:rPr>
        <w:t xml:space="preserve">were reported to have </w:t>
      </w:r>
      <w:r w:rsidRPr="00986894">
        <w:rPr>
          <w:rFonts w:eastAsia="Calibri"/>
          <w:color w:val="000000" w:themeColor="text1"/>
          <w:sz w:val="22"/>
          <w:szCs w:val="22"/>
          <w:lang w:val="en-GB"/>
        </w:rPr>
        <w:t xml:space="preserve">lined up </w:t>
      </w:r>
      <w:r w:rsidRPr="00986894">
        <w:rPr>
          <w:sz w:val="22"/>
          <w:szCs w:val="22"/>
          <w:lang w:val="en-GB"/>
        </w:rPr>
        <w:t xml:space="preserve">at </w:t>
      </w:r>
      <w:proofErr w:type="spellStart"/>
      <w:r w:rsidRPr="00986894">
        <w:rPr>
          <w:sz w:val="22"/>
          <w:szCs w:val="22"/>
          <w:lang w:val="en-GB"/>
        </w:rPr>
        <w:t>Luckin</w:t>
      </w:r>
      <w:proofErr w:type="spellEnd"/>
      <w:r w:rsidRPr="00986894">
        <w:rPr>
          <w:sz w:val="22"/>
          <w:szCs w:val="22"/>
          <w:lang w:val="en-GB"/>
        </w:rPr>
        <w:t xml:space="preserve"> stores to redeem coupons in fears the company would shut down and render their coupons worthless.</w:t>
      </w:r>
      <w:r w:rsidRPr="00986894">
        <w:rPr>
          <w:sz w:val="22"/>
          <w:szCs w:val="22"/>
          <w:vertAlign w:val="superscript"/>
          <w:lang w:val="en-GB"/>
        </w:rPr>
        <w:endnoteReference w:id="142"/>
      </w:r>
      <w:r w:rsidRPr="00986894">
        <w:rPr>
          <w:sz w:val="22"/>
          <w:szCs w:val="22"/>
          <w:lang w:val="en-GB"/>
        </w:rPr>
        <w:t xml:space="preserve"> The deman</w:t>
      </w:r>
      <w:r w:rsidRPr="00986894">
        <w:rPr>
          <w:color w:val="000000" w:themeColor="text1"/>
          <w:sz w:val="22"/>
          <w:szCs w:val="22"/>
          <w:lang w:val="en-GB"/>
        </w:rPr>
        <w:t xml:space="preserve">d surges led to </w:t>
      </w:r>
      <w:r w:rsidRPr="00986894">
        <w:rPr>
          <w:sz w:val="22"/>
          <w:szCs w:val="22"/>
          <w:lang w:val="en-GB"/>
        </w:rPr>
        <w:t xml:space="preserve">over 325,000 daily downloads of </w:t>
      </w:r>
      <w:r w:rsidRPr="00986894">
        <w:rPr>
          <w:color w:val="000000" w:themeColor="text1"/>
          <w:sz w:val="22"/>
          <w:szCs w:val="22"/>
          <w:lang w:val="en-GB"/>
        </w:rPr>
        <w:t xml:space="preserve">the </w:t>
      </w:r>
      <w:r w:rsidRPr="00986894">
        <w:rPr>
          <w:sz w:val="22"/>
          <w:szCs w:val="22"/>
          <w:lang w:val="en-GB"/>
        </w:rPr>
        <w:t>mobile app (compared to its usual 45,000 downloads)</w:t>
      </w:r>
      <w:r w:rsidR="00D4751A">
        <w:rPr>
          <w:sz w:val="22"/>
          <w:szCs w:val="22"/>
          <w:lang w:val="en-GB"/>
        </w:rPr>
        <w:t>—</w:t>
      </w:r>
      <w:r w:rsidRPr="00986894">
        <w:rPr>
          <w:sz w:val="22"/>
          <w:szCs w:val="22"/>
          <w:lang w:val="en-GB"/>
        </w:rPr>
        <w:t>the app crashed.</w:t>
      </w:r>
      <w:r w:rsidRPr="00986894">
        <w:rPr>
          <w:rStyle w:val="EndnoteReference"/>
          <w:sz w:val="22"/>
          <w:szCs w:val="22"/>
          <w:lang w:val="en-GB"/>
        </w:rPr>
        <w:endnoteReference w:id="143"/>
      </w:r>
      <w:bookmarkStart w:id="21" w:name="_Hlk48031011"/>
      <w:r w:rsidR="00CC7CA6" w:rsidRPr="00986894">
        <w:rPr>
          <w:sz w:val="22"/>
          <w:szCs w:val="22"/>
          <w:lang w:val="en-GB"/>
        </w:rPr>
        <w:t xml:space="preserve"> </w:t>
      </w:r>
      <w:r w:rsidR="00CC7CA6" w:rsidRPr="00986894">
        <w:rPr>
          <w:rFonts w:eastAsia="Calibri"/>
          <w:color w:val="000000" w:themeColor="text1"/>
          <w:sz w:val="22"/>
          <w:szCs w:val="22"/>
          <w:lang w:val="en-GB"/>
        </w:rPr>
        <w:t>W</w:t>
      </w:r>
      <w:r w:rsidR="00B03667" w:rsidRPr="00986894">
        <w:rPr>
          <w:rFonts w:eastAsia="Calibri"/>
          <w:color w:val="000000" w:themeColor="text1"/>
          <w:sz w:val="22"/>
          <w:szCs w:val="22"/>
          <w:lang w:val="en-GB"/>
        </w:rPr>
        <w:t xml:space="preserve">as this an indicator that </w:t>
      </w:r>
      <w:proofErr w:type="spellStart"/>
      <w:r w:rsidR="00CC7CA6" w:rsidRPr="00986894">
        <w:rPr>
          <w:rFonts w:eastAsia="Calibri"/>
          <w:color w:val="000000" w:themeColor="text1"/>
          <w:sz w:val="22"/>
          <w:szCs w:val="22"/>
          <w:lang w:val="en-GB"/>
        </w:rPr>
        <w:t>Luckin</w:t>
      </w:r>
      <w:r w:rsidR="00B03667" w:rsidRPr="00986894">
        <w:rPr>
          <w:rFonts w:eastAsia="Calibri"/>
          <w:color w:val="000000" w:themeColor="text1"/>
          <w:sz w:val="22"/>
          <w:szCs w:val="22"/>
          <w:lang w:val="en-GB"/>
        </w:rPr>
        <w:t>’s</w:t>
      </w:r>
      <w:proofErr w:type="spellEnd"/>
      <w:r w:rsidR="00B03667" w:rsidRPr="00986894">
        <w:rPr>
          <w:rFonts w:eastAsia="Calibri"/>
          <w:color w:val="000000" w:themeColor="text1"/>
          <w:sz w:val="22"/>
          <w:szCs w:val="22"/>
          <w:lang w:val="en-GB"/>
        </w:rPr>
        <w:t xml:space="preserve"> “new retail” model</w:t>
      </w:r>
      <w:r w:rsidR="00CC7CA6" w:rsidRPr="00986894">
        <w:rPr>
          <w:rFonts w:eastAsia="Calibri"/>
          <w:color w:val="000000" w:themeColor="text1"/>
          <w:sz w:val="22"/>
          <w:szCs w:val="22"/>
          <w:lang w:val="en-GB"/>
        </w:rPr>
        <w:t xml:space="preserve"> could </w:t>
      </w:r>
      <w:r w:rsidR="00B03667" w:rsidRPr="00986894">
        <w:rPr>
          <w:rFonts w:eastAsia="Calibri"/>
          <w:color w:val="000000" w:themeColor="text1"/>
          <w:sz w:val="22"/>
          <w:szCs w:val="22"/>
          <w:lang w:val="en-GB"/>
        </w:rPr>
        <w:t>not work withou</w:t>
      </w:r>
      <w:r w:rsidR="00CC7CA6" w:rsidRPr="00986894">
        <w:rPr>
          <w:rFonts w:eastAsia="Calibri"/>
          <w:color w:val="000000" w:themeColor="text1"/>
          <w:sz w:val="22"/>
          <w:szCs w:val="22"/>
          <w:lang w:val="en-GB"/>
        </w:rPr>
        <w:t>t the promotions</w:t>
      </w:r>
      <w:r w:rsidR="00B03667" w:rsidRPr="00986894">
        <w:rPr>
          <w:rFonts w:eastAsia="Calibri"/>
          <w:color w:val="000000" w:themeColor="text1"/>
          <w:sz w:val="22"/>
          <w:szCs w:val="22"/>
          <w:lang w:val="en-GB"/>
        </w:rPr>
        <w:t>?</w:t>
      </w:r>
      <w:bookmarkEnd w:id="21"/>
      <w:r w:rsidR="0052419A" w:rsidRPr="00986894">
        <w:rPr>
          <w:lang w:val="en-GB"/>
        </w:rPr>
        <w:br w:type="page"/>
      </w:r>
    </w:p>
    <w:p w14:paraId="3FCB8E1F" w14:textId="1A6510EB" w:rsidR="00E27BE4" w:rsidRPr="00986894" w:rsidRDefault="00E27BE4" w:rsidP="00D606C4">
      <w:pPr>
        <w:pStyle w:val="ExhibitHeading"/>
      </w:pPr>
      <w:r w:rsidRPr="00986894">
        <w:lastRenderedPageBreak/>
        <w:t xml:space="preserve">EXHIBIT 1: </w:t>
      </w:r>
      <w:r w:rsidR="003C13E1" w:rsidRPr="00986894">
        <w:t>Luckin Coffee Inc.—</w:t>
      </w:r>
      <w:r w:rsidRPr="00986894">
        <w:t xml:space="preserve">corporate structure </w:t>
      </w:r>
    </w:p>
    <w:p w14:paraId="73118EB1" w14:textId="5D5ECCBB" w:rsidR="00E27BE4" w:rsidRDefault="00E27BE4" w:rsidP="006159C4">
      <w:pPr>
        <w:pStyle w:val="ExhibitHeading"/>
      </w:pPr>
      <w:r w:rsidRPr="00986894">
        <w:t xml:space="preserve">(as of may 2019) </w:t>
      </w:r>
    </w:p>
    <w:p w14:paraId="18E108F6" w14:textId="77777777" w:rsidR="00413FE7" w:rsidRPr="00986894" w:rsidRDefault="00413FE7" w:rsidP="00413FE7">
      <w:pPr>
        <w:pStyle w:val="ExhibitText"/>
      </w:pPr>
    </w:p>
    <w:p w14:paraId="1A23E86C" w14:textId="3A985443" w:rsidR="008645B9" w:rsidRPr="00986894" w:rsidRDefault="00413FE7" w:rsidP="00E27BE4">
      <w:pPr>
        <w:spacing w:after="200" w:line="276" w:lineRule="auto"/>
        <w:jc w:val="both"/>
        <w:rPr>
          <w:rFonts w:ascii="Arial" w:hAnsi="Arial" w:cs="Arial"/>
          <w:sz w:val="17"/>
          <w:szCs w:val="17"/>
          <w:lang w:val="en-GB"/>
        </w:rPr>
      </w:pPr>
      <w:r w:rsidRPr="00723AFC">
        <w:rPr>
          <w:noProof/>
        </w:rPr>
        <w:drawing>
          <wp:inline distT="0" distB="0" distL="0" distR="0" wp14:anchorId="00E553CD" wp14:editId="0ABEC4CD">
            <wp:extent cx="5943027" cy="3184368"/>
            <wp:effectExtent l="0" t="0" r="635" b="0"/>
            <wp:docPr id="11" name="Picture 11" descr="Chart depicting Luckin Coffee Inc Corporate Structure as of May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836"/>
                    <a:stretch/>
                  </pic:blipFill>
                  <pic:spPr bwMode="auto">
                    <a:xfrm>
                      <a:off x="0" y="0"/>
                      <a:ext cx="5943600" cy="3184675"/>
                    </a:xfrm>
                    <a:prstGeom prst="rect">
                      <a:avLst/>
                    </a:prstGeom>
                    <a:noFill/>
                    <a:ln>
                      <a:noFill/>
                    </a:ln>
                    <a:extLst>
                      <a:ext uri="{53640926-AAD7-44D8-BBD7-CCE9431645EC}">
                        <a14:shadowObscured xmlns:a14="http://schemas.microsoft.com/office/drawing/2010/main"/>
                      </a:ext>
                    </a:extLst>
                  </pic:spPr>
                </pic:pic>
              </a:graphicData>
            </a:graphic>
          </wp:inline>
        </w:drawing>
      </w:r>
    </w:p>
    <w:p w14:paraId="115ACF14" w14:textId="6889BB9E" w:rsidR="00434F9E" w:rsidRPr="00986894" w:rsidRDefault="00434F9E" w:rsidP="00BA475D">
      <w:pPr>
        <w:pStyle w:val="ExhibitHeading"/>
      </w:pPr>
    </w:p>
    <w:p w14:paraId="1F33E982" w14:textId="77777777" w:rsidR="00EC1497" w:rsidRPr="00986894" w:rsidRDefault="00EC1497" w:rsidP="00434F9E">
      <w:pPr>
        <w:pStyle w:val="Footnote"/>
      </w:pPr>
    </w:p>
    <w:p w14:paraId="2591E2D7" w14:textId="7841076A" w:rsidR="00EC1497" w:rsidRPr="00986894" w:rsidRDefault="00EC1497" w:rsidP="00434F9E">
      <w:pPr>
        <w:pStyle w:val="Footnote"/>
      </w:pPr>
      <w:r w:rsidRPr="00986894">
        <w:t>Notes: WFOE = wholly foreign-owned enterprise; VIE = variable interest entity.</w:t>
      </w:r>
    </w:p>
    <w:p w14:paraId="39A891E6" w14:textId="2041C7C4" w:rsidR="00434F9E" w:rsidRPr="00986894" w:rsidRDefault="00434F9E" w:rsidP="00434F9E">
      <w:pPr>
        <w:pStyle w:val="Footnote"/>
      </w:pPr>
      <w:r w:rsidRPr="00986894">
        <w:t xml:space="preserve">Source: </w:t>
      </w:r>
      <w:proofErr w:type="spellStart"/>
      <w:r w:rsidRPr="00986894">
        <w:t>Luckin</w:t>
      </w:r>
      <w:proofErr w:type="spellEnd"/>
      <w:r w:rsidRPr="00986894">
        <w:t xml:space="preserve"> Coffee</w:t>
      </w:r>
      <w:r w:rsidR="008F488C" w:rsidRPr="00986894">
        <w:t xml:space="preserve"> Inc.</w:t>
      </w:r>
      <w:r w:rsidRPr="00986894">
        <w:t xml:space="preserve">, </w:t>
      </w:r>
      <w:proofErr w:type="spellStart"/>
      <w:r w:rsidR="0027404A" w:rsidRPr="0027404A">
        <w:rPr>
          <w:rStyle w:val="FootnoteChar"/>
          <w:rFonts w:eastAsia="Calibri"/>
        </w:rPr>
        <w:t>Luckin</w:t>
      </w:r>
      <w:proofErr w:type="spellEnd"/>
      <w:r w:rsidR="0027404A" w:rsidRPr="0027404A">
        <w:rPr>
          <w:rStyle w:val="FootnoteChar"/>
          <w:rFonts w:eastAsia="Calibri"/>
        </w:rPr>
        <w:t xml:space="preserve"> Coffee Inc., “</w:t>
      </w:r>
      <w:proofErr w:type="spellStart"/>
      <w:r w:rsidR="0027404A" w:rsidRPr="0027404A">
        <w:rPr>
          <w:rStyle w:val="FootnoteChar"/>
          <w:rFonts w:eastAsia="Calibri"/>
        </w:rPr>
        <w:t>Luckin</w:t>
      </w:r>
      <w:proofErr w:type="spellEnd"/>
      <w:r w:rsidR="0027404A" w:rsidRPr="0027404A">
        <w:rPr>
          <w:rStyle w:val="FootnoteChar"/>
          <w:rFonts w:eastAsia="Calibri"/>
        </w:rPr>
        <w:t xml:space="preserve"> Coffee Inc. Prospectus: Representing 264,000,000 Class A Ordinary Shares,” </w:t>
      </w:r>
      <w:proofErr w:type="spellStart"/>
      <w:r w:rsidR="0027404A" w:rsidRPr="0027404A">
        <w:rPr>
          <w:rStyle w:val="FootnoteChar"/>
          <w:rFonts w:eastAsia="Calibri"/>
        </w:rPr>
        <w:t>Luckin</w:t>
      </w:r>
      <w:proofErr w:type="spellEnd"/>
      <w:r w:rsidR="0027404A" w:rsidRPr="0027404A">
        <w:rPr>
          <w:rStyle w:val="FootnoteChar"/>
          <w:rFonts w:eastAsia="Calibri"/>
        </w:rPr>
        <w:t xml:space="preserve"> Coffee, May 17, 2019, accessed August 5, 2020, https://investor.luckincoffee.com/static-files/62ae7fff-d256-461e-9012-a47bfdc3a686</w:t>
      </w:r>
      <w:r w:rsidR="0027404A">
        <w:rPr>
          <w:rStyle w:val="FootnoteChar"/>
          <w:rFonts w:eastAsia="Calibri"/>
        </w:rPr>
        <w:t>.</w:t>
      </w:r>
    </w:p>
    <w:p w14:paraId="06EF79EA" w14:textId="24C87DF7" w:rsidR="00434F9E" w:rsidRPr="00986894" w:rsidRDefault="00434F9E" w:rsidP="00D606C4">
      <w:pPr>
        <w:pStyle w:val="ExhibitText"/>
      </w:pPr>
    </w:p>
    <w:p w14:paraId="18431694" w14:textId="77777777" w:rsidR="00434F9E" w:rsidRPr="00986894" w:rsidRDefault="00434F9E" w:rsidP="006159C4">
      <w:pPr>
        <w:pStyle w:val="ExhibitText"/>
      </w:pPr>
    </w:p>
    <w:p w14:paraId="2FA7BD27" w14:textId="66793337" w:rsidR="000E293F" w:rsidRPr="00986894" w:rsidRDefault="000E293F" w:rsidP="005A5C98">
      <w:pPr>
        <w:pStyle w:val="ExhibitHeading"/>
      </w:pPr>
      <w:r w:rsidRPr="00986894">
        <w:t>EXHIBIT 2: number of luckin stores</w:t>
      </w:r>
    </w:p>
    <w:p w14:paraId="51104534" w14:textId="77777777" w:rsidR="000E293F" w:rsidRPr="00986894" w:rsidRDefault="000E293F" w:rsidP="00BA475D">
      <w:pPr>
        <w:pStyle w:val="ExhibitText"/>
      </w:pPr>
    </w:p>
    <w:tbl>
      <w:tblPr>
        <w:tblStyle w:val="TableGrid"/>
        <w:tblW w:w="9466" w:type="dxa"/>
        <w:tblLook w:val="04A0" w:firstRow="1" w:lastRow="0" w:firstColumn="1" w:lastColumn="0" w:noHBand="0" w:noVBand="1"/>
        <w:tblCaption w:val="Exhibit 2"/>
        <w:tblDescription w:val="Table with the number of Luckin Stores from 2017 to 2019."/>
      </w:tblPr>
      <w:tblGrid>
        <w:gridCol w:w="1816"/>
        <w:gridCol w:w="850"/>
        <w:gridCol w:w="850"/>
        <w:gridCol w:w="850"/>
        <w:gridCol w:w="850"/>
        <w:gridCol w:w="850"/>
        <w:gridCol w:w="850"/>
        <w:gridCol w:w="850"/>
        <w:gridCol w:w="850"/>
        <w:gridCol w:w="850"/>
      </w:tblGrid>
      <w:tr w:rsidR="000E293F" w:rsidRPr="00986894" w14:paraId="6490DFD1" w14:textId="77777777" w:rsidTr="00CD7A66">
        <w:trPr>
          <w:tblHeader/>
        </w:trPr>
        <w:tc>
          <w:tcPr>
            <w:tcW w:w="1816" w:type="dxa"/>
          </w:tcPr>
          <w:p w14:paraId="783BB307"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Type of Store</w:t>
            </w:r>
          </w:p>
        </w:tc>
        <w:tc>
          <w:tcPr>
            <w:tcW w:w="850" w:type="dxa"/>
          </w:tcPr>
          <w:p w14:paraId="25501D43"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Dec 2017</w:t>
            </w:r>
          </w:p>
        </w:tc>
        <w:tc>
          <w:tcPr>
            <w:tcW w:w="850" w:type="dxa"/>
          </w:tcPr>
          <w:p w14:paraId="0D7F67CA"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Mar 2018</w:t>
            </w:r>
          </w:p>
        </w:tc>
        <w:tc>
          <w:tcPr>
            <w:tcW w:w="850" w:type="dxa"/>
          </w:tcPr>
          <w:p w14:paraId="6BBD58B1"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Jun 2018</w:t>
            </w:r>
          </w:p>
        </w:tc>
        <w:tc>
          <w:tcPr>
            <w:tcW w:w="850" w:type="dxa"/>
          </w:tcPr>
          <w:p w14:paraId="5A0073DD"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Sep 2018</w:t>
            </w:r>
          </w:p>
        </w:tc>
        <w:tc>
          <w:tcPr>
            <w:tcW w:w="850" w:type="dxa"/>
          </w:tcPr>
          <w:p w14:paraId="5E69BEF9"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Dec 2018</w:t>
            </w:r>
          </w:p>
        </w:tc>
        <w:tc>
          <w:tcPr>
            <w:tcW w:w="850" w:type="dxa"/>
          </w:tcPr>
          <w:p w14:paraId="19D0408F"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Mar 2019</w:t>
            </w:r>
          </w:p>
        </w:tc>
        <w:tc>
          <w:tcPr>
            <w:tcW w:w="850" w:type="dxa"/>
          </w:tcPr>
          <w:p w14:paraId="65496937"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Jun 2019</w:t>
            </w:r>
          </w:p>
        </w:tc>
        <w:tc>
          <w:tcPr>
            <w:tcW w:w="850" w:type="dxa"/>
          </w:tcPr>
          <w:p w14:paraId="4C5656D2"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Sep 2019</w:t>
            </w:r>
          </w:p>
        </w:tc>
        <w:tc>
          <w:tcPr>
            <w:tcW w:w="850" w:type="dxa"/>
          </w:tcPr>
          <w:p w14:paraId="274D8916" w14:textId="77777777" w:rsidR="000E293F" w:rsidRPr="00986894" w:rsidRDefault="000E293F" w:rsidP="00194809">
            <w:pPr>
              <w:tabs>
                <w:tab w:val="left" w:pos="6155"/>
              </w:tabs>
              <w:contextualSpacing/>
              <w:jc w:val="center"/>
              <w:rPr>
                <w:rFonts w:ascii="Arial" w:hAnsi="Arial" w:cs="Arial"/>
                <w:b/>
                <w:lang w:val="en-GB"/>
              </w:rPr>
            </w:pPr>
            <w:r w:rsidRPr="00986894">
              <w:rPr>
                <w:rFonts w:ascii="Arial" w:hAnsi="Arial" w:cs="Arial"/>
                <w:b/>
                <w:lang w:val="en-GB"/>
              </w:rPr>
              <w:t>Dec 2019</w:t>
            </w:r>
          </w:p>
        </w:tc>
      </w:tr>
      <w:tr w:rsidR="000E293F" w:rsidRPr="00986894" w14:paraId="4AF742A7" w14:textId="77777777" w:rsidTr="00CD7A66">
        <w:trPr>
          <w:tblHeader/>
        </w:trPr>
        <w:tc>
          <w:tcPr>
            <w:tcW w:w="1816" w:type="dxa"/>
          </w:tcPr>
          <w:p w14:paraId="24E73210" w14:textId="499B15B9" w:rsidR="000E293F" w:rsidRPr="00986894" w:rsidRDefault="008F488C" w:rsidP="009A29FE">
            <w:pPr>
              <w:tabs>
                <w:tab w:val="left" w:pos="6155"/>
              </w:tabs>
              <w:contextualSpacing/>
              <w:rPr>
                <w:rFonts w:ascii="Arial" w:hAnsi="Arial" w:cs="Arial"/>
                <w:bCs/>
                <w:szCs w:val="17"/>
                <w:lang w:val="en-GB"/>
              </w:rPr>
            </w:pPr>
            <w:r w:rsidRPr="00986894">
              <w:rPr>
                <w:rFonts w:ascii="Arial" w:hAnsi="Arial" w:cs="Arial"/>
                <w:bCs/>
                <w:szCs w:val="17"/>
                <w:lang w:val="en-GB"/>
              </w:rPr>
              <w:t>Pick-</w:t>
            </w:r>
            <w:r w:rsidR="000E293F" w:rsidRPr="00986894">
              <w:rPr>
                <w:rFonts w:ascii="Arial" w:hAnsi="Arial" w:cs="Arial"/>
                <w:bCs/>
                <w:szCs w:val="17"/>
                <w:lang w:val="en-GB"/>
              </w:rPr>
              <w:t>Up Stores</w:t>
            </w:r>
          </w:p>
        </w:tc>
        <w:tc>
          <w:tcPr>
            <w:tcW w:w="850" w:type="dxa"/>
          </w:tcPr>
          <w:p w14:paraId="5478612F"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4</w:t>
            </w:r>
          </w:p>
        </w:tc>
        <w:tc>
          <w:tcPr>
            <w:tcW w:w="850" w:type="dxa"/>
          </w:tcPr>
          <w:p w14:paraId="29352BF5"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83</w:t>
            </w:r>
          </w:p>
        </w:tc>
        <w:tc>
          <w:tcPr>
            <w:tcW w:w="850" w:type="dxa"/>
          </w:tcPr>
          <w:p w14:paraId="77E40E59"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356</w:t>
            </w:r>
          </w:p>
        </w:tc>
        <w:tc>
          <w:tcPr>
            <w:tcW w:w="850" w:type="dxa"/>
          </w:tcPr>
          <w:p w14:paraId="03075CF4"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903</w:t>
            </w:r>
          </w:p>
        </w:tc>
        <w:tc>
          <w:tcPr>
            <w:tcW w:w="850" w:type="dxa"/>
          </w:tcPr>
          <w:p w14:paraId="4C85B06A"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1,811</w:t>
            </w:r>
          </w:p>
        </w:tc>
        <w:tc>
          <w:tcPr>
            <w:tcW w:w="850" w:type="dxa"/>
          </w:tcPr>
          <w:p w14:paraId="3FCDC00E"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2,163</w:t>
            </w:r>
          </w:p>
        </w:tc>
        <w:tc>
          <w:tcPr>
            <w:tcW w:w="850" w:type="dxa"/>
          </w:tcPr>
          <w:p w14:paraId="534DB8FE"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2,741</w:t>
            </w:r>
          </w:p>
        </w:tc>
        <w:tc>
          <w:tcPr>
            <w:tcW w:w="850" w:type="dxa"/>
          </w:tcPr>
          <w:p w14:paraId="67BED54B"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3,433</w:t>
            </w:r>
          </w:p>
        </w:tc>
        <w:tc>
          <w:tcPr>
            <w:tcW w:w="850" w:type="dxa"/>
          </w:tcPr>
          <w:p w14:paraId="1F09831A" w14:textId="77777777" w:rsidR="000E293F" w:rsidRPr="00986894" w:rsidRDefault="000E293F" w:rsidP="00194809">
            <w:pPr>
              <w:tabs>
                <w:tab w:val="left" w:pos="6155"/>
              </w:tabs>
              <w:contextualSpacing/>
              <w:jc w:val="right"/>
              <w:rPr>
                <w:rFonts w:ascii="Arial" w:hAnsi="Arial" w:cs="Arial"/>
                <w:bCs/>
                <w:szCs w:val="17"/>
                <w:lang w:val="en-GB"/>
              </w:rPr>
            </w:pPr>
          </w:p>
        </w:tc>
      </w:tr>
      <w:tr w:rsidR="000E293F" w:rsidRPr="00986894" w14:paraId="4F299559" w14:textId="77777777" w:rsidTr="00CD7A66">
        <w:trPr>
          <w:tblHeader/>
        </w:trPr>
        <w:tc>
          <w:tcPr>
            <w:tcW w:w="1816" w:type="dxa"/>
          </w:tcPr>
          <w:p w14:paraId="0AC4E214" w14:textId="77777777" w:rsidR="000E293F" w:rsidRPr="00986894" w:rsidRDefault="000E293F" w:rsidP="00194809">
            <w:pPr>
              <w:tabs>
                <w:tab w:val="left" w:pos="6155"/>
              </w:tabs>
              <w:contextualSpacing/>
              <w:rPr>
                <w:rFonts w:ascii="Arial" w:hAnsi="Arial" w:cs="Arial"/>
                <w:bCs/>
                <w:szCs w:val="17"/>
                <w:lang w:val="en-GB"/>
              </w:rPr>
            </w:pPr>
            <w:r w:rsidRPr="00986894">
              <w:rPr>
                <w:rFonts w:ascii="Arial" w:hAnsi="Arial" w:cs="Arial"/>
                <w:bCs/>
                <w:szCs w:val="17"/>
                <w:lang w:val="en-GB"/>
              </w:rPr>
              <w:t>Relax Stores</w:t>
            </w:r>
          </w:p>
        </w:tc>
        <w:tc>
          <w:tcPr>
            <w:tcW w:w="850" w:type="dxa"/>
          </w:tcPr>
          <w:p w14:paraId="3E21D1D6"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5</w:t>
            </w:r>
          </w:p>
        </w:tc>
        <w:tc>
          <w:tcPr>
            <w:tcW w:w="850" w:type="dxa"/>
          </w:tcPr>
          <w:p w14:paraId="327BDDE7"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15</w:t>
            </w:r>
          </w:p>
        </w:tc>
        <w:tc>
          <w:tcPr>
            <w:tcW w:w="850" w:type="dxa"/>
          </w:tcPr>
          <w:p w14:paraId="54FCB49E"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22</w:t>
            </w:r>
          </w:p>
        </w:tc>
        <w:tc>
          <w:tcPr>
            <w:tcW w:w="850" w:type="dxa"/>
          </w:tcPr>
          <w:p w14:paraId="7DA9F919"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45</w:t>
            </w:r>
          </w:p>
        </w:tc>
        <w:tc>
          <w:tcPr>
            <w:tcW w:w="850" w:type="dxa"/>
          </w:tcPr>
          <w:p w14:paraId="7CC61CE7"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86</w:t>
            </w:r>
          </w:p>
        </w:tc>
        <w:tc>
          <w:tcPr>
            <w:tcW w:w="850" w:type="dxa"/>
          </w:tcPr>
          <w:p w14:paraId="574FCE9D"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109</w:t>
            </w:r>
          </w:p>
        </w:tc>
        <w:tc>
          <w:tcPr>
            <w:tcW w:w="850" w:type="dxa"/>
          </w:tcPr>
          <w:p w14:paraId="2BB65140"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123</w:t>
            </w:r>
          </w:p>
        </w:tc>
        <w:tc>
          <w:tcPr>
            <w:tcW w:w="850" w:type="dxa"/>
          </w:tcPr>
          <w:p w14:paraId="0C57D387"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138</w:t>
            </w:r>
          </w:p>
        </w:tc>
        <w:tc>
          <w:tcPr>
            <w:tcW w:w="850" w:type="dxa"/>
          </w:tcPr>
          <w:p w14:paraId="205A9C44" w14:textId="77777777" w:rsidR="000E293F" w:rsidRPr="00986894" w:rsidRDefault="000E293F" w:rsidP="00194809">
            <w:pPr>
              <w:tabs>
                <w:tab w:val="left" w:pos="6155"/>
              </w:tabs>
              <w:contextualSpacing/>
              <w:jc w:val="right"/>
              <w:rPr>
                <w:rFonts w:ascii="Arial" w:hAnsi="Arial" w:cs="Arial"/>
                <w:bCs/>
                <w:szCs w:val="17"/>
                <w:lang w:val="en-GB"/>
              </w:rPr>
            </w:pPr>
          </w:p>
        </w:tc>
      </w:tr>
      <w:tr w:rsidR="000E293F" w:rsidRPr="00986894" w14:paraId="08E15EE5" w14:textId="77777777" w:rsidTr="00CD7A66">
        <w:trPr>
          <w:tblHeader/>
        </w:trPr>
        <w:tc>
          <w:tcPr>
            <w:tcW w:w="1816" w:type="dxa"/>
          </w:tcPr>
          <w:p w14:paraId="09535D77" w14:textId="77777777" w:rsidR="000E293F" w:rsidRPr="00986894" w:rsidRDefault="000E293F" w:rsidP="00194809">
            <w:pPr>
              <w:tabs>
                <w:tab w:val="left" w:pos="6155"/>
              </w:tabs>
              <w:contextualSpacing/>
              <w:rPr>
                <w:rFonts w:ascii="Arial" w:hAnsi="Arial" w:cs="Arial"/>
                <w:bCs/>
                <w:szCs w:val="17"/>
                <w:lang w:val="en-GB"/>
              </w:rPr>
            </w:pPr>
            <w:r w:rsidRPr="00986894">
              <w:rPr>
                <w:rFonts w:ascii="Arial" w:hAnsi="Arial" w:cs="Arial"/>
                <w:bCs/>
                <w:szCs w:val="17"/>
                <w:lang w:val="en-GB"/>
              </w:rPr>
              <w:t>Delivery Kitchens</w:t>
            </w:r>
          </w:p>
        </w:tc>
        <w:tc>
          <w:tcPr>
            <w:tcW w:w="850" w:type="dxa"/>
          </w:tcPr>
          <w:p w14:paraId="5E354172" w14:textId="77777777" w:rsidR="000E293F" w:rsidRPr="00986894" w:rsidRDefault="000E293F" w:rsidP="00194809">
            <w:pPr>
              <w:tabs>
                <w:tab w:val="left" w:pos="6155"/>
              </w:tabs>
              <w:contextualSpacing/>
              <w:jc w:val="right"/>
              <w:rPr>
                <w:rFonts w:ascii="Arial" w:hAnsi="Arial" w:cs="Arial"/>
                <w:bCs/>
                <w:szCs w:val="17"/>
                <w:lang w:val="en-GB"/>
              </w:rPr>
            </w:pPr>
          </w:p>
        </w:tc>
        <w:tc>
          <w:tcPr>
            <w:tcW w:w="850" w:type="dxa"/>
          </w:tcPr>
          <w:p w14:paraId="3C1C9A7D"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192</w:t>
            </w:r>
          </w:p>
        </w:tc>
        <w:tc>
          <w:tcPr>
            <w:tcW w:w="850" w:type="dxa"/>
          </w:tcPr>
          <w:p w14:paraId="305F92B7"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246</w:t>
            </w:r>
          </w:p>
        </w:tc>
        <w:tc>
          <w:tcPr>
            <w:tcW w:w="850" w:type="dxa"/>
          </w:tcPr>
          <w:p w14:paraId="5D8C4022"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241</w:t>
            </w:r>
          </w:p>
        </w:tc>
        <w:tc>
          <w:tcPr>
            <w:tcW w:w="850" w:type="dxa"/>
          </w:tcPr>
          <w:p w14:paraId="68854765"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176</w:t>
            </w:r>
          </w:p>
        </w:tc>
        <w:tc>
          <w:tcPr>
            <w:tcW w:w="850" w:type="dxa"/>
          </w:tcPr>
          <w:p w14:paraId="5C10CEDF"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98</w:t>
            </w:r>
          </w:p>
        </w:tc>
        <w:tc>
          <w:tcPr>
            <w:tcW w:w="850" w:type="dxa"/>
          </w:tcPr>
          <w:p w14:paraId="0BDD3168"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99</w:t>
            </w:r>
          </w:p>
        </w:tc>
        <w:tc>
          <w:tcPr>
            <w:tcW w:w="850" w:type="dxa"/>
          </w:tcPr>
          <w:p w14:paraId="3FBD27F1"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109</w:t>
            </w:r>
          </w:p>
        </w:tc>
        <w:tc>
          <w:tcPr>
            <w:tcW w:w="850" w:type="dxa"/>
          </w:tcPr>
          <w:p w14:paraId="56B21520" w14:textId="77777777" w:rsidR="000E293F" w:rsidRPr="00986894" w:rsidRDefault="000E293F" w:rsidP="00194809">
            <w:pPr>
              <w:tabs>
                <w:tab w:val="left" w:pos="6155"/>
              </w:tabs>
              <w:contextualSpacing/>
              <w:jc w:val="right"/>
              <w:rPr>
                <w:rFonts w:ascii="Arial" w:hAnsi="Arial" w:cs="Arial"/>
                <w:bCs/>
                <w:szCs w:val="17"/>
                <w:lang w:val="en-GB"/>
              </w:rPr>
            </w:pPr>
          </w:p>
        </w:tc>
      </w:tr>
      <w:tr w:rsidR="000E293F" w:rsidRPr="00986894" w14:paraId="2F08FE0C" w14:textId="77777777" w:rsidTr="00CD7A66">
        <w:trPr>
          <w:tblHeader/>
        </w:trPr>
        <w:tc>
          <w:tcPr>
            <w:tcW w:w="1816" w:type="dxa"/>
          </w:tcPr>
          <w:p w14:paraId="49022ABE" w14:textId="77777777" w:rsidR="000E293F" w:rsidRPr="00986894" w:rsidRDefault="000E293F" w:rsidP="00194809">
            <w:pPr>
              <w:tabs>
                <w:tab w:val="left" w:pos="6155"/>
              </w:tabs>
              <w:contextualSpacing/>
              <w:rPr>
                <w:rFonts w:ascii="Arial" w:hAnsi="Arial" w:cs="Arial"/>
                <w:bCs/>
                <w:szCs w:val="17"/>
                <w:lang w:val="en-GB"/>
              </w:rPr>
            </w:pPr>
            <w:r w:rsidRPr="00986894">
              <w:rPr>
                <w:rFonts w:ascii="Arial" w:hAnsi="Arial" w:cs="Arial"/>
                <w:bCs/>
                <w:szCs w:val="17"/>
                <w:lang w:val="en-GB"/>
              </w:rPr>
              <w:t>Total</w:t>
            </w:r>
          </w:p>
        </w:tc>
        <w:tc>
          <w:tcPr>
            <w:tcW w:w="850" w:type="dxa"/>
          </w:tcPr>
          <w:p w14:paraId="732E93A9"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9</w:t>
            </w:r>
          </w:p>
        </w:tc>
        <w:tc>
          <w:tcPr>
            <w:tcW w:w="850" w:type="dxa"/>
          </w:tcPr>
          <w:p w14:paraId="5CE3B606"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290</w:t>
            </w:r>
          </w:p>
        </w:tc>
        <w:tc>
          <w:tcPr>
            <w:tcW w:w="850" w:type="dxa"/>
          </w:tcPr>
          <w:p w14:paraId="26CAF94B"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624</w:t>
            </w:r>
          </w:p>
        </w:tc>
        <w:tc>
          <w:tcPr>
            <w:tcW w:w="850" w:type="dxa"/>
          </w:tcPr>
          <w:p w14:paraId="53CA886A"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1,189</w:t>
            </w:r>
          </w:p>
        </w:tc>
        <w:tc>
          <w:tcPr>
            <w:tcW w:w="850" w:type="dxa"/>
          </w:tcPr>
          <w:p w14:paraId="1BE02001"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2,073</w:t>
            </w:r>
          </w:p>
        </w:tc>
        <w:tc>
          <w:tcPr>
            <w:tcW w:w="850" w:type="dxa"/>
          </w:tcPr>
          <w:p w14:paraId="00388382"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2,370</w:t>
            </w:r>
          </w:p>
        </w:tc>
        <w:tc>
          <w:tcPr>
            <w:tcW w:w="850" w:type="dxa"/>
          </w:tcPr>
          <w:p w14:paraId="1319CE19"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2,963</w:t>
            </w:r>
          </w:p>
        </w:tc>
        <w:tc>
          <w:tcPr>
            <w:tcW w:w="850" w:type="dxa"/>
          </w:tcPr>
          <w:p w14:paraId="60044D94"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3,680</w:t>
            </w:r>
          </w:p>
        </w:tc>
        <w:tc>
          <w:tcPr>
            <w:tcW w:w="850" w:type="dxa"/>
          </w:tcPr>
          <w:p w14:paraId="20210D53" w14:textId="77777777" w:rsidR="000E293F" w:rsidRPr="00986894" w:rsidRDefault="000E293F" w:rsidP="00194809">
            <w:pPr>
              <w:tabs>
                <w:tab w:val="left" w:pos="6155"/>
              </w:tabs>
              <w:contextualSpacing/>
              <w:jc w:val="right"/>
              <w:rPr>
                <w:rFonts w:ascii="Arial" w:hAnsi="Arial" w:cs="Arial"/>
                <w:bCs/>
                <w:szCs w:val="17"/>
                <w:lang w:val="en-GB"/>
              </w:rPr>
            </w:pPr>
            <w:r w:rsidRPr="00986894">
              <w:rPr>
                <w:rFonts w:ascii="Arial" w:hAnsi="Arial" w:cs="Arial"/>
                <w:bCs/>
                <w:szCs w:val="17"/>
                <w:lang w:val="en-GB"/>
              </w:rPr>
              <w:t>4,507</w:t>
            </w:r>
          </w:p>
        </w:tc>
      </w:tr>
    </w:tbl>
    <w:p w14:paraId="0706E47C" w14:textId="77777777" w:rsidR="000E293F" w:rsidRPr="00986894" w:rsidRDefault="000E293F" w:rsidP="000E293F">
      <w:pPr>
        <w:tabs>
          <w:tab w:val="left" w:pos="6155"/>
        </w:tabs>
        <w:contextualSpacing/>
        <w:jc w:val="both"/>
        <w:rPr>
          <w:lang w:val="en-GB"/>
        </w:rPr>
      </w:pPr>
    </w:p>
    <w:p w14:paraId="2E781F85" w14:textId="3451E0F6" w:rsidR="000E293F" w:rsidRPr="00986894" w:rsidRDefault="000E293F" w:rsidP="000E293F">
      <w:pPr>
        <w:tabs>
          <w:tab w:val="left" w:pos="6155"/>
        </w:tabs>
        <w:contextualSpacing/>
        <w:jc w:val="both"/>
        <w:rPr>
          <w:rFonts w:ascii="Arial" w:hAnsi="Arial" w:cs="Arial"/>
          <w:b/>
          <w:lang w:val="en-GB"/>
        </w:rPr>
      </w:pPr>
      <w:r w:rsidRPr="00986894">
        <w:rPr>
          <w:rFonts w:ascii="Arial" w:hAnsi="Arial" w:cs="Arial"/>
          <w:sz w:val="17"/>
          <w:szCs w:val="17"/>
          <w:lang w:val="en-GB"/>
        </w:rPr>
        <w:t>Source: Developed by author</w:t>
      </w:r>
      <w:r w:rsidR="008F488C" w:rsidRPr="00986894">
        <w:rPr>
          <w:rFonts w:ascii="Arial" w:hAnsi="Arial" w:cs="Arial"/>
          <w:sz w:val="17"/>
          <w:szCs w:val="17"/>
          <w:lang w:val="en-GB"/>
        </w:rPr>
        <w:t xml:space="preserve"> with </w:t>
      </w:r>
      <w:r w:rsidRPr="00986894">
        <w:rPr>
          <w:rFonts w:ascii="Arial" w:hAnsi="Arial" w:cs="Arial"/>
          <w:sz w:val="17"/>
          <w:szCs w:val="17"/>
          <w:lang w:val="en-GB"/>
        </w:rPr>
        <w:t xml:space="preserve">data from </w:t>
      </w:r>
      <w:proofErr w:type="spellStart"/>
      <w:r w:rsidRPr="00986894">
        <w:rPr>
          <w:rFonts w:ascii="Arial" w:hAnsi="Arial" w:cs="Arial"/>
          <w:sz w:val="17"/>
          <w:szCs w:val="17"/>
          <w:lang w:val="en-GB"/>
        </w:rPr>
        <w:t>Luckin</w:t>
      </w:r>
      <w:proofErr w:type="spellEnd"/>
      <w:r w:rsidRPr="00986894">
        <w:rPr>
          <w:rFonts w:ascii="Arial" w:hAnsi="Arial" w:cs="Arial"/>
          <w:sz w:val="17"/>
          <w:szCs w:val="17"/>
          <w:lang w:val="en-GB"/>
        </w:rPr>
        <w:t xml:space="preserve"> Coffee</w:t>
      </w:r>
      <w:r w:rsidR="003F0AD8">
        <w:rPr>
          <w:rFonts w:ascii="Arial" w:hAnsi="Arial" w:cs="Arial"/>
          <w:sz w:val="17"/>
          <w:szCs w:val="17"/>
          <w:lang w:val="en-GB"/>
        </w:rPr>
        <w:t xml:space="preserve">, </w:t>
      </w:r>
      <w:proofErr w:type="spellStart"/>
      <w:r w:rsidR="0027404A" w:rsidRPr="00DE0D51">
        <w:rPr>
          <w:rStyle w:val="FootnoteChar"/>
          <w:rFonts w:eastAsia="Calibri"/>
        </w:rPr>
        <w:t>Luckin</w:t>
      </w:r>
      <w:proofErr w:type="spellEnd"/>
      <w:r w:rsidR="0027404A" w:rsidRPr="00DE0D51">
        <w:rPr>
          <w:rStyle w:val="FootnoteChar"/>
          <w:rFonts w:eastAsia="Calibri"/>
        </w:rPr>
        <w:t xml:space="preserve"> Coffee Inc., “</w:t>
      </w:r>
      <w:proofErr w:type="spellStart"/>
      <w:r w:rsidR="0027404A" w:rsidRPr="00DE0D51">
        <w:rPr>
          <w:rStyle w:val="FootnoteChar"/>
          <w:rFonts w:eastAsia="Calibri"/>
        </w:rPr>
        <w:t>Luckin</w:t>
      </w:r>
      <w:proofErr w:type="spellEnd"/>
      <w:r w:rsidR="0027404A" w:rsidRPr="00DE0D51">
        <w:rPr>
          <w:rStyle w:val="FootnoteChar"/>
          <w:rFonts w:eastAsia="Calibri"/>
        </w:rPr>
        <w:t xml:space="preserve"> Coffee Inc. Prospectus: Representing 264,000,000 Class A Ordinary Shares, </w:t>
      </w:r>
      <w:r w:rsidR="0027404A" w:rsidRPr="0027404A">
        <w:rPr>
          <w:rStyle w:val="FootnoteChar"/>
          <w:rFonts w:eastAsia="Calibri"/>
        </w:rPr>
        <w:t>May 17, 2019, accessed August 5, 2020, https://investor.luckincoffee.com/static-files/62ae7fff-d256-461e-9012-a47bfdc3a686</w:t>
      </w:r>
      <w:r w:rsidRPr="00986894">
        <w:rPr>
          <w:rFonts w:ascii="Arial" w:hAnsi="Arial" w:cs="Arial"/>
          <w:color w:val="000000" w:themeColor="text1"/>
          <w:sz w:val="17"/>
          <w:szCs w:val="17"/>
          <w:lang w:val="en-GB"/>
        </w:rPr>
        <w:t>; “</w:t>
      </w:r>
      <w:proofErr w:type="spellStart"/>
      <w:r w:rsidRPr="00986894">
        <w:rPr>
          <w:rFonts w:ascii="Arial" w:hAnsi="Arial" w:cs="Arial"/>
          <w:color w:val="000000" w:themeColor="text1"/>
          <w:sz w:val="17"/>
          <w:szCs w:val="17"/>
          <w:lang w:val="en-GB"/>
        </w:rPr>
        <w:t>Luckin</w:t>
      </w:r>
      <w:proofErr w:type="spellEnd"/>
      <w:r w:rsidRPr="00986894">
        <w:rPr>
          <w:rFonts w:ascii="Arial" w:hAnsi="Arial" w:cs="Arial"/>
          <w:color w:val="000000" w:themeColor="text1"/>
          <w:sz w:val="17"/>
          <w:szCs w:val="17"/>
          <w:lang w:val="en-GB"/>
        </w:rPr>
        <w:t xml:space="preserve"> Coffee Inc. Announces Unaudited Second Quarter 2019 Financial Results,”</w:t>
      </w:r>
      <w:r w:rsidR="003F0AD8">
        <w:rPr>
          <w:rFonts w:ascii="Arial" w:hAnsi="Arial" w:cs="Arial"/>
          <w:color w:val="000000" w:themeColor="text1"/>
          <w:sz w:val="17"/>
          <w:szCs w:val="17"/>
          <w:lang w:val="en-GB"/>
        </w:rPr>
        <w:t xml:space="preserve">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00C62FF9">
        <w:rPr>
          <w:rFonts w:ascii="Arial" w:hAnsi="Arial" w:cs="Arial"/>
          <w:color w:val="000000" w:themeColor="text1"/>
          <w:sz w:val="17"/>
          <w:szCs w:val="17"/>
          <w:lang w:val="en-GB"/>
        </w:rPr>
        <w:t xml:space="preserve"> </w:t>
      </w:r>
      <w:r w:rsidR="003F0AD8">
        <w:rPr>
          <w:rFonts w:ascii="Arial" w:hAnsi="Arial" w:cs="Arial"/>
          <w:color w:val="000000" w:themeColor="text1"/>
          <w:sz w:val="17"/>
          <w:szCs w:val="17"/>
          <w:lang w:val="en-GB"/>
        </w:rPr>
        <w:t>(</w:t>
      </w:r>
      <w:r w:rsidR="00FA2181" w:rsidRPr="00986894">
        <w:rPr>
          <w:rFonts w:ascii="Arial" w:hAnsi="Arial" w:cs="Arial"/>
          <w:color w:val="000000" w:themeColor="text1"/>
          <w:sz w:val="17"/>
          <w:szCs w:val="17"/>
          <w:lang w:val="en-GB"/>
        </w:rPr>
        <w:t>news release</w:t>
      </w:r>
      <w:r w:rsidR="003F0AD8">
        <w:rPr>
          <w:rFonts w:ascii="Arial" w:hAnsi="Arial" w:cs="Arial"/>
          <w:color w:val="000000" w:themeColor="text1"/>
          <w:sz w:val="17"/>
          <w:szCs w:val="17"/>
          <w:lang w:val="en-GB"/>
        </w:rPr>
        <w:t>)</w:t>
      </w:r>
      <w:r w:rsidRPr="00986894">
        <w:rPr>
          <w:rFonts w:ascii="Arial" w:hAnsi="Arial" w:cs="Arial"/>
          <w:color w:val="000000" w:themeColor="text1"/>
          <w:sz w:val="17"/>
          <w:szCs w:val="17"/>
          <w:lang w:val="en-GB"/>
        </w:rPr>
        <w:t>, August 14, 2019, accessed August 5, 2020,</w:t>
      </w:r>
      <w:r w:rsidRPr="00986894">
        <w:rPr>
          <w:lang w:val="en-GB"/>
        </w:rPr>
        <w:t xml:space="preserve"> </w:t>
      </w:r>
      <w:r w:rsidRPr="00986894">
        <w:rPr>
          <w:rFonts w:ascii="Arial" w:hAnsi="Arial" w:cs="Arial"/>
          <w:color w:val="000000" w:themeColor="text1"/>
          <w:sz w:val="17"/>
          <w:szCs w:val="17"/>
          <w:lang w:val="en-GB"/>
        </w:rPr>
        <w:t>https://investor.luckincoffee.com/static-files/399afeb2-3d54-4cc4-8030-d3672d865a71; “</w:t>
      </w:r>
      <w:proofErr w:type="spellStart"/>
      <w:r w:rsidRPr="00986894">
        <w:rPr>
          <w:rFonts w:ascii="Arial" w:hAnsi="Arial" w:cs="Arial"/>
          <w:color w:val="000000" w:themeColor="text1"/>
          <w:sz w:val="17"/>
          <w:szCs w:val="17"/>
          <w:lang w:val="en-GB"/>
        </w:rPr>
        <w:t>Luckin</w:t>
      </w:r>
      <w:proofErr w:type="spellEnd"/>
      <w:r w:rsidRPr="00986894">
        <w:rPr>
          <w:rFonts w:ascii="Arial" w:hAnsi="Arial" w:cs="Arial"/>
          <w:color w:val="000000" w:themeColor="text1"/>
          <w:sz w:val="17"/>
          <w:szCs w:val="17"/>
          <w:lang w:val="en-GB"/>
        </w:rPr>
        <w:t xml:space="preserve"> Coffee Inc. Announces Unaudited Third Quarter 2019 Financial Results,”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00C62FF9">
        <w:rPr>
          <w:rFonts w:ascii="Arial" w:hAnsi="Arial" w:cs="Arial"/>
          <w:color w:val="000000" w:themeColor="text1"/>
          <w:sz w:val="17"/>
          <w:szCs w:val="17"/>
          <w:lang w:val="en-GB"/>
        </w:rPr>
        <w:t xml:space="preserve"> </w:t>
      </w:r>
      <w:r w:rsidR="003F0AD8">
        <w:rPr>
          <w:rFonts w:ascii="Arial" w:hAnsi="Arial" w:cs="Arial"/>
          <w:color w:val="000000" w:themeColor="text1"/>
          <w:sz w:val="17"/>
          <w:szCs w:val="17"/>
          <w:lang w:val="en-GB"/>
        </w:rPr>
        <w:t>(</w:t>
      </w:r>
      <w:r w:rsidR="00FA2181" w:rsidRPr="00986894">
        <w:rPr>
          <w:rFonts w:ascii="Arial" w:hAnsi="Arial" w:cs="Arial"/>
          <w:color w:val="000000" w:themeColor="text1"/>
          <w:sz w:val="17"/>
          <w:szCs w:val="17"/>
          <w:lang w:val="en-GB"/>
        </w:rPr>
        <w:t>news release</w:t>
      </w:r>
      <w:r w:rsidR="003F0AD8">
        <w:rPr>
          <w:rFonts w:ascii="Arial" w:hAnsi="Arial" w:cs="Arial"/>
          <w:color w:val="000000" w:themeColor="text1"/>
          <w:sz w:val="17"/>
          <w:szCs w:val="17"/>
          <w:lang w:val="en-GB"/>
        </w:rPr>
        <w:t>)</w:t>
      </w:r>
      <w:r w:rsidR="00FA2181" w:rsidRPr="00986894">
        <w:rPr>
          <w:rFonts w:ascii="Arial" w:hAnsi="Arial" w:cs="Arial"/>
          <w:color w:val="000000" w:themeColor="text1"/>
          <w:sz w:val="17"/>
          <w:szCs w:val="17"/>
          <w:lang w:val="en-GB"/>
        </w:rPr>
        <w:t xml:space="preserve">, </w:t>
      </w:r>
      <w:r w:rsidRPr="00986894">
        <w:rPr>
          <w:rFonts w:ascii="Arial" w:hAnsi="Arial" w:cs="Arial"/>
          <w:color w:val="000000" w:themeColor="text1"/>
          <w:sz w:val="17"/>
          <w:szCs w:val="17"/>
          <w:lang w:val="en-GB"/>
        </w:rPr>
        <w:t xml:space="preserve">November 13, 2019, accessed August 5, 2020, </w:t>
      </w:r>
      <w:hyperlink r:id="rId10" w:history="1">
        <w:r w:rsidRPr="00986894">
          <w:rPr>
            <w:rStyle w:val="Hyperlink"/>
            <w:rFonts w:ascii="Arial" w:hAnsi="Arial" w:cs="Arial"/>
            <w:color w:val="000000" w:themeColor="text1"/>
            <w:sz w:val="17"/>
            <w:szCs w:val="17"/>
            <w:u w:val="none"/>
            <w:lang w:val="en-GB"/>
          </w:rPr>
          <w:t>https://investor.luckincoffee.com/static-files/e228e5f9-e47f-47e4-b8dd-f1cabe870ebb</w:t>
        </w:r>
      </w:hyperlink>
      <w:r w:rsidRPr="00986894">
        <w:rPr>
          <w:rStyle w:val="Hyperlink"/>
          <w:rFonts w:ascii="Arial" w:hAnsi="Arial" w:cs="Arial"/>
          <w:color w:val="000000" w:themeColor="text1"/>
          <w:sz w:val="17"/>
          <w:szCs w:val="17"/>
          <w:u w:val="none"/>
          <w:lang w:val="en-GB"/>
        </w:rPr>
        <w:t xml:space="preserve">; </w:t>
      </w:r>
      <w:proofErr w:type="spellStart"/>
      <w:r w:rsidRPr="00986894">
        <w:rPr>
          <w:rStyle w:val="Hyperlink"/>
          <w:rFonts w:ascii="Arial" w:hAnsi="Arial" w:cs="Arial"/>
          <w:color w:val="000000" w:themeColor="text1"/>
          <w:sz w:val="17"/>
          <w:szCs w:val="17"/>
          <w:u w:val="none"/>
          <w:lang w:val="en-GB"/>
        </w:rPr>
        <w:t>Luckin</w:t>
      </w:r>
      <w:proofErr w:type="spellEnd"/>
      <w:r w:rsidRPr="00986894">
        <w:rPr>
          <w:rStyle w:val="Hyperlink"/>
          <w:rFonts w:ascii="Arial" w:hAnsi="Arial" w:cs="Arial"/>
          <w:color w:val="000000" w:themeColor="text1"/>
          <w:sz w:val="17"/>
          <w:szCs w:val="17"/>
          <w:u w:val="none"/>
          <w:lang w:val="en-GB"/>
        </w:rPr>
        <w:t xml:space="preserve"> Coffee </w:t>
      </w:r>
      <w:r w:rsidR="00FA2181" w:rsidRPr="00986894">
        <w:rPr>
          <w:rStyle w:val="Hyperlink"/>
          <w:rFonts w:ascii="Arial" w:hAnsi="Arial" w:cs="Arial"/>
          <w:color w:val="000000" w:themeColor="text1"/>
          <w:sz w:val="17"/>
          <w:szCs w:val="17"/>
          <w:u w:val="none"/>
          <w:lang w:val="en-GB"/>
        </w:rPr>
        <w:t>Inc.</w:t>
      </w:r>
      <w:r w:rsidRPr="00986894">
        <w:rPr>
          <w:rStyle w:val="Hyperlink"/>
          <w:rFonts w:ascii="Arial" w:hAnsi="Arial" w:cs="Arial"/>
          <w:color w:val="000000" w:themeColor="text1"/>
          <w:sz w:val="17"/>
          <w:szCs w:val="17"/>
          <w:u w:val="none"/>
          <w:lang w:val="en-GB"/>
        </w:rPr>
        <w:t>, “</w:t>
      </w:r>
      <w:r w:rsidR="00FA2181" w:rsidRPr="00986894">
        <w:rPr>
          <w:rStyle w:val="Hyperlink"/>
          <w:rFonts w:ascii="Arial" w:hAnsi="Arial" w:cs="Arial"/>
          <w:color w:val="000000" w:themeColor="text1"/>
          <w:sz w:val="17"/>
          <w:szCs w:val="17"/>
          <w:u w:val="none"/>
          <w:lang w:val="en-GB"/>
        </w:rPr>
        <w:t xml:space="preserve">Form F-1: </w:t>
      </w:r>
      <w:r w:rsidRPr="00986894">
        <w:rPr>
          <w:rStyle w:val="Hyperlink"/>
          <w:rFonts w:ascii="Arial" w:hAnsi="Arial" w:cs="Arial"/>
          <w:color w:val="000000" w:themeColor="text1"/>
          <w:sz w:val="17"/>
          <w:szCs w:val="17"/>
          <w:u w:val="none"/>
          <w:lang w:val="en-GB"/>
        </w:rPr>
        <w:t xml:space="preserve">Registration </w:t>
      </w:r>
      <w:r w:rsidR="00FA2181" w:rsidRPr="00986894">
        <w:rPr>
          <w:rStyle w:val="Hyperlink"/>
          <w:rFonts w:ascii="Arial" w:hAnsi="Arial" w:cs="Arial"/>
          <w:color w:val="000000" w:themeColor="text1"/>
          <w:sz w:val="17"/>
          <w:szCs w:val="17"/>
          <w:u w:val="none"/>
          <w:lang w:val="en-GB"/>
        </w:rPr>
        <w:t>Statement under The Securities Act of 1933—</w:t>
      </w:r>
      <w:proofErr w:type="spellStart"/>
      <w:r w:rsidR="00FA2181" w:rsidRPr="00986894">
        <w:rPr>
          <w:rStyle w:val="Hyperlink"/>
          <w:rFonts w:ascii="Arial" w:hAnsi="Arial" w:cs="Arial"/>
          <w:color w:val="000000" w:themeColor="text1"/>
          <w:sz w:val="17"/>
          <w:szCs w:val="17"/>
          <w:u w:val="none"/>
          <w:lang w:val="en-GB"/>
        </w:rPr>
        <w:t>Luckin</w:t>
      </w:r>
      <w:proofErr w:type="spellEnd"/>
      <w:r w:rsidR="00FA2181" w:rsidRPr="00986894">
        <w:rPr>
          <w:rStyle w:val="Hyperlink"/>
          <w:rFonts w:ascii="Arial" w:hAnsi="Arial" w:cs="Arial"/>
          <w:color w:val="000000" w:themeColor="text1"/>
          <w:sz w:val="17"/>
          <w:szCs w:val="17"/>
          <w:u w:val="none"/>
          <w:lang w:val="en-GB"/>
        </w:rPr>
        <w:t xml:space="preserve"> Coffee Inc.</w:t>
      </w:r>
      <w:r w:rsidRPr="00986894">
        <w:rPr>
          <w:rStyle w:val="Hyperlink"/>
          <w:rFonts w:ascii="Arial" w:hAnsi="Arial" w:cs="Arial"/>
          <w:color w:val="000000" w:themeColor="text1"/>
          <w:sz w:val="17"/>
          <w:szCs w:val="17"/>
          <w:u w:val="none"/>
          <w:lang w:val="en-GB"/>
        </w:rPr>
        <w:t xml:space="preserve">,” </w:t>
      </w:r>
      <w:r w:rsidR="003F0AD8">
        <w:rPr>
          <w:rStyle w:val="Hyperlink"/>
          <w:rFonts w:ascii="Arial" w:hAnsi="Arial" w:cs="Arial"/>
          <w:color w:val="000000" w:themeColor="text1"/>
          <w:sz w:val="17"/>
          <w:szCs w:val="17"/>
          <w:u w:val="none"/>
          <w:lang w:val="en-GB"/>
        </w:rPr>
        <w:t xml:space="preserve">United States Securities and Exchange Commission, </w:t>
      </w:r>
      <w:r w:rsidRPr="00986894">
        <w:rPr>
          <w:rStyle w:val="Hyperlink"/>
          <w:rFonts w:ascii="Arial" w:hAnsi="Arial" w:cs="Arial"/>
          <w:color w:val="000000" w:themeColor="text1"/>
          <w:sz w:val="17"/>
          <w:szCs w:val="17"/>
          <w:u w:val="none"/>
          <w:lang w:val="en-GB"/>
        </w:rPr>
        <w:t>January 7, 2020, accessed August 5, 2020, https://investor.luckincoffee.com/static-files/49701047-371e-406d-b5c5-c6ee6b891734</w:t>
      </w:r>
      <w:r w:rsidR="00FA2181" w:rsidRPr="00986894">
        <w:rPr>
          <w:rStyle w:val="Hyperlink"/>
          <w:rFonts w:ascii="Arial" w:hAnsi="Arial" w:cs="Arial"/>
          <w:color w:val="000000" w:themeColor="text1"/>
          <w:sz w:val="17"/>
          <w:szCs w:val="17"/>
          <w:u w:val="none"/>
          <w:lang w:val="en-GB"/>
        </w:rPr>
        <w:t>.</w:t>
      </w:r>
    </w:p>
    <w:p w14:paraId="515E0D2E" w14:textId="16DCE4B8" w:rsidR="00434F9E" w:rsidRPr="00986894" w:rsidRDefault="00434F9E">
      <w:pPr>
        <w:spacing w:after="200" w:line="276" w:lineRule="auto"/>
        <w:rPr>
          <w:rFonts w:ascii="Arial" w:hAnsi="Arial" w:cs="Arial"/>
          <w:b/>
          <w:lang w:val="en-GB"/>
        </w:rPr>
      </w:pPr>
      <w:r w:rsidRPr="00986894">
        <w:rPr>
          <w:rFonts w:ascii="Arial" w:hAnsi="Arial" w:cs="Arial"/>
          <w:b/>
          <w:lang w:val="en-GB"/>
        </w:rPr>
        <w:br w:type="page"/>
      </w:r>
    </w:p>
    <w:p w14:paraId="0B7AE0A3" w14:textId="2EF78E16" w:rsidR="000E293F" w:rsidRPr="00986894" w:rsidRDefault="000E293F" w:rsidP="00D606C4">
      <w:pPr>
        <w:pStyle w:val="ExhibitHeading"/>
      </w:pPr>
      <w:r w:rsidRPr="00986894">
        <w:lastRenderedPageBreak/>
        <w:t xml:space="preserve">EXHIBIT 3: </w:t>
      </w:r>
      <w:r w:rsidR="003C13E1" w:rsidRPr="00986894">
        <w:t>Luckin Coffee Inc.—</w:t>
      </w:r>
      <w:r w:rsidRPr="00986894">
        <w:t xml:space="preserve">OPERATING RESULTS as of end of quarter </w:t>
      </w:r>
    </w:p>
    <w:p w14:paraId="04088484" w14:textId="7AB92148" w:rsidR="000E293F" w:rsidRPr="00986894" w:rsidRDefault="000E293F" w:rsidP="006159C4">
      <w:pPr>
        <w:pStyle w:val="ExhibitHeading"/>
      </w:pPr>
      <w:r w:rsidRPr="00986894">
        <w:t xml:space="preserve">(IN </w:t>
      </w:r>
      <w:r w:rsidR="00FA2181" w:rsidRPr="00986894">
        <w:t xml:space="preserve">¥ </w:t>
      </w:r>
      <w:r w:rsidRPr="00986894">
        <w:t>THOUSANDS)</w:t>
      </w:r>
    </w:p>
    <w:p w14:paraId="55D07160" w14:textId="77777777" w:rsidR="000E293F" w:rsidRPr="00986894" w:rsidRDefault="000E293F" w:rsidP="000E293F">
      <w:pPr>
        <w:tabs>
          <w:tab w:val="left" w:pos="6155"/>
        </w:tabs>
        <w:contextualSpacing/>
        <w:jc w:val="center"/>
        <w:rPr>
          <w:rFonts w:ascii="Arial" w:hAnsi="Arial" w:cs="Arial"/>
          <w:b/>
          <w:lang w:val="en-GB"/>
        </w:rPr>
      </w:pPr>
    </w:p>
    <w:tbl>
      <w:tblPr>
        <w:tblStyle w:val="TableGrid"/>
        <w:tblW w:w="9360" w:type="dxa"/>
        <w:jc w:val="center"/>
        <w:tblLayout w:type="fixed"/>
        <w:tblLook w:val="04A0" w:firstRow="1" w:lastRow="0" w:firstColumn="1" w:lastColumn="0" w:noHBand="0" w:noVBand="1"/>
        <w:tblCaption w:val="Exhibit 3"/>
        <w:tblDescription w:val="Table of operating results as of the end of quarter from 2017 to 2019."/>
      </w:tblPr>
      <w:tblGrid>
        <w:gridCol w:w="1710"/>
        <w:gridCol w:w="900"/>
        <w:gridCol w:w="900"/>
        <w:gridCol w:w="900"/>
        <w:gridCol w:w="990"/>
        <w:gridCol w:w="1080"/>
        <w:gridCol w:w="900"/>
        <w:gridCol w:w="1080"/>
        <w:gridCol w:w="900"/>
      </w:tblGrid>
      <w:tr w:rsidR="000E293F" w:rsidRPr="00986894" w14:paraId="63097658" w14:textId="77777777" w:rsidTr="00CD7A66">
        <w:trPr>
          <w:tblHeader/>
          <w:jc w:val="center"/>
        </w:trPr>
        <w:tc>
          <w:tcPr>
            <w:tcW w:w="1710" w:type="dxa"/>
          </w:tcPr>
          <w:p w14:paraId="389A5D45" w14:textId="77777777" w:rsidR="000E293F" w:rsidRPr="00952FE3" w:rsidRDefault="000E293F" w:rsidP="00194809">
            <w:pPr>
              <w:tabs>
                <w:tab w:val="left" w:pos="6155"/>
              </w:tabs>
              <w:contextualSpacing/>
              <w:jc w:val="center"/>
              <w:rPr>
                <w:rFonts w:ascii="Arial" w:hAnsi="Arial" w:cs="Arial"/>
                <w:b/>
                <w:bCs/>
                <w:sz w:val="18"/>
                <w:szCs w:val="18"/>
                <w:lang w:val="en-GB"/>
              </w:rPr>
            </w:pPr>
          </w:p>
        </w:tc>
        <w:tc>
          <w:tcPr>
            <w:tcW w:w="900" w:type="dxa"/>
          </w:tcPr>
          <w:p w14:paraId="2FB77E06" w14:textId="0A13BFF3" w:rsidR="000E293F" w:rsidRPr="00952FE3" w:rsidRDefault="000E293F">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Dec</w:t>
            </w:r>
            <w:r w:rsidR="00FA2181" w:rsidRPr="00986894">
              <w:rPr>
                <w:rFonts w:ascii="Arial" w:hAnsi="Arial" w:cs="Arial"/>
                <w:b/>
                <w:bCs/>
                <w:sz w:val="18"/>
                <w:szCs w:val="18"/>
                <w:lang w:val="en-GB"/>
              </w:rPr>
              <w:t xml:space="preserve"> </w:t>
            </w:r>
            <w:r w:rsidRPr="00952FE3">
              <w:rPr>
                <w:rFonts w:ascii="Arial" w:hAnsi="Arial" w:cs="Arial"/>
                <w:b/>
                <w:bCs/>
                <w:sz w:val="18"/>
                <w:szCs w:val="18"/>
                <w:lang w:val="en-GB"/>
              </w:rPr>
              <w:t>2017</w:t>
            </w:r>
          </w:p>
        </w:tc>
        <w:tc>
          <w:tcPr>
            <w:tcW w:w="900" w:type="dxa"/>
          </w:tcPr>
          <w:p w14:paraId="2D6A6919" w14:textId="77777777" w:rsidR="000E293F" w:rsidRPr="00952FE3"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Mar 2018</w:t>
            </w:r>
          </w:p>
        </w:tc>
        <w:tc>
          <w:tcPr>
            <w:tcW w:w="900" w:type="dxa"/>
          </w:tcPr>
          <w:p w14:paraId="664EB168" w14:textId="77777777" w:rsidR="000E293F" w:rsidRPr="00952FE3"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Jun 2018</w:t>
            </w:r>
          </w:p>
        </w:tc>
        <w:tc>
          <w:tcPr>
            <w:tcW w:w="990" w:type="dxa"/>
          </w:tcPr>
          <w:p w14:paraId="73F8CE00" w14:textId="77777777" w:rsidR="000E293F" w:rsidRPr="00952FE3"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Sep 2018</w:t>
            </w:r>
          </w:p>
        </w:tc>
        <w:tc>
          <w:tcPr>
            <w:tcW w:w="1080" w:type="dxa"/>
          </w:tcPr>
          <w:p w14:paraId="473B7851" w14:textId="77777777" w:rsidR="00D4751A"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 xml:space="preserve">Dec </w:t>
            </w:r>
          </w:p>
          <w:p w14:paraId="2B03D36E" w14:textId="4F838963" w:rsidR="000E293F" w:rsidRPr="00952FE3"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2018</w:t>
            </w:r>
          </w:p>
        </w:tc>
        <w:tc>
          <w:tcPr>
            <w:tcW w:w="900" w:type="dxa"/>
          </w:tcPr>
          <w:p w14:paraId="4CD2FF7F" w14:textId="77777777" w:rsidR="000E293F" w:rsidRPr="00952FE3"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Mar 2019</w:t>
            </w:r>
          </w:p>
        </w:tc>
        <w:tc>
          <w:tcPr>
            <w:tcW w:w="1080" w:type="dxa"/>
          </w:tcPr>
          <w:p w14:paraId="043A87EA" w14:textId="77777777" w:rsidR="00D4751A" w:rsidRDefault="000E293F">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 xml:space="preserve">Jun </w:t>
            </w:r>
          </w:p>
          <w:p w14:paraId="0BFA46E6" w14:textId="547CD387" w:rsidR="000E293F" w:rsidRPr="00952FE3" w:rsidRDefault="000E293F">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2019</w:t>
            </w:r>
          </w:p>
        </w:tc>
        <w:tc>
          <w:tcPr>
            <w:tcW w:w="900" w:type="dxa"/>
          </w:tcPr>
          <w:p w14:paraId="53CBD2BC" w14:textId="77777777" w:rsidR="00D4751A"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 xml:space="preserve">Sep </w:t>
            </w:r>
          </w:p>
          <w:p w14:paraId="1B7E9AE8" w14:textId="4D605754" w:rsidR="000E293F" w:rsidRPr="00952FE3" w:rsidRDefault="000E293F" w:rsidP="00194809">
            <w:pPr>
              <w:tabs>
                <w:tab w:val="left" w:pos="6155"/>
              </w:tabs>
              <w:contextualSpacing/>
              <w:jc w:val="center"/>
              <w:rPr>
                <w:rFonts w:ascii="Arial" w:hAnsi="Arial" w:cs="Arial"/>
                <w:b/>
                <w:bCs/>
                <w:sz w:val="18"/>
                <w:szCs w:val="18"/>
                <w:lang w:val="en-GB"/>
              </w:rPr>
            </w:pPr>
            <w:r w:rsidRPr="00952FE3">
              <w:rPr>
                <w:rFonts w:ascii="Arial" w:hAnsi="Arial" w:cs="Arial"/>
                <w:b/>
                <w:bCs/>
                <w:sz w:val="18"/>
                <w:szCs w:val="18"/>
                <w:lang w:val="en-GB"/>
              </w:rPr>
              <w:t>2019</w:t>
            </w:r>
          </w:p>
        </w:tc>
      </w:tr>
      <w:tr w:rsidR="000E293F" w:rsidRPr="00986894" w14:paraId="68D4E75C" w14:textId="77777777" w:rsidTr="00CD7A66">
        <w:trPr>
          <w:tblHeader/>
          <w:jc w:val="center"/>
        </w:trPr>
        <w:tc>
          <w:tcPr>
            <w:tcW w:w="1710" w:type="dxa"/>
          </w:tcPr>
          <w:p w14:paraId="7D0DF36B" w14:textId="77777777" w:rsidR="000E293F" w:rsidRPr="00986894" w:rsidRDefault="000E293F" w:rsidP="00194809">
            <w:pPr>
              <w:tabs>
                <w:tab w:val="left" w:pos="6155"/>
              </w:tabs>
              <w:contextualSpacing/>
              <w:rPr>
                <w:rFonts w:ascii="Arial" w:hAnsi="Arial" w:cs="Arial"/>
                <w:bCs/>
                <w:sz w:val="18"/>
                <w:szCs w:val="18"/>
                <w:lang w:val="en-GB"/>
              </w:rPr>
            </w:pPr>
            <w:r w:rsidRPr="00986894">
              <w:rPr>
                <w:rFonts w:ascii="Arial" w:hAnsi="Arial" w:cs="Arial"/>
                <w:bCs/>
                <w:sz w:val="18"/>
                <w:szCs w:val="18"/>
                <w:lang w:val="en-GB"/>
              </w:rPr>
              <w:t>Net Revenues</w:t>
            </w:r>
          </w:p>
        </w:tc>
        <w:tc>
          <w:tcPr>
            <w:tcW w:w="900" w:type="dxa"/>
          </w:tcPr>
          <w:p w14:paraId="1B404DD4"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0CF67E88"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6760E9F1"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90" w:type="dxa"/>
          </w:tcPr>
          <w:p w14:paraId="0BFBA7C8"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50606657"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1D430AC6"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30010860"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32AB186D"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4D930623" w14:textId="77777777" w:rsidTr="00CD7A66">
        <w:trPr>
          <w:tblHeader/>
          <w:jc w:val="center"/>
        </w:trPr>
        <w:tc>
          <w:tcPr>
            <w:tcW w:w="1710" w:type="dxa"/>
          </w:tcPr>
          <w:p w14:paraId="4ABCA57D" w14:textId="4DFD0427" w:rsidR="000E293F" w:rsidRPr="00986894" w:rsidRDefault="000E293F" w:rsidP="00952FE3">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Freshly </w:t>
            </w:r>
            <w:r w:rsidR="00FA2181" w:rsidRPr="00986894">
              <w:rPr>
                <w:rFonts w:ascii="Arial" w:hAnsi="Arial" w:cs="Arial"/>
                <w:bCs/>
                <w:sz w:val="18"/>
                <w:szCs w:val="18"/>
                <w:lang w:val="en-GB"/>
              </w:rPr>
              <w:t>Brewed Drinks</w:t>
            </w:r>
          </w:p>
        </w:tc>
        <w:tc>
          <w:tcPr>
            <w:tcW w:w="900" w:type="dxa"/>
          </w:tcPr>
          <w:p w14:paraId="422589E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215</w:t>
            </w:r>
          </w:p>
        </w:tc>
        <w:tc>
          <w:tcPr>
            <w:tcW w:w="900" w:type="dxa"/>
          </w:tcPr>
          <w:p w14:paraId="3528F09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9,575</w:t>
            </w:r>
          </w:p>
        </w:tc>
        <w:tc>
          <w:tcPr>
            <w:tcW w:w="900" w:type="dxa"/>
          </w:tcPr>
          <w:p w14:paraId="7EA279C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100,518</w:t>
            </w:r>
          </w:p>
        </w:tc>
        <w:tc>
          <w:tcPr>
            <w:tcW w:w="990" w:type="dxa"/>
          </w:tcPr>
          <w:p w14:paraId="3A2634C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192,666</w:t>
            </w:r>
          </w:p>
        </w:tc>
        <w:tc>
          <w:tcPr>
            <w:tcW w:w="1080" w:type="dxa"/>
          </w:tcPr>
          <w:p w14:paraId="66C3E21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346,850</w:t>
            </w:r>
          </w:p>
        </w:tc>
        <w:tc>
          <w:tcPr>
            <w:tcW w:w="900" w:type="dxa"/>
          </w:tcPr>
          <w:p w14:paraId="03C5EC8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361,095</w:t>
            </w:r>
          </w:p>
        </w:tc>
        <w:tc>
          <w:tcPr>
            <w:tcW w:w="1080" w:type="dxa"/>
          </w:tcPr>
          <w:p w14:paraId="5B1055F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659,161</w:t>
            </w:r>
          </w:p>
        </w:tc>
        <w:tc>
          <w:tcPr>
            <w:tcW w:w="900" w:type="dxa"/>
          </w:tcPr>
          <w:p w14:paraId="1CBE5A1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1,145,358</w:t>
            </w:r>
          </w:p>
        </w:tc>
      </w:tr>
      <w:tr w:rsidR="000E293F" w:rsidRPr="00986894" w14:paraId="1C29DDFF" w14:textId="77777777" w:rsidTr="00CD7A66">
        <w:trPr>
          <w:tblHeader/>
          <w:jc w:val="center"/>
        </w:trPr>
        <w:tc>
          <w:tcPr>
            <w:tcW w:w="1710" w:type="dxa"/>
          </w:tcPr>
          <w:p w14:paraId="1C5F4821" w14:textId="2A2E1EE8" w:rsidR="000E293F" w:rsidRPr="00986894" w:rsidRDefault="000E293F" w:rsidP="00952FE3">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Other </w:t>
            </w:r>
            <w:r w:rsidR="00FA2181" w:rsidRPr="00986894">
              <w:rPr>
                <w:rFonts w:ascii="Arial" w:hAnsi="Arial" w:cs="Arial"/>
                <w:bCs/>
                <w:sz w:val="18"/>
                <w:szCs w:val="18"/>
                <w:lang w:val="en-GB"/>
              </w:rPr>
              <w:t>Products</w:t>
            </w:r>
          </w:p>
        </w:tc>
        <w:tc>
          <w:tcPr>
            <w:tcW w:w="900" w:type="dxa"/>
          </w:tcPr>
          <w:p w14:paraId="0E5EE48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25</w:t>
            </w:r>
          </w:p>
        </w:tc>
        <w:tc>
          <w:tcPr>
            <w:tcW w:w="900" w:type="dxa"/>
          </w:tcPr>
          <w:p w14:paraId="6972781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1,403</w:t>
            </w:r>
          </w:p>
        </w:tc>
        <w:tc>
          <w:tcPr>
            <w:tcW w:w="900" w:type="dxa"/>
          </w:tcPr>
          <w:p w14:paraId="677520A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8,449</w:t>
            </w:r>
          </w:p>
        </w:tc>
        <w:tc>
          <w:tcPr>
            <w:tcW w:w="990" w:type="dxa"/>
          </w:tcPr>
          <w:p w14:paraId="1371B56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34,397</w:t>
            </w:r>
          </w:p>
        </w:tc>
        <w:tc>
          <w:tcPr>
            <w:tcW w:w="1080" w:type="dxa"/>
          </w:tcPr>
          <w:p w14:paraId="0C480B8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91,393</w:t>
            </w:r>
          </w:p>
        </w:tc>
        <w:tc>
          <w:tcPr>
            <w:tcW w:w="900" w:type="dxa"/>
          </w:tcPr>
          <w:p w14:paraId="42EE0F5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83,980</w:t>
            </w:r>
          </w:p>
        </w:tc>
        <w:tc>
          <w:tcPr>
            <w:tcW w:w="1080" w:type="dxa"/>
          </w:tcPr>
          <w:p w14:paraId="41CFF87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210,835</w:t>
            </w:r>
          </w:p>
        </w:tc>
        <w:tc>
          <w:tcPr>
            <w:tcW w:w="900" w:type="dxa"/>
          </w:tcPr>
          <w:p w14:paraId="627ACD7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347,847</w:t>
            </w:r>
          </w:p>
        </w:tc>
      </w:tr>
      <w:tr w:rsidR="000E293F" w:rsidRPr="00986894" w14:paraId="6E3DFB21" w14:textId="77777777" w:rsidTr="00CD7A66">
        <w:trPr>
          <w:tblHeader/>
          <w:jc w:val="center"/>
        </w:trPr>
        <w:tc>
          <w:tcPr>
            <w:tcW w:w="1710" w:type="dxa"/>
          </w:tcPr>
          <w:p w14:paraId="0D365236" w14:textId="5CFF6274" w:rsidR="000E293F" w:rsidRPr="00986894" w:rsidRDefault="00FA2181" w:rsidP="00952FE3">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Others</w:t>
            </w:r>
          </w:p>
        </w:tc>
        <w:tc>
          <w:tcPr>
            <w:tcW w:w="900" w:type="dxa"/>
          </w:tcPr>
          <w:p w14:paraId="77FC9B8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w:t>
            </w:r>
          </w:p>
        </w:tc>
        <w:tc>
          <w:tcPr>
            <w:tcW w:w="900" w:type="dxa"/>
          </w:tcPr>
          <w:p w14:paraId="30E7C04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1,976</w:t>
            </w:r>
          </w:p>
        </w:tc>
        <w:tc>
          <w:tcPr>
            <w:tcW w:w="900" w:type="dxa"/>
          </w:tcPr>
          <w:p w14:paraId="45C7E75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12,542</w:t>
            </w:r>
          </w:p>
        </w:tc>
        <w:tc>
          <w:tcPr>
            <w:tcW w:w="990" w:type="dxa"/>
          </w:tcPr>
          <w:p w14:paraId="2101D68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13,736</w:t>
            </w:r>
          </w:p>
        </w:tc>
        <w:tc>
          <w:tcPr>
            <w:tcW w:w="1080" w:type="dxa"/>
          </w:tcPr>
          <w:p w14:paraId="5E8F090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27,190</w:t>
            </w:r>
          </w:p>
        </w:tc>
        <w:tc>
          <w:tcPr>
            <w:tcW w:w="900" w:type="dxa"/>
          </w:tcPr>
          <w:p w14:paraId="305A162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33,435</w:t>
            </w:r>
          </w:p>
        </w:tc>
        <w:tc>
          <w:tcPr>
            <w:tcW w:w="1080" w:type="dxa"/>
          </w:tcPr>
          <w:p w14:paraId="0B11A4E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39,119</w:t>
            </w:r>
          </w:p>
        </w:tc>
        <w:tc>
          <w:tcPr>
            <w:tcW w:w="900" w:type="dxa"/>
          </w:tcPr>
          <w:p w14:paraId="3EEEE7C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48,386</w:t>
            </w:r>
          </w:p>
        </w:tc>
      </w:tr>
      <w:tr w:rsidR="000E293F" w:rsidRPr="00986894" w14:paraId="3BA6FF33" w14:textId="77777777" w:rsidTr="00CD7A66">
        <w:trPr>
          <w:tblHeader/>
          <w:jc w:val="center"/>
        </w:trPr>
        <w:tc>
          <w:tcPr>
            <w:tcW w:w="1710" w:type="dxa"/>
          </w:tcPr>
          <w:p w14:paraId="5AD81247" w14:textId="20FDDDA3" w:rsidR="000E293F" w:rsidRPr="00986894" w:rsidRDefault="000E293F" w:rsidP="00952FE3">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Total </w:t>
            </w:r>
            <w:r w:rsidR="00FA2181" w:rsidRPr="00986894">
              <w:rPr>
                <w:rFonts w:ascii="Arial" w:hAnsi="Arial" w:cs="Arial"/>
                <w:bCs/>
                <w:sz w:val="18"/>
                <w:szCs w:val="18"/>
                <w:lang w:val="en-GB"/>
              </w:rPr>
              <w:t>Net Revenues</w:t>
            </w:r>
          </w:p>
        </w:tc>
        <w:tc>
          <w:tcPr>
            <w:tcW w:w="900" w:type="dxa"/>
          </w:tcPr>
          <w:p w14:paraId="2E42203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250</w:t>
            </w:r>
          </w:p>
        </w:tc>
        <w:tc>
          <w:tcPr>
            <w:tcW w:w="900" w:type="dxa"/>
          </w:tcPr>
          <w:p w14:paraId="39DA791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12,954</w:t>
            </w:r>
          </w:p>
        </w:tc>
        <w:tc>
          <w:tcPr>
            <w:tcW w:w="900" w:type="dxa"/>
          </w:tcPr>
          <w:p w14:paraId="0D64D13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121,509</w:t>
            </w:r>
          </w:p>
        </w:tc>
        <w:tc>
          <w:tcPr>
            <w:tcW w:w="990" w:type="dxa"/>
          </w:tcPr>
          <w:p w14:paraId="6FBAB44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240,799</w:t>
            </w:r>
          </w:p>
        </w:tc>
        <w:tc>
          <w:tcPr>
            <w:tcW w:w="1080" w:type="dxa"/>
          </w:tcPr>
          <w:p w14:paraId="68A2A8F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465,433</w:t>
            </w:r>
          </w:p>
        </w:tc>
        <w:tc>
          <w:tcPr>
            <w:tcW w:w="900" w:type="dxa"/>
          </w:tcPr>
          <w:p w14:paraId="4339B75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478,510</w:t>
            </w:r>
          </w:p>
        </w:tc>
        <w:tc>
          <w:tcPr>
            <w:tcW w:w="1080" w:type="dxa"/>
          </w:tcPr>
          <w:p w14:paraId="183C799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909,115</w:t>
            </w:r>
          </w:p>
        </w:tc>
        <w:tc>
          <w:tcPr>
            <w:tcW w:w="900" w:type="dxa"/>
          </w:tcPr>
          <w:p w14:paraId="6311C45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1,541,591</w:t>
            </w:r>
          </w:p>
        </w:tc>
      </w:tr>
      <w:tr w:rsidR="000E293F" w:rsidRPr="00986894" w14:paraId="05167E98" w14:textId="77777777" w:rsidTr="00CD7A66">
        <w:trPr>
          <w:tblHeader/>
          <w:jc w:val="center"/>
        </w:trPr>
        <w:tc>
          <w:tcPr>
            <w:tcW w:w="1710" w:type="dxa"/>
          </w:tcPr>
          <w:p w14:paraId="10991216" w14:textId="5B954912" w:rsidR="000E293F" w:rsidRPr="00986894" w:rsidRDefault="00FA2181" w:rsidP="00194809">
            <w:pPr>
              <w:tabs>
                <w:tab w:val="left" w:pos="6155"/>
              </w:tabs>
              <w:contextualSpacing/>
              <w:rPr>
                <w:rFonts w:ascii="Arial" w:hAnsi="Arial" w:cs="Arial"/>
                <w:bCs/>
                <w:sz w:val="18"/>
                <w:szCs w:val="18"/>
                <w:lang w:val="en-GB"/>
              </w:rPr>
            </w:pPr>
            <w:r w:rsidRPr="00986894">
              <w:rPr>
                <w:rFonts w:ascii="Arial" w:hAnsi="Arial" w:cs="Arial"/>
                <w:bCs/>
                <w:sz w:val="18"/>
                <w:szCs w:val="18"/>
                <w:lang w:val="en-GB"/>
              </w:rPr>
              <w:t>Operating Expenses</w:t>
            </w:r>
          </w:p>
        </w:tc>
        <w:tc>
          <w:tcPr>
            <w:tcW w:w="900" w:type="dxa"/>
          </w:tcPr>
          <w:p w14:paraId="5B577F34"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46B7C3FC"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12E66913"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90" w:type="dxa"/>
          </w:tcPr>
          <w:p w14:paraId="2C59BF2B"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0A07901E"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5F308AEA"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644E1FCD"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2426F1C9"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48E7D24A" w14:textId="77777777" w:rsidTr="00CD7A66">
        <w:trPr>
          <w:tblHeader/>
          <w:jc w:val="center"/>
        </w:trPr>
        <w:tc>
          <w:tcPr>
            <w:tcW w:w="1710" w:type="dxa"/>
          </w:tcPr>
          <w:p w14:paraId="4B034723" w14:textId="2E331450" w:rsidR="000E293F" w:rsidRPr="00986894" w:rsidRDefault="000E293F" w:rsidP="00952FE3">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Cost </w:t>
            </w:r>
            <w:r w:rsidR="00AA73DB">
              <w:rPr>
                <w:rFonts w:ascii="Arial" w:hAnsi="Arial" w:cs="Arial"/>
                <w:bCs/>
                <w:sz w:val="18"/>
                <w:szCs w:val="18"/>
                <w:lang w:val="en-GB"/>
              </w:rPr>
              <w:t>o</w:t>
            </w:r>
            <w:r w:rsidR="00AA73DB" w:rsidRPr="00986894">
              <w:rPr>
                <w:rFonts w:ascii="Arial" w:hAnsi="Arial" w:cs="Arial"/>
                <w:bCs/>
                <w:sz w:val="18"/>
                <w:szCs w:val="18"/>
                <w:lang w:val="en-GB"/>
              </w:rPr>
              <w:t xml:space="preserve">f </w:t>
            </w:r>
            <w:r w:rsidR="00FA2181" w:rsidRPr="00986894">
              <w:rPr>
                <w:rFonts w:ascii="Arial" w:hAnsi="Arial" w:cs="Arial"/>
                <w:bCs/>
                <w:sz w:val="18"/>
                <w:szCs w:val="18"/>
                <w:lang w:val="en-GB"/>
              </w:rPr>
              <w:t>Materials</w:t>
            </w:r>
          </w:p>
        </w:tc>
        <w:tc>
          <w:tcPr>
            <w:tcW w:w="900" w:type="dxa"/>
          </w:tcPr>
          <w:p w14:paraId="57CCF336"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6C9B553A"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1E218084"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90" w:type="dxa"/>
          </w:tcPr>
          <w:p w14:paraId="064C17E8"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303DCB7E"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4DB45AB1"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1B0821CD"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220585B9"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1718BB58" w14:textId="77777777" w:rsidTr="00CD7A66">
        <w:trPr>
          <w:tblHeader/>
          <w:jc w:val="center"/>
        </w:trPr>
        <w:tc>
          <w:tcPr>
            <w:tcW w:w="1710" w:type="dxa"/>
          </w:tcPr>
          <w:p w14:paraId="007B30B0" w14:textId="1DC53C24" w:rsidR="000E293F" w:rsidRPr="00986894" w:rsidRDefault="000E293F"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 xml:space="preserve">Freshly </w:t>
            </w:r>
            <w:r w:rsidR="00FA2181" w:rsidRPr="00986894">
              <w:rPr>
                <w:rFonts w:ascii="Arial" w:hAnsi="Arial" w:cs="Arial"/>
                <w:bCs/>
                <w:sz w:val="18"/>
                <w:szCs w:val="18"/>
                <w:lang w:val="en-GB"/>
              </w:rPr>
              <w:t>Brewed Drinks</w:t>
            </w:r>
          </w:p>
        </w:tc>
        <w:tc>
          <w:tcPr>
            <w:tcW w:w="900" w:type="dxa"/>
          </w:tcPr>
          <w:p w14:paraId="11076E3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269</w:t>
            </w:r>
          </w:p>
        </w:tc>
        <w:tc>
          <w:tcPr>
            <w:tcW w:w="900" w:type="dxa"/>
          </w:tcPr>
          <w:p w14:paraId="651BCFC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4,309</w:t>
            </w:r>
          </w:p>
        </w:tc>
        <w:tc>
          <w:tcPr>
            <w:tcW w:w="900" w:type="dxa"/>
          </w:tcPr>
          <w:p w14:paraId="76FEF98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45,475</w:t>
            </w:r>
          </w:p>
        </w:tc>
        <w:tc>
          <w:tcPr>
            <w:tcW w:w="990" w:type="dxa"/>
          </w:tcPr>
          <w:p w14:paraId="2EB82F6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86,071</w:t>
            </w:r>
          </w:p>
        </w:tc>
        <w:tc>
          <w:tcPr>
            <w:tcW w:w="1080" w:type="dxa"/>
          </w:tcPr>
          <w:p w14:paraId="6AFF371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154,969</w:t>
            </w:r>
          </w:p>
        </w:tc>
        <w:tc>
          <w:tcPr>
            <w:tcW w:w="900" w:type="dxa"/>
          </w:tcPr>
          <w:p w14:paraId="5BF161C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164,022</w:t>
            </w:r>
          </w:p>
        </w:tc>
        <w:tc>
          <w:tcPr>
            <w:tcW w:w="1080" w:type="dxa"/>
            <w:vMerge w:val="restart"/>
            <w:vAlign w:val="center"/>
          </w:tcPr>
          <w:p w14:paraId="56418D1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465,822</w:t>
            </w:r>
          </w:p>
        </w:tc>
        <w:tc>
          <w:tcPr>
            <w:tcW w:w="900" w:type="dxa"/>
            <w:vMerge w:val="restart"/>
            <w:vAlign w:val="center"/>
          </w:tcPr>
          <w:p w14:paraId="2BCDF40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721,129</w:t>
            </w:r>
          </w:p>
        </w:tc>
      </w:tr>
      <w:tr w:rsidR="000E293F" w:rsidRPr="00986894" w14:paraId="532371AA" w14:textId="77777777" w:rsidTr="00CD7A66">
        <w:trPr>
          <w:tblHeader/>
          <w:jc w:val="center"/>
        </w:trPr>
        <w:tc>
          <w:tcPr>
            <w:tcW w:w="1710" w:type="dxa"/>
          </w:tcPr>
          <w:p w14:paraId="2AD7D4EB" w14:textId="5663394E" w:rsidR="000E293F" w:rsidRPr="00986894" w:rsidRDefault="000E293F"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 xml:space="preserve">Other </w:t>
            </w:r>
            <w:r w:rsidR="00FA2181" w:rsidRPr="00986894">
              <w:rPr>
                <w:rFonts w:ascii="Arial" w:hAnsi="Arial" w:cs="Arial"/>
                <w:bCs/>
                <w:sz w:val="18"/>
                <w:szCs w:val="18"/>
                <w:lang w:val="en-GB"/>
              </w:rPr>
              <w:t>Products</w:t>
            </w:r>
          </w:p>
        </w:tc>
        <w:tc>
          <w:tcPr>
            <w:tcW w:w="900" w:type="dxa"/>
          </w:tcPr>
          <w:p w14:paraId="35100CD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40</w:t>
            </w:r>
          </w:p>
        </w:tc>
        <w:tc>
          <w:tcPr>
            <w:tcW w:w="900" w:type="dxa"/>
          </w:tcPr>
          <w:p w14:paraId="43C898C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1,072</w:t>
            </w:r>
          </w:p>
        </w:tc>
        <w:tc>
          <w:tcPr>
            <w:tcW w:w="900" w:type="dxa"/>
          </w:tcPr>
          <w:p w14:paraId="0199BE8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7,702</w:t>
            </w:r>
          </w:p>
        </w:tc>
        <w:tc>
          <w:tcPr>
            <w:tcW w:w="990" w:type="dxa"/>
          </w:tcPr>
          <w:p w14:paraId="022EBEF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29,114</w:t>
            </w:r>
          </w:p>
        </w:tc>
        <w:tc>
          <w:tcPr>
            <w:tcW w:w="1080" w:type="dxa"/>
          </w:tcPr>
          <w:p w14:paraId="5660207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83,254</w:t>
            </w:r>
          </w:p>
        </w:tc>
        <w:tc>
          <w:tcPr>
            <w:tcW w:w="900" w:type="dxa"/>
          </w:tcPr>
          <w:p w14:paraId="40CA05F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71,677</w:t>
            </w:r>
          </w:p>
        </w:tc>
        <w:tc>
          <w:tcPr>
            <w:tcW w:w="1080" w:type="dxa"/>
            <w:vMerge/>
          </w:tcPr>
          <w:p w14:paraId="21540E68"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30B9634E"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1641852F" w14:textId="77777777" w:rsidTr="00CD7A66">
        <w:trPr>
          <w:tblHeader/>
          <w:jc w:val="center"/>
        </w:trPr>
        <w:tc>
          <w:tcPr>
            <w:tcW w:w="1710" w:type="dxa"/>
          </w:tcPr>
          <w:p w14:paraId="11CC67CB" w14:textId="7F4F5D79" w:rsidR="000E293F" w:rsidRPr="00986894" w:rsidRDefault="00FA2181"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Consumables</w:t>
            </w:r>
          </w:p>
        </w:tc>
        <w:tc>
          <w:tcPr>
            <w:tcW w:w="900" w:type="dxa"/>
          </w:tcPr>
          <w:p w14:paraId="69B692D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339</w:t>
            </w:r>
          </w:p>
        </w:tc>
        <w:tc>
          <w:tcPr>
            <w:tcW w:w="900" w:type="dxa"/>
          </w:tcPr>
          <w:p w14:paraId="1C2C0F8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1,606</w:t>
            </w:r>
          </w:p>
        </w:tc>
        <w:tc>
          <w:tcPr>
            <w:tcW w:w="900" w:type="dxa"/>
          </w:tcPr>
          <w:p w14:paraId="615BBA0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12,897</w:t>
            </w:r>
          </w:p>
        </w:tc>
        <w:tc>
          <w:tcPr>
            <w:tcW w:w="990" w:type="dxa"/>
          </w:tcPr>
          <w:p w14:paraId="16FD7E0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13,372</w:t>
            </w:r>
          </w:p>
        </w:tc>
        <w:tc>
          <w:tcPr>
            <w:tcW w:w="1080" w:type="dxa"/>
          </w:tcPr>
          <w:p w14:paraId="3A89D604" w14:textId="539BE6DA" w:rsidR="000E293F" w:rsidRPr="00986894" w:rsidRDefault="000E293F" w:rsidP="001F1D6F">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14,507</w:t>
            </w:r>
          </w:p>
        </w:tc>
        <w:tc>
          <w:tcPr>
            <w:tcW w:w="900" w:type="dxa"/>
          </w:tcPr>
          <w:p w14:paraId="54E4299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7,565</w:t>
            </w:r>
          </w:p>
        </w:tc>
        <w:tc>
          <w:tcPr>
            <w:tcW w:w="1080" w:type="dxa"/>
            <w:vMerge/>
          </w:tcPr>
          <w:p w14:paraId="501BC93D"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55040505"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2CA2F619" w14:textId="77777777" w:rsidTr="00CD7A66">
        <w:trPr>
          <w:tblHeader/>
          <w:jc w:val="center"/>
        </w:trPr>
        <w:tc>
          <w:tcPr>
            <w:tcW w:w="1710" w:type="dxa"/>
          </w:tcPr>
          <w:p w14:paraId="6A9F12EB" w14:textId="695200D8" w:rsidR="000E293F" w:rsidRPr="00986894" w:rsidRDefault="000E293F"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 xml:space="preserve">Storage </w:t>
            </w:r>
            <w:r w:rsidR="00FA2181" w:rsidRPr="00986894">
              <w:rPr>
                <w:rFonts w:ascii="Arial" w:hAnsi="Arial" w:cs="Arial"/>
                <w:bCs/>
                <w:sz w:val="18"/>
                <w:szCs w:val="18"/>
                <w:lang w:val="en-GB"/>
              </w:rPr>
              <w:t>Fees</w:t>
            </w:r>
          </w:p>
        </w:tc>
        <w:tc>
          <w:tcPr>
            <w:tcW w:w="900" w:type="dxa"/>
          </w:tcPr>
          <w:p w14:paraId="73A5C01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w:t>
            </w:r>
          </w:p>
        </w:tc>
        <w:tc>
          <w:tcPr>
            <w:tcW w:w="900" w:type="dxa"/>
          </w:tcPr>
          <w:p w14:paraId="38C678A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631</w:t>
            </w:r>
          </w:p>
        </w:tc>
        <w:tc>
          <w:tcPr>
            <w:tcW w:w="900" w:type="dxa"/>
          </w:tcPr>
          <w:p w14:paraId="310FCAA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3,402</w:t>
            </w:r>
          </w:p>
        </w:tc>
        <w:tc>
          <w:tcPr>
            <w:tcW w:w="990" w:type="dxa"/>
          </w:tcPr>
          <w:p w14:paraId="45DD572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2,600</w:t>
            </w:r>
          </w:p>
        </w:tc>
        <w:tc>
          <w:tcPr>
            <w:tcW w:w="1080" w:type="dxa"/>
          </w:tcPr>
          <w:p w14:paraId="57657D1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26,142</w:t>
            </w:r>
          </w:p>
        </w:tc>
        <w:tc>
          <w:tcPr>
            <w:tcW w:w="900" w:type="dxa"/>
          </w:tcPr>
          <w:p w14:paraId="6B7D845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14,217</w:t>
            </w:r>
          </w:p>
        </w:tc>
        <w:tc>
          <w:tcPr>
            <w:tcW w:w="1080" w:type="dxa"/>
            <w:vMerge/>
          </w:tcPr>
          <w:p w14:paraId="494C0B40"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05586EE5"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37E6F639" w14:textId="77777777" w:rsidTr="00CD7A66">
        <w:trPr>
          <w:tblHeader/>
          <w:jc w:val="center"/>
        </w:trPr>
        <w:tc>
          <w:tcPr>
            <w:tcW w:w="1710" w:type="dxa"/>
          </w:tcPr>
          <w:p w14:paraId="02C7EBB0" w14:textId="67F77B6A" w:rsidR="000E293F" w:rsidRPr="00986894" w:rsidRDefault="00FA2181"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Logistics</w:t>
            </w:r>
          </w:p>
        </w:tc>
        <w:tc>
          <w:tcPr>
            <w:tcW w:w="900" w:type="dxa"/>
          </w:tcPr>
          <w:p w14:paraId="4AA960C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133</w:t>
            </w:r>
          </w:p>
        </w:tc>
        <w:tc>
          <w:tcPr>
            <w:tcW w:w="900" w:type="dxa"/>
          </w:tcPr>
          <w:p w14:paraId="5EF39C9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1,801</w:t>
            </w:r>
          </w:p>
        </w:tc>
        <w:tc>
          <w:tcPr>
            <w:tcW w:w="900" w:type="dxa"/>
          </w:tcPr>
          <w:p w14:paraId="42CA86C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6,295</w:t>
            </w:r>
          </w:p>
        </w:tc>
        <w:tc>
          <w:tcPr>
            <w:tcW w:w="990" w:type="dxa"/>
          </w:tcPr>
          <w:p w14:paraId="6EA2205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20,491</w:t>
            </w:r>
          </w:p>
        </w:tc>
        <w:tc>
          <w:tcPr>
            <w:tcW w:w="1080" w:type="dxa"/>
          </w:tcPr>
          <w:p w14:paraId="5CBEA5F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16,507</w:t>
            </w:r>
          </w:p>
        </w:tc>
        <w:tc>
          <w:tcPr>
            <w:tcW w:w="900" w:type="dxa"/>
          </w:tcPr>
          <w:p w14:paraId="18F17C7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18,331</w:t>
            </w:r>
          </w:p>
        </w:tc>
        <w:tc>
          <w:tcPr>
            <w:tcW w:w="1080" w:type="dxa"/>
            <w:vMerge/>
          </w:tcPr>
          <w:p w14:paraId="03401675"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4CAA2F57"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62F8C086" w14:textId="77777777" w:rsidTr="00CD7A66">
        <w:trPr>
          <w:tblHeader/>
          <w:jc w:val="center"/>
        </w:trPr>
        <w:tc>
          <w:tcPr>
            <w:tcW w:w="1710" w:type="dxa"/>
          </w:tcPr>
          <w:p w14:paraId="3280BC7A" w14:textId="27AFF2CD" w:rsidR="000E293F" w:rsidRPr="00986894" w:rsidRDefault="000E293F" w:rsidP="00D011D9">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Store </w:t>
            </w:r>
            <w:r w:rsidR="00FA2181" w:rsidRPr="00986894">
              <w:rPr>
                <w:rFonts w:ascii="Arial" w:hAnsi="Arial" w:cs="Arial"/>
                <w:bCs/>
                <w:sz w:val="18"/>
                <w:szCs w:val="18"/>
                <w:lang w:val="en-GB"/>
              </w:rPr>
              <w:t>Rental &amp; Operating</w:t>
            </w:r>
          </w:p>
        </w:tc>
        <w:tc>
          <w:tcPr>
            <w:tcW w:w="900" w:type="dxa"/>
          </w:tcPr>
          <w:p w14:paraId="0FCB7103"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0ABB27A8"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48ED07E9"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90" w:type="dxa"/>
          </w:tcPr>
          <w:p w14:paraId="4855521B"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0C3BB532"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69A2FB67"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2C93A01F"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367288D9"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3B13F61C" w14:textId="77777777" w:rsidTr="00CD7A66">
        <w:trPr>
          <w:tblHeader/>
          <w:jc w:val="center"/>
        </w:trPr>
        <w:tc>
          <w:tcPr>
            <w:tcW w:w="1710" w:type="dxa"/>
          </w:tcPr>
          <w:p w14:paraId="7BFED0C2" w14:textId="13C24521" w:rsidR="000E293F" w:rsidRPr="00986894" w:rsidRDefault="000E293F"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 xml:space="preserve">Store </w:t>
            </w:r>
            <w:r w:rsidR="00FA2181" w:rsidRPr="00986894">
              <w:rPr>
                <w:rFonts w:ascii="Arial" w:hAnsi="Arial" w:cs="Arial"/>
                <w:bCs/>
                <w:sz w:val="18"/>
                <w:szCs w:val="18"/>
                <w:lang w:val="en-GB"/>
              </w:rPr>
              <w:t>Rental</w:t>
            </w:r>
          </w:p>
        </w:tc>
        <w:tc>
          <w:tcPr>
            <w:tcW w:w="900" w:type="dxa"/>
          </w:tcPr>
          <w:p w14:paraId="799B9AE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617</w:t>
            </w:r>
          </w:p>
        </w:tc>
        <w:tc>
          <w:tcPr>
            <w:tcW w:w="900" w:type="dxa"/>
          </w:tcPr>
          <w:p w14:paraId="6191CC6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5,046</w:t>
            </w:r>
          </w:p>
        </w:tc>
        <w:tc>
          <w:tcPr>
            <w:tcW w:w="900" w:type="dxa"/>
          </w:tcPr>
          <w:p w14:paraId="315B98C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18,026</w:t>
            </w:r>
          </w:p>
        </w:tc>
        <w:tc>
          <w:tcPr>
            <w:tcW w:w="990" w:type="dxa"/>
          </w:tcPr>
          <w:p w14:paraId="22020DA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41,014</w:t>
            </w:r>
          </w:p>
        </w:tc>
        <w:tc>
          <w:tcPr>
            <w:tcW w:w="1080" w:type="dxa"/>
          </w:tcPr>
          <w:p w14:paraId="43D35C7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71,897</w:t>
            </w:r>
          </w:p>
        </w:tc>
        <w:tc>
          <w:tcPr>
            <w:tcW w:w="900" w:type="dxa"/>
          </w:tcPr>
          <w:p w14:paraId="1E8F516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100,015</w:t>
            </w:r>
          </w:p>
        </w:tc>
        <w:tc>
          <w:tcPr>
            <w:tcW w:w="1080" w:type="dxa"/>
            <w:vMerge w:val="restart"/>
            <w:vAlign w:val="center"/>
          </w:tcPr>
          <w:p w14:paraId="7B32557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371,460</w:t>
            </w:r>
          </w:p>
        </w:tc>
        <w:tc>
          <w:tcPr>
            <w:tcW w:w="900" w:type="dxa"/>
            <w:vMerge w:val="restart"/>
            <w:vAlign w:val="center"/>
          </w:tcPr>
          <w:p w14:paraId="5504FAB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477,305</w:t>
            </w:r>
          </w:p>
        </w:tc>
      </w:tr>
      <w:tr w:rsidR="000E293F" w:rsidRPr="00986894" w14:paraId="50597F8E" w14:textId="77777777" w:rsidTr="00CD7A66">
        <w:trPr>
          <w:tblHeader/>
          <w:jc w:val="center"/>
        </w:trPr>
        <w:tc>
          <w:tcPr>
            <w:tcW w:w="1710" w:type="dxa"/>
          </w:tcPr>
          <w:p w14:paraId="07D554A9" w14:textId="3C070C1F" w:rsidR="000E293F" w:rsidRPr="00986894" w:rsidRDefault="00FA2181"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Payroll</w:t>
            </w:r>
          </w:p>
        </w:tc>
        <w:tc>
          <w:tcPr>
            <w:tcW w:w="900" w:type="dxa"/>
          </w:tcPr>
          <w:p w14:paraId="1E1D8B9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852</w:t>
            </w:r>
          </w:p>
        </w:tc>
        <w:tc>
          <w:tcPr>
            <w:tcW w:w="900" w:type="dxa"/>
          </w:tcPr>
          <w:p w14:paraId="6E821D6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13,538</w:t>
            </w:r>
          </w:p>
        </w:tc>
        <w:tc>
          <w:tcPr>
            <w:tcW w:w="900" w:type="dxa"/>
          </w:tcPr>
          <w:p w14:paraId="10AE5BE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73,785</w:t>
            </w:r>
          </w:p>
        </w:tc>
        <w:tc>
          <w:tcPr>
            <w:tcW w:w="990" w:type="dxa"/>
          </w:tcPr>
          <w:p w14:paraId="0C074C1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112,233</w:t>
            </w:r>
          </w:p>
        </w:tc>
        <w:tc>
          <w:tcPr>
            <w:tcW w:w="1080" w:type="dxa"/>
          </w:tcPr>
          <w:p w14:paraId="0EFDB15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179,177</w:t>
            </w:r>
          </w:p>
        </w:tc>
        <w:tc>
          <w:tcPr>
            <w:tcW w:w="900" w:type="dxa"/>
          </w:tcPr>
          <w:p w14:paraId="3588506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159,838</w:t>
            </w:r>
          </w:p>
        </w:tc>
        <w:tc>
          <w:tcPr>
            <w:tcW w:w="1080" w:type="dxa"/>
            <w:vMerge/>
          </w:tcPr>
          <w:p w14:paraId="498199C5"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0BF4FB4D"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5710A7ED" w14:textId="77777777" w:rsidTr="00CD7A66">
        <w:trPr>
          <w:tblHeader/>
          <w:jc w:val="center"/>
        </w:trPr>
        <w:tc>
          <w:tcPr>
            <w:tcW w:w="1710" w:type="dxa"/>
          </w:tcPr>
          <w:p w14:paraId="147F4879" w14:textId="0A19B1F0" w:rsidR="000E293F" w:rsidRPr="00986894" w:rsidRDefault="00FA2181" w:rsidP="00952FE3">
            <w:pPr>
              <w:tabs>
                <w:tab w:val="left" w:pos="6155"/>
              </w:tabs>
              <w:ind w:left="247"/>
              <w:contextualSpacing/>
              <w:rPr>
                <w:rFonts w:ascii="Arial" w:hAnsi="Arial" w:cs="Arial"/>
                <w:bCs/>
                <w:sz w:val="18"/>
                <w:szCs w:val="18"/>
                <w:lang w:val="en-GB"/>
              </w:rPr>
            </w:pPr>
            <w:r w:rsidRPr="00986894">
              <w:rPr>
                <w:rFonts w:ascii="Arial" w:hAnsi="Arial" w:cs="Arial"/>
                <w:bCs/>
                <w:sz w:val="18"/>
                <w:szCs w:val="18"/>
                <w:lang w:val="en-GB"/>
              </w:rPr>
              <w:t>Utilities</w:t>
            </w:r>
          </w:p>
        </w:tc>
        <w:tc>
          <w:tcPr>
            <w:tcW w:w="900" w:type="dxa"/>
          </w:tcPr>
          <w:p w14:paraId="720C144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90</w:t>
            </w:r>
          </w:p>
        </w:tc>
        <w:tc>
          <w:tcPr>
            <w:tcW w:w="900" w:type="dxa"/>
          </w:tcPr>
          <w:p w14:paraId="5473158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1,640</w:t>
            </w:r>
          </w:p>
        </w:tc>
        <w:tc>
          <w:tcPr>
            <w:tcW w:w="900" w:type="dxa"/>
          </w:tcPr>
          <w:p w14:paraId="5E0EA4C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8,128</w:t>
            </w:r>
          </w:p>
        </w:tc>
        <w:tc>
          <w:tcPr>
            <w:tcW w:w="990" w:type="dxa"/>
          </w:tcPr>
          <w:p w14:paraId="72D3547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19,300</w:t>
            </w:r>
          </w:p>
        </w:tc>
        <w:tc>
          <w:tcPr>
            <w:tcW w:w="1080" w:type="dxa"/>
          </w:tcPr>
          <w:p w14:paraId="305CE0C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32,460</w:t>
            </w:r>
          </w:p>
        </w:tc>
        <w:tc>
          <w:tcPr>
            <w:tcW w:w="900" w:type="dxa"/>
          </w:tcPr>
          <w:p w14:paraId="76271F8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22,518</w:t>
            </w:r>
          </w:p>
        </w:tc>
        <w:tc>
          <w:tcPr>
            <w:tcW w:w="1080" w:type="dxa"/>
            <w:vMerge/>
          </w:tcPr>
          <w:p w14:paraId="55F09E6F"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0AFAEADC"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7CE11CE5" w14:textId="77777777" w:rsidTr="00CD7A66">
        <w:trPr>
          <w:tblHeader/>
          <w:jc w:val="center"/>
        </w:trPr>
        <w:tc>
          <w:tcPr>
            <w:tcW w:w="1710" w:type="dxa"/>
          </w:tcPr>
          <w:p w14:paraId="35071D2B" w14:textId="225863CC" w:rsidR="000E293F" w:rsidRPr="00986894" w:rsidRDefault="00FA2181" w:rsidP="00952FE3">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Depreciation</w:t>
            </w:r>
          </w:p>
        </w:tc>
        <w:tc>
          <w:tcPr>
            <w:tcW w:w="900" w:type="dxa"/>
          </w:tcPr>
          <w:p w14:paraId="6CF6CDF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917</w:t>
            </w:r>
          </w:p>
        </w:tc>
        <w:tc>
          <w:tcPr>
            <w:tcW w:w="900" w:type="dxa"/>
          </w:tcPr>
          <w:p w14:paraId="53476FC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3,965</w:t>
            </w:r>
          </w:p>
        </w:tc>
        <w:tc>
          <w:tcPr>
            <w:tcW w:w="900" w:type="dxa"/>
          </w:tcPr>
          <w:p w14:paraId="76987F1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14,973</w:t>
            </w:r>
          </w:p>
        </w:tc>
        <w:tc>
          <w:tcPr>
            <w:tcW w:w="990" w:type="dxa"/>
          </w:tcPr>
          <w:p w14:paraId="5351302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28,873</w:t>
            </w:r>
          </w:p>
        </w:tc>
        <w:tc>
          <w:tcPr>
            <w:tcW w:w="1080" w:type="dxa"/>
          </w:tcPr>
          <w:p w14:paraId="6CB075F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58,879</w:t>
            </w:r>
          </w:p>
        </w:tc>
        <w:tc>
          <w:tcPr>
            <w:tcW w:w="900" w:type="dxa"/>
          </w:tcPr>
          <w:p w14:paraId="48AAA15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83,979</w:t>
            </w:r>
          </w:p>
        </w:tc>
        <w:tc>
          <w:tcPr>
            <w:tcW w:w="1080" w:type="dxa"/>
          </w:tcPr>
          <w:p w14:paraId="54FC05A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88,485</w:t>
            </w:r>
          </w:p>
        </w:tc>
        <w:tc>
          <w:tcPr>
            <w:tcW w:w="900" w:type="dxa"/>
          </w:tcPr>
          <w:p w14:paraId="6370E3D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108,515</w:t>
            </w:r>
          </w:p>
        </w:tc>
      </w:tr>
      <w:tr w:rsidR="000E293F" w:rsidRPr="00986894" w14:paraId="2896D13D" w14:textId="77777777" w:rsidTr="00CD7A66">
        <w:trPr>
          <w:tblHeader/>
          <w:jc w:val="center"/>
        </w:trPr>
        <w:tc>
          <w:tcPr>
            <w:tcW w:w="1710" w:type="dxa"/>
          </w:tcPr>
          <w:p w14:paraId="631E7812" w14:textId="6A0938CA" w:rsidR="000E293F" w:rsidRPr="00986894" w:rsidRDefault="000E293F" w:rsidP="00952FE3">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Sales </w:t>
            </w:r>
            <w:r w:rsidR="00FA2181" w:rsidRPr="00986894">
              <w:rPr>
                <w:rFonts w:ascii="Arial" w:hAnsi="Arial" w:cs="Arial"/>
                <w:bCs/>
                <w:sz w:val="18"/>
                <w:szCs w:val="18"/>
                <w:lang w:val="en-GB"/>
              </w:rPr>
              <w:t>&amp; Marketing</w:t>
            </w:r>
          </w:p>
        </w:tc>
        <w:tc>
          <w:tcPr>
            <w:tcW w:w="900" w:type="dxa"/>
          </w:tcPr>
          <w:p w14:paraId="22F1468C"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1D2C33F1"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43D1582D"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90" w:type="dxa"/>
          </w:tcPr>
          <w:p w14:paraId="513095F5"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4FF5A927"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1E670C25"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1080" w:type="dxa"/>
          </w:tcPr>
          <w:p w14:paraId="7249AC26"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tcPr>
          <w:p w14:paraId="0F5E1D4D"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4791E8D4" w14:textId="77777777" w:rsidTr="00CD7A66">
        <w:trPr>
          <w:tblHeader/>
          <w:jc w:val="center"/>
        </w:trPr>
        <w:tc>
          <w:tcPr>
            <w:tcW w:w="1710" w:type="dxa"/>
          </w:tcPr>
          <w:p w14:paraId="3CE5E8D4" w14:textId="586B37D3" w:rsidR="000E293F" w:rsidRPr="00986894" w:rsidRDefault="00FA2181" w:rsidP="00952FE3">
            <w:pPr>
              <w:tabs>
                <w:tab w:val="left" w:pos="6155"/>
              </w:tabs>
              <w:ind w:left="337"/>
              <w:contextualSpacing/>
              <w:rPr>
                <w:rFonts w:ascii="Arial" w:hAnsi="Arial" w:cs="Arial"/>
                <w:bCs/>
                <w:sz w:val="18"/>
                <w:szCs w:val="18"/>
                <w:lang w:val="en-GB"/>
              </w:rPr>
            </w:pPr>
            <w:r w:rsidRPr="00986894">
              <w:rPr>
                <w:rFonts w:ascii="Arial" w:hAnsi="Arial" w:cs="Arial"/>
                <w:bCs/>
                <w:sz w:val="18"/>
                <w:szCs w:val="18"/>
                <w:lang w:val="en-GB"/>
              </w:rPr>
              <w:t>Advertising</w:t>
            </w:r>
          </w:p>
        </w:tc>
        <w:tc>
          <w:tcPr>
            <w:tcW w:w="900" w:type="dxa"/>
          </w:tcPr>
          <w:p w14:paraId="5B21D46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23,910</w:t>
            </w:r>
          </w:p>
        </w:tc>
        <w:tc>
          <w:tcPr>
            <w:tcW w:w="900" w:type="dxa"/>
          </w:tcPr>
          <w:p w14:paraId="3BDF110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39,848</w:t>
            </w:r>
          </w:p>
        </w:tc>
        <w:tc>
          <w:tcPr>
            <w:tcW w:w="900" w:type="dxa"/>
          </w:tcPr>
          <w:p w14:paraId="779DBCB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101,842</w:t>
            </w:r>
          </w:p>
        </w:tc>
        <w:tc>
          <w:tcPr>
            <w:tcW w:w="990" w:type="dxa"/>
          </w:tcPr>
          <w:p w14:paraId="795DC3F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127,372</w:t>
            </w:r>
          </w:p>
        </w:tc>
        <w:tc>
          <w:tcPr>
            <w:tcW w:w="1080" w:type="dxa"/>
          </w:tcPr>
          <w:p w14:paraId="1D34EFD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93,080</w:t>
            </w:r>
          </w:p>
        </w:tc>
        <w:tc>
          <w:tcPr>
            <w:tcW w:w="900" w:type="dxa"/>
          </w:tcPr>
          <w:p w14:paraId="12E2F69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40,143</w:t>
            </w:r>
          </w:p>
        </w:tc>
        <w:tc>
          <w:tcPr>
            <w:tcW w:w="1080" w:type="dxa"/>
          </w:tcPr>
          <w:p w14:paraId="281A914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245,400</w:t>
            </w:r>
          </w:p>
        </w:tc>
        <w:tc>
          <w:tcPr>
            <w:tcW w:w="900" w:type="dxa"/>
          </w:tcPr>
          <w:p w14:paraId="1E44919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378,864</w:t>
            </w:r>
          </w:p>
        </w:tc>
      </w:tr>
      <w:tr w:rsidR="000E293F" w:rsidRPr="00986894" w14:paraId="37F13E95" w14:textId="77777777" w:rsidTr="00CD7A66">
        <w:trPr>
          <w:tblHeader/>
          <w:jc w:val="center"/>
        </w:trPr>
        <w:tc>
          <w:tcPr>
            <w:tcW w:w="1710" w:type="dxa"/>
          </w:tcPr>
          <w:p w14:paraId="439DF5D7" w14:textId="68E83351" w:rsidR="000E293F" w:rsidRPr="00986894" w:rsidRDefault="00FA2181" w:rsidP="00952FE3">
            <w:pPr>
              <w:tabs>
                <w:tab w:val="left" w:pos="6155"/>
              </w:tabs>
              <w:ind w:left="337"/>
              <w:contextualSpacing/>
              <w:rPr>
                <w:rFonts w:ascii="Arial" w:hAnsi="Arial" w:cs="Arial"/>
                <w:bCs/>
                <w:sz w:val="18"/>
                <w:szCs w:val="18"/>
                <w:lang w:val="en-GB"/>
              </w:rPr>
            </w:pPr>
            <w:r w:rsidRPr="00986894">
              <w:rPr>
                <w:rFonts w:ascii="Arial" w:hAnsi="Arial" w:cs="Arial"/>
                <w:bCs/>
                <w:sz w:val="18"/>
                <w:szCs w:val="18"/>
                <w:lang w:val="en-GB"/>
              </w:rPr>
              <w:t>Promotion</w:t>
            </w:r>
          </w:p>
        </w:tc>
        <w:tc>
          <w:tcPr>
            <w:tcW w:w="900" w:type="dxa"/>
          </w:tcPr>
          <w:p w14:paraId="1DED175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160</w:t>
            </w:r>
          </w:p>
        </w:tc>
        <w:tc>
          <w:tcPr>
            <w:tcW w:w="900" w:type="dxa"/>
          </w:tcPr>
          <w:p w14:paraId="2BA637F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7,486</w:t>
            </w:r>
          </w:p>
        </w:tc>
        <w:tc>
          <w:tcPr>
            <w:tcW w:w="900" w:type="dxa"/>
          </w:tcPr>
          <w:p w14:paraId="22BD7E6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28,744</w:t>
            </w:r>
          </w:p>
        </w:tc>
        <w:tc>
          <w:tcPr>
            <w:tcW w:w="990" w:type="dxa"/>
          </w:tcPr>
          <w:p w14:paraId="5AA8264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28,385</w:t>
            </w:r>
          </w:p>
        </w:tc>
        <w:tc>
          <w:tcPr>
            <w:tcW w:w="1080" w:type="dxa"/>
          </w:tcPr>
          <w:p w14:paraId="7FD1C70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65,952</w:t>
            </w:r>
          </w:p>
        </w:tc>
        <w:tc>
          <w:tcPr>
            <w:tcW w:w="900" w:type="dxa"/>
          </w:tcPr>
          <w:p w14:paraId="2DCDA28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29,820</w:t>
            </w:r>
          </w:p>
        </w:tc>
        <w:tc>
          <w:tcPr>
            <w:tcW w:w="1080" w:type="dxa"/>
            <w:vMerge w:val="restart"/>
            <w:vAlign w:val="center"/>
          </w:tcPr>
          <w:p w14:paraId="44E0CB1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144,704</w:t>
            </w:r>
          </w:p>
        </w:tc>
        <w:tc>
          <w:tcPr>
            <w:tcW w:w="900" w:type="dxa"/>
            <w:vMerge w:val="restart"/>
            <w:vAlign w:val="center"/>
          </w:tcPr>
          <w:p w14:paraId="7EDB239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178,801</w:t>
            </w:r>
          </w:p>
        </w:tc>
      </w:tr>
      <w:tr w:rsidR="000E293F" w:rsidRPr="00986894" w14:paraId="79294CBB" w14:textId="77777777" w:rsidTr="00CD7A66">
        <w:trPr>
          <w:tblHeader/>
          <w:jc w:val="center"/>
        </w:trPr>
        <w:tc>
          <w:tcPr>
            <w:tcW w:w="1710" w:type="dxa"/>
          </w:tcPr>
          <w:p w14:paraId="3CFAB52B" w14:textId="2C22A2A5" w:rsidR="000E293F" w:rsidRPr="00986894" w:rsidRDefault="00FA2181" w:rsidP="00952FE3">
            <w:pPr>
              <w:tabs>
                <w:tab w:val="left" w:pos="6155"/>
              </w:tabs>
              <w:ind w:left="337"/>
              <w:contextualSpacing/>
              <w:rPr>
                <w:rFonts w:ascii="Arial" w:hAnsi="Arial" w:cs="Arial"/>
                <w:bCs/>
                <w:sz w:val="18"/>
                <w:szCs w:val="18"/>
                <w:lang w:val="en-GB"/>
              </w:rPr>
            </w:pPr>
            <w:r w:rsidRPr="00986894">
              <w:rPr>
                <w:rFonts w:ascii="Arial" w:hAnsi="Arial" w:cs="Arial"/>
                <w:bCs/>
                <w:sz w:val="18"/>
                <w:szCs w:val="18"/>
                <w:lang w:val="en-GB"/>
              </w:rPr>
              <w:t>Delivery</w:t>
            </w:r>
          </w:p>
        </w:tc>
        <w:tc>
          <w:tcPr>
            <w:tcW w:w="900" w:type="dxa"/>
          </w:tcPr>
          <w:p w14:paraId="790500B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29</w:t>
            </w:r>
          </w:p>
        </w:tc>
        <w:tc>
          <w:tcPr>
            <w:tcW w:w="900" w:type="dxa"/>
          </w:tcPr>
          <w:p w14:paraId="4FF890D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5,384</w:t>
            </w:r>
          </w:p>
        </w:tc>
        <w:tc>
          <w:tcPr>
            <w:tcW w:w="900" w:type="dxa"/>
          </w:tcPr>
          <w:p w14:paraId="0DD982C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44,920</w:t>
            </w:r>
          </w:p>
        </w:tc>
        <w:tc>
          <w:tcPr>
            <w:tcW w:w="990" w:type="dxa"/>
          </w:tcPr>
          <w:p w14:paraId="6C7A59F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67,118</w:t>
            </w:r>
          </w:p>
        </w:tc>
        <w:tc>
          <w:tcPr>
            <w:tcW w:w="1080" w:type="dxa"/>
          </w:tcPr>
          <w:p w14:paraId="2CD949F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124,771</w:t>
            </w:r>
          </w:p>
        </w:tc>
        <w:tc>
          <w:tcPr>
            <w:tcW w:w="900" w:type="dxa"/>
          </w:tcPr>
          <w:p w14:paraId="26F86E3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94,608</w:t>
            </w:r>
          </w:p>
        </w:tc>
        <w:tc>
          <w:tcPr>
            <w:tcW w:w="1080" w:type="dxa"/>
            <w:vMerge/>
          </w:tcPr>
          <w:p w14:paraId="23A8FEC3"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25423CF5"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06388CE9" w14:textId="77777777" w:rsidTr="00CD7A66">
        <w:trPr>
          <w:tblHeader/>
          <w:jc w:val="center"/>
        </w:trPr>
        <w:tc>
          <w:tcPr>
            <w:tcW w:w="1710" w:type="dxa"/>
          </w:tcPr>
          <w:p w14:paraId="407197F2" w14:textId="4B49B520" w:rsidR="000E293F" w:rsidRPr="00986894" w:rsidRDefault="00FA2181" w:rsidP="00952FE3">
            <w:pPr>
              <w:tabs>
                <w:tab w:val="left" w:pos="6155"/>
              </w:tabs>
              <w:ind w:left="337"/>
              <w:contextualSpacing/>
              <w:rPr>
                <w:rFonts w:ascii="Arial" w:hAnsi="Arial" w:cs="Arial"/>
                <w:bCs/>
                <w:sz w:val="18"/>
                <w:szCs w:val="18"/>
                <w:lang w:val="en-GB"/>
              </w:rPr>
            </w:pPr>
            <w:r w:rsidRPr="00986894">
              <w:rPr>
                <w:rFonts w:ascii="Arial" w:hAnsi="Arial" w:cs="Arial"/>
                <w:bCs/>
                <w:sz w:val="18"/>
                <w:szCs w:val="18"/>
                <w:lang w:val="en-GB"/>
              </w:rPr>
              <w:t>Other</w:t>
            </w:r>
          </w:p>
        </w:tc>
        <w:tc>
          <w:tcPr>
            <w:tcW w:w="900" w:type="dxa"/>
          </w:tcPr>
          <w:p w14:paraId="60DEFC0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1,365</w:t>
            </w:r>
          </w:p>
        </w:tc>
        <w:tc>
          <w:tcPr>
            <w:tcW w:w="900" w:type="dxa"/>
          </w:tcPr>
          <w:p w14:paraId="6578501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1,694</w:t>
            </w:r>
          </w:p>
        </w:tc>
        <w:tc>
          <w:tcPr>
            <w:tcW w:w="900" w:type="dxa"/>
          </w:tcPr>
          <w:p w14:paraId="53A58C9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2,555</w:t>
            </w:r>
          </w:p>
        </w:tc>
        <w:tc>
          <w:tcPr>
            <w:tcW w:w="990" w:type="dxa"/>
          </w:tcPr>
          <w:p w14:paraId="110FA84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2,380</w:t>
            </w:r>
          </w:p>
        </w:tc>
        <w:tc>
          <w:tcPr>
            <w:tcW w:w="1080" w:type="dxa"/>
          </w:tcPr>
          <w:p w14:paraId="20B80F8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4,487</w:t>
            </w:r>
          </w:p>
        </w:tc>
        <w:tc>
          <w:tcPr>
            <w:tcW w:w="900" w:type="dxa"/>
          </w:tcPr>
          <w:p w14:paraId="50377B9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3.532</w:t>
            </w:r>
          </w:p>
        </w:tc>
        <w:tc>
          <w:tcPr>
            <w:tcW w:w="1080" w:type="dxa"/>
            <w:vMerge/>
          </w:tcPr>
          <w:p w14:paraId="7B8C29E3" w14:textId="77777777" w:rsidR="000E293F" w:rsidRPr="00986894" w:rsidRDefault="000E293F" w:rsidP="00194809">
            <w:pPr>
              <w:tabs>
                <w:tab w:val="left" w:pos="6155"/>
              </w:tabs>
              <w:contextualSpacing/>
              <w:jc w:val="right"/>
              <w:rPr>
                <w:rFonts w:ascii="Arial" w:hAnsi="Arial" w:cs="Arial"/>
                <w:bCs/>
                <w:sz w:val="18"/>
                <w:szCs w:val="18"/>
                <w:lang w:val="en-GB"/>
              </w:rPr>
            </w:pPr>
          </w:p>
        </w:tc>
        <w:tc>
          <w:tcPr>
            <w:tcW w:w="900" w:type="dxa"/>
            <w:vMerge/>
          </w:tcPr>
          <w:p w14:paraId="4B2FDCDB" w14:textId="77777777" w:rsidR="000E293F" w:rsidRPr="00986894" w:rsidRDefault="000E293F" w:rsidP="00194809">
            <w:pPr>
              <w:tabs>
                <w:tab w:val="left" w:pos="6155"/>
              </w:tabs>
              <w:contextualSpacing/>
              <w:jc w:val="right"/>
              <w:rPr>
                <w:rFonts w:ascii="Arial" w:hAnsi="Arial" w:cs="Arial"/>
                <w:bCs/>
                <w:sz w:val="18"/>
                <w:szCs w:val="18"/>
                <w:lang w:val="en-GB"/>
              </w:rPr>
            </w:pPr>
          </w:p>
        </w:tc>
      </w:tr>
      <w:tr w:rsidR="000E293F" w:rsidRPr="00986894" w14:paraId="4870CBB8" w14:textId="77777777" w:rsidTr="00CD7A66">
        <w:trPr>
          <w:tblHeader/>
          <w:jc w:val="center"/>
        </w:trPr>
        <w:tc>
          <w:tcPr>
            <w:tcW w:w="1710" w:type="dxa"/>
          </w:tcPr>
          <w:p w14:paraId="428287D5" w14:textId="21A1AF3A" w:rsidR="000E293F" w:rsidRPr="00986894" w:rsidRDefault="000E293F" w:rsidP="00D011D9">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General </w:t>
            </w:r>
            <w:r w:rsidR="00FA2181" w:rsidRPr="00986894">
              <w:rPr>
                <w:rFonts w:ascii="Arial" w:hAnsi="Arial" w:cs="Arial"/>
                <w:bCs/>
                <w:sz w:val="18"/>
                <w:szCs w:val="18"/>
                <w:lang w:val="en-GB"/>
              </w:rPr>
              <w:t xml:space="preserve">&amp; Administrative </w:t>
            </w:r>
          </w:p>
        </w:tc>
        <w:tc>
          <w:tcPr>
            <w:tcW w:w="900" w:type="dxa"/>
          </w:tcPr>
          <w:p w14:paraId="24A1D14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22,005</w:t>
            </w:r>
          </w:p>
        </w:tc>
        <w:tc>
          <w:tcPr>
            <w:tcW w:w="900" w:type="dxa"/>
          </w:tcPr>
          <w:p w14:paraId="6EE6043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39,022</w:t>
            </w:r>
          </w:p>
        </w:tc>
        <w:tc>
          <w:tcPr>
            <w:tcW w:w="900" w:type="dxa"/>
          </w:tcPr>
          <w:p w14:paraId="093C2B5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74,916</w:t>
            </w:r>
          </w:p>
        </w:tc>
        <w:tc>
          <w:tcPr>
            <w:tcW w:w="990" w:type="dxa"/>
          </w:tcPr>
          <w:p w14:paraId="64566F9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118,298</w:t>
            </w:r>
          </w:p>
        </w:tc>
        <w:tc>
          <w:tcPr>
            <w:tcW w:w="1080" w:type="dxa"/>
          </w:tcPr>
          <w:p w14:paraId="63047B7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147,502</w:t>
            </w:r>
          </w:p>
        </w:tc>
        <w:tc>
          <w:tcPr>
            <w:tcW w:w="900" w:type="dxa"/>
          </w:tcPr>
          <w:p w14:paraId="3E00EB6E"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172,962</w:t>
            </w:r>
          </w:p>
        </w:tc>
        <w:tc>
          <w:tcPr>
            <w:tcW w:w="1080" w:type="dxa"/>
          </w:tcPr>
          <w:p w14:paraId="4454B01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265,781</w:t>
            </w:r>
          </w:p>
        </w:tc>
        <w:tc>
          <w:tcPr>
            <w:tcW w:w="900" w:type="dxa"/>
          </w:tcPr>
          <w:p w14:paraId="7FF3D64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246,093</w:t>
            </w:r>
          </w:p>
        </w:tc>
      </w:tr>
      <w:tr w:rsidR="000E293F" w:rsidRPr="00986894" w14:paraId="0FE3B60C" w14:textId="77777777" w:rsidTr="00CD7A66">
        <w:trPr>
          <w:tblHeader/>
          <w:jc w:val="center"/>
        </w:trPr>
        <w:tc>
          <w:tcPr>
            <w:tcW w:w="1710" w:type="dxa"/>
          </w:tcPr>
          <w:p w14:paraId="2A442EFB" w14:textId="69A56F50" w:rsidR="000E293F" w:rsidRPr="00986894" w:rsidRDefault="000E293F" w:rsidP="00D011D9">
            <w:pPr>
              <w:tabs>
                <w:tab w:val="left" w:pos="6155"/>
              </w:tabs>
              <w:ind w:left="157"/>
              <w:contextualSpacing/>
              <w:rPr>
                <w:rFonts w:ascii="Arial" w:hAnsi="Arial" w:cs="Arial"/>
                <w:bCs/>
                <w:sz w:val="18"/>
                <w:szCs w:val="18"/>
                <w:lang w:val="en-GB"/>
              </w:rPr>
            </w:pPr>
            <w:r w:rsidRPr="00986894">
              <w:rPr>
                <w:rFonts w:ascii="Arial" w:hAnsi="Arial" w:cs="Arial"/>
                <w:bCs/>
                <w:sz w:val="18"/>
                <w:szCs w:val="18"/>
                <w:lang w:val="en-GB"/>
              </w:rPr>
              <w:t xml:space="preserve">Store </w:t>
            </w:r>
            <w:r w:rsidR="00FA2181" w:rsidRPr="00986894">
              <w:rPr>
                <w:rFonts w:ascii="Arial" w:hAnsi="Arial" w:cs="Arial"/>
                <w:bCs/>
                <w:sz w:val="18"/>
                <w:szCs w:val="18"/>
                <w:lang w:val="en-GB"/>
              </w:rPr>
              <w:t>Pre-Opening &amp; Others</w:t>
            </w:r>
          </w:p>
        </w:tc>
        <w:tc>
          <w:tcPr>
            <w:tcW w:w="900" w:type="dxa"/>
          </w:tcPr>
          <w:p w14:paraId="14CB248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5,723</w:t>
            </w:r>
          </w:p>
        </w:tc>
        <w:tc>
          <w:tcPr>
            <w:tcW w:w="900" w:type="dxa"/>
          </w:tcPr>
          <w:p w14:paraId="50463F7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11,085</w:t>
            </w:r>
          </w:p>
        </w:tc>
        <w:tc>
          <w:tcPr>
            <w:tcW w:w="900" w:type="dxa"/>
          </w:tcPr>
          <w:p w14:paraId="31FD96F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21,296</w:t>
            </w:r>
          </w:p>
        </w:tc>
        <w:tc>
          <w:tcPr>
            <w:tcW w:w="990" w:type="dxa"/>
          </w:tcPr>
          <w:p w14:paraId="689465C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29,793</w:t>
            </w:r>
          </w:p>
        </w:tc>
        <w:tc>
          <w:tcPr>
            <w:tcW w:w="1080" w:type="dxa"/>
          </w:tcPr>
          <w:p w14:paraId="201269E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35,620</w:t>
            </w:r>
          </w:p>
        </w:tc>
        <w:tc>
          <w:tcPr>
            <w:tcW w:w="900" w:type="dxa"/>
          </w:tcPr>
          <w:p w14:paraId="7D75832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22,374</w:t>
            </w:r>
          </w:p>
        </w:tc>
        <w:tc>
          <w:tcPr>
            <w:tcW w:w="1080" w:type="dxa"/>
          </w:tcPr>
          <w:p w14:paraId="20347C6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17,171</w:t>
            </w:r>
          </w:p>
        </w:tc>
        <w:tc>
          <w:tcPr>
            <w:tcW w:w="900" w:type="dxa"/>
          </w:tcPr>
          <w:p w14:paraId="1894649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21,773</w:t>
            </w:r>
          </w:p>
        </w:tc>
      </w:tr>
      <w:tr w:rsidR="000E293F" w:rsidRPr="00986894" w14:paraId="6E7E6169" w14:textId="77777777" w:rsidTr="00CD7A66">
        <w:trPr>
          <w:tblHeader/>
          <w:jc w:val="center"/>
        </w:trPr>
        <w:tc>
          <w:tcPr>
            <w:tcW w:w="1710" w:type="dxa"/>
          </w:tcPr>
          <w:p w14:paraId="2DCB9EE3" w14:textId="3C2CA934" w:rsidR="000E293F" w:rsidRPr="00986894" w:rsidRDefault="000E293F" w:rsidP="00194809">
            <w:pPr>
              <w:tabs>
                <w:tab w:val="left" w:pos="6155"/>
              </w:tabs>
              <w:contextualSpacing/>
              <w:rPr>
                <w:rFonts w:ascii="Arial" w:hAnsi="Arial" w:cs="Arial"/>
                <w:bCs/>
                <w:sz w:val="18"/>
                <w:szCs w:val="18"/>
                <w:lang w:val="en-GB"/>
              </w:rPr>
            </w:pPr>
            <w:r w:rsidRPr="00986894">
              <w:rPr>
                <w:rFonts w:ascii="Arial" w:hAnsi="Arial" w:cs="Arial"/>
                <w:bCs/>
                <w:sz w:val="18"/>
                <w:szCs w:val="18"/>
                <w:lang w:val="en-GB"/>
              </w:rPr>
              <w:t xml:space="preserve">Total </w:t>
            </w:r>
            <w:r w:rsidR="00FA2181" w:rsidRPr="00986894">
              <w:rPr>
                <w:rFonts w:ascii="Arial" w:hAnsi="Arial" w:cs="Arial"/>
                <w:bCs/>
                <w:sz w:val="18"/>
                <w:szCs w:val="18"/>
                <w:lang w:val="en-GB"/>
              </w:rPr>
              <w:t>Operating Expense</w:t>
            </w:r>
          </w:p>
        </w:tc>
        <w:tc>
          <w:tcPr>
            <w:tcW w:w="900" w:type="dxa"/>
          </w:tcPr>
          <w:p w14:paraId="779B2A9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56,457</w:t>
            </w:r>
          </w:p>
        </w:tc>
        <w:tc>
          <w:tcPr>
            <w:tcW w:w="900" w:type="dxa"/>
          </w:tcPr>
          <w:p w14:paraId="16BE425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138,127</w:t>
            </w:r>
          </w:p>
        </w:tc>
        <w:tc>
          <w:tcPr>
            <w:tcW w:w="900" w:type="dxa"/>
          </w:tcPr>
          <w:p w14:paraId="1C04E3B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464,956</w:t>
            </w:r>
          </w:p>
        </w:tc>
        <w:tc>
          <w:tcPr>
            <w:tcW w:w="990" w:type="dxa"/>
          </w:tcPr>
          <w:p w14:paraId="029FEB7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726,414</w:t>
            </w:r>
          </w:p>
        </w:tc>
        <w:tc>
          <w:tcPr>
            <w:tcW w:w="1080" w:type="dxa"/>
          </w:tcPr>
          <w:p w14:paraId="4C184EB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1,109,204</w:t>
            </w:r>
          </w:p>
        </w:tc>
        <w:tc>
          <w:tcPr>
            <w:tcW w:w="900" w:type="dxa"/>
          </w:tcPr>
          <w:p w14:paraId="5B90248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1,005,601</w:t>
            </w:r>
          </w:p>
        </w:tc>
        <w:tc>
          <w:tcPr>
            <w:tcW w:w="1080" w:type="dxa"/>
          </w:tcPr>
          <w:p w14:paraId="43D58D42"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1,598,823</w:t>
            </w:r>
          </w:p>
        </w:tc>
        <w:tc>
          <w:tcPr>
            <w:tcW w:w="900" w:type="dxa"/>
          </w:tcPr>
          <w:p w14:paraId="7298E46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2,132,480</w:t>
            </w:r>
          </w:p>
        </w:tc>
      </w:tr>
      <w:tr w:rsidR="000E293F" w:rsidRPr="00986894" w14:paraId="0A676D6B" w14:textId="77777777" w:rsidTr="00CD7A66">
        <w:trPr>
          <w:tblHeader/>
          <w:jc w:val="center"/>
        </w:trPr>
        <w:tc>
          <w:tcPr>
            <w:tcW w:w="1710" w:type="dxa"/>
          </w:tcPr>
          <w:p w14:paraId="016BE2DF" w14:textId="59506B44" w:rsidR="000E293F" w:rsidRPr="00986894" w:rsidRDefault="000E293F" w:rsidP="00194809">
            <w:pPr>
              <w:tabs>
                <w:tab w:val="left" w:pos="6155"/>
              </w:tabs>
              <w:contextualSpacing/>
              <w:rPr>
                <w:rFonts w:ascii="Arial" w:hAnsi="Arial" w:cs="Arial"/>
                <w:bCs/>
                <w:sz w:val="18"/>
                <w:szCs w:val="18"/>
                <w:lang w:val="en-GB"/>
              </w:rPr>
            </w:pPr>
            <w:r w:rsidRPr="00986894">
              <w:rPr>
                <w:rFonts w:ascii="Arial" w:hAnsi="Arial" w:cs="Arial"/>
                <w:bCs/>
                <w:sz w:val="18"/>
                <w:szCs w:val="18"/>
                <w:lang w:val="en-GB"/>
              </w:rPr>
              <w:t xml:space="preserve">Operating </w:t>
            </w:r>
            <w:r w:rsidR="00FA2181" w:rsidRPr="00986894">
              <w:rPr>
                <w:rFonts w:ascii="Arial" w:hAnsi="Arial" w:cs="Arial"/>
                <w:bCs/>
                <w:sz w:val="18"/>
                <w:szCs w:val="18"/>
                <w:lang w:val="en-GB"/>
              </w:rPr>
              <w:t>Loss</w:t>
            </w:r>
          </w:p>
        </w:tc>
        <w:tc>
          <w:tcPr>
            <w:tcW w:w="900" w:type="dxa"/>
          </w:tcPr>
          <w:p w14:paraId="22EB43E1"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56,207</w:t>
            </w:r>
          </w:p>
        </w:tc>
        <w:tc>
          <w:tcPr>
            <w:tcW w:w="900" w:type="dxa"/>
          </w:tcPr>
          <w:p w14:paraId="3697D16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125,173</w:t>
            </w:r>
          </w:p>
        </w:tc>
        <w:tc>
          <w:tcPr>
            <w:tcW w:w="900" w:type="dxa"/>
          </w:tcPr>
          <w:p w14:paraId="794A1AE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343,447</w:t>
            </w:r>
          </w:p>
        </w:tc>
        <w:tc>
          <w:tcPr>
            <w:tcW w:w="990" w:type="dxa"/>
          </w:tcPr>
          <w:p w14:paraId="2AF6D90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485,615</w:t>
            </w:r>
          </w:p>
        </w:tc>
        <w:tc>
          <w:tcPr>
            <w:tcW w:w="1080" w:type="dxa"/>
          </w:tcPr>
          <w:p w14:paraId="5AF185FD"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643,771</w:t>
            </w:r>
          </w:p>
        </w:tc>
        <w:tc>
          <w:tcPr>
            <w:tcW w:w="900" w:type="dxa"/>
          </w:tcPr>
          <w:p w14:paraId="7EAE1293"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527,091</w:t>
            </w:r>
          </w:p>
        </w:tc>
        <w:tc>
          <w:tcPr>
            <w:tcW w:w="1080" w:type="dxa"/>
          </w:tcPr>
          <w:p w14:paraId="770B7F2B"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689,708</w:t>
            </w:r>
          </w:p>
        </w:tc>
        <w:tc>
          <w:tcPr>
            <w:tcW w:w="900" w:type="dxa"/>
          </w:tcPr>
          <w:p w14:paraId="0F1A98DF"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590,889</w:t>
            </w:r>
          </w:p>
        </w:tc>
      </w:tr>
      <w:tr w:rsidR="000E293F" w:rsidRPr="00986894" w14:paraId="4C031F43" w14:textId="77777777" w:rsidTr="00CD7A66">
        <w:trPr>
          <w:tblHeader/>
          <w:jc w:val="center"/>
        </w:trPr>
        <w:tc>
          <w:tcPr>
            <w:tcW w:w="1710" w:type="dxa"/>
          </w:tcPr>
          <w:p w14:paraId="3CDD6382" w14:textId="187F5A87" w:rsidR="000E293F" w:rsidRPr="00986894" w:rsidRDefault="000E293F" w:rsidP="00194809">
            <w:pPr>
              <w:tabs>
                <w:tab w:val="left" w:pos="6155"/>
              </w:tabs>
              <w:contextualSpacing/>
              <w:rPr>
                <w:rFonts w:ascii="Arial" w:hAnsi="Arial" w:cs="Arial"/>
                <w:bCs/>
                <w:sz w:val="18"/>
                <w:szCs w:val="18"/>
                <w:lang w:val="en-GB"/>
              </w:rPr>
            </w:pPr>
            <w:r w:rsidRPr="00986894">
              <w:rPr>
                <w:rFonts w:ascii="Arial" w:hAnsi="Arial" w:cs="Arial"/>
                <w:bCs/>
                <w:sz w:val="18"/>
                <w:szCs w:val="18"/>
                <w:lang w:val="en-GB"/>
              </w:rPr>
              <w:t xml:space="preserve">Net </w:t>
            </w:r>
            <w:r w:rsidR="00FA2181" w:rsidRPr="00986894">
              <w:rPr>
                <w:rFonts w:ascii="Arial" w:hAnsi="Arial" w:cs="Arial"/>
                <w:bCs/>
                <w:sz w:val="18"/>
                <w:szCs w:val="18"/>
                <w:lang w:val="en-GB"/>
              </w:rPr>
              <w:t xml:space="preserve">Other Income/(Expense) </w:t>
            </w:r>
          </w:p>
        </w:tc>
        <w:tc>
          <w:tcPr>
            <w:tcW w:w="900" w:type="dxa"/>
          </w:tcPr>
          <w:p w14:paraId="143F5090"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(164)</w:t>
            </w:r>
          </w:p>
        </w:tc>
        <w:tc>
          <w:tcPr>
            <w:tcW w:w="900" w:type="dxa"/>
          </w:tcPr>
          <w:p w14:paraId="5C027216"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(7,056)</w:t>
            </w:r>
          </w:p>
        </w:tc>
        <w:tc>
          <w:tcPr>
            <w:tcW w:w="900" w:type="dxa"/>
          </w:tcPr>
          <w:p w14:paraId="64DFA4A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10,450</w:t>
            </w:r>
          </w:p>
        </w:tc>
        <w:tc>
          <w:tcPr>
            <w:tcW w:w="990" w:type="dxa"/>
          </w:tcPr>
          <w:p w14:paraId="72BCCC1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688</w:t>
            </w:r>
          </w:p>
        </w:tc>
        <w:tc>
          <w:tcPr>
            <w:tcW w:w="1080" w:type="dxa"/>
          </w:tcPr>
          <w:p w14:paraId="4FEEB9B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(25,228)</w:t>
            </w:r>
          </w:p>
        </w:tc>
        <w:tc>
          <w:tcPr>
            <w:tcW w:w="900" w:type="dxa"/>
          </w:tcPr>
          <w:p w14:paraId="14578B35"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(24,693)</w:t>
            </w:r>
          </w:p>
        </w:tc>
        <w:tc>
          <w:tcPr>
            <w:tcW w:w="1080" w:type="dxa"/>
          </w:tcPr>
          <w:p w14:paraId="7D842F0A"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8,427</w:t>
            </w:r>
          </w:p>
        </w:tc>
        <w:tc>
          <w:tcPr>
            <w:tcW w:w="900" w:type="dxa"/>
          </w:tcPr>
          <w:p w14:paraId="530D9B1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59,033</w:t>
            </w:r>
          </w:p>
        </w:tc>
      </w:tr>
      <w:tr w:rsidR="000E293F" w:rsidRPr="00986894" w14:paraId="17C8873C" w14:textId="77777777" w:rsidTr="00CD7A66">
        <w:trPr>
          <w:tblHeader/>
          <w:jc w:val="center"/>
        </w:trPr>
        <w:tc>
          <w:tcPr>
            <w:tcW w:w="1710" w:type="dxa"/>
          </w:tcPr>
          <w:p w14:paraId="2ED334BE" w14:textId="2CE04B61" w:rsidR="000E293F" w:rsidRPr="00986894" w:rsidRDefault="000E293F" w:rsidP="00194809">
            <w:pPr>
              <w:tabs>
                <w:tab w:val="left" w:pos="6155"/>
              </w:tabs>
              <w:contextualSpacing/>
              <w:rPr>
                <w:rFonts w:ascii="Arial" w:hAnsi="Arial" w:cs="Arial"/>
                <w:bCs/>
                <w:sz w:val="18"/>
                <w:szCs w:val="18"/>
                <w:lang w:val="en-GB"/>
              </w:rPr>
            </w:pPr>
            <w:r w:rsidRPr="00986894">
              <w:rPr>
                <w:rFonts w:ascii="Arial" w:hAnsi="Arial" w:cs="Arial"/>
                <w:bCs/>
                <w:sz w:val="18"/>
                <w:szCs w:val="18"/>
                <w:lang w:val="en-GB"/>
              </w:rPr>
              <w:t xml:space="preserve">Net Loss </w:t>
            </w:r>
            <w:r w:rsidR="00D011D9" w:rsidRPr="00986894">
              <w:rPr>
                <w:rFonts w:ascii="Arial" w:hAnsi="Arial" w:cs="Arial"/>
                <w:bCs/>
                <w:sz w:val="18"/>
                <w:szCs w:val="18"/>
                <w:lang w:val="en-GB"/>
              </w:rPr>
              <w:t>b</w:t>
            </w:r>
            <w:r w:rsidR="00FA2181" w:rsidRPr="00986894">
              <w:rPr>
                <w:rFonts w:ascii="Arial" w:hAnsi="Arial" w:cs="Arial"/>
                <w:bCs/>
                <w:sz w:val="18"/>
                <w:szCs w:val="18"/>
                <w:lang w:val="en-GB"/>
              </w:rPr>
              <w:t>efore Taxes</w:t>
            </w:r>
          </w:p>
        </w:tc>
        <w:tc>
          <w:tcPr>
            <w:tcW w:w="900" w:type="dxa"/>
          </w:tcPr>
          <w:p w14:paraId="779B29F9"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56,371</w:t>
            </w:r>
          </w:p>
        </w:tc>
        <w:tc>
          <w:tcPr>
            <w:tcW w:w="900" w:type="dxa"/>
          </w:tcPr>
          <w:p w14:paraId="16A62434"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132,229</w:t>
            </w:r>
          </w:p>
        </w:tc>
        <w:tc>
          <w:tcPr>
            <w:tcW w:w="900" w:type="dxa"/>
          </w:tcPr>
          <w:p w14:paraId="7EC7A45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332,997</w:t>
            </w:r>
          </w:p>
        </w:tc>
        <w:tc>
          <w:tcPr>
            <w:tcW w:w="990" w:type="dxa"/>
          </w:tcPr>
          <w:p w14:paraId="4BF8D2C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484,927</w:t>
            </w:r>
          </w:p>
        </w:tc>
        <w:tc>
          <w:tcPr>
            <w:tcW w:w="1080" w:type="dxa"/>
          </w:tcPr>
          <w:p w14:paraId="23BB249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668,999</w:t>
            </w:r>
          </w:p>
        </w:tc>
        <w:tc>
          <w:tcPr>
            <w:tcW w:w="900" w:type="dxa"/>
          </w:tcPr>
          <w:p w14:paraId="5D7777D7"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551,784</w:t>
            </w:r>
          </w:p>
        </w:tc>
        <w:tc>
          <w:tcPr>
            <w:tcW w:w="1080" w:type="dxa"/>
          </w:tcPr>
          <w:p w14:paraId="4B3D5BC8"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681,281</w:t>
            </w:r>
          </w:p>
        </w:tc>
        <w:tc>
          <w:tcPr>
            <w:tcW w:w="900" w:type="dxa"/>
          </w:tcPr>
          <w:p w14:paraId="0BF6D7FC" w14:textId="77777777" w:rsidR="000E293F" w:rsidRPr="00986894" w:rsidRDefault="000E293F" w:rsidP="00194809">
            <w:pPr>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531,856</w:t>
            </w:r>
          </w:p>
        </w:tc>
      </w:tr>
    </w:tbl>
    <w:p w14:paraId="02F8D47A" w14:textId="77777777" w:rsidR="000E293F" w:rsidRPr="00986894" w:rsidRDefault="000E293F" w:rsidP="000E293F">
      <w:pPr>
        <w:tabs>
          <w:tab w:val="left" w:pos="6155"/>
        </w:tabs>
        <w:contextualSpacing/>
        <w:jc w:val="both"/>
        <w:rPr>
          <w:lang w:val="en-GB"/>
        </w:rPr>
      </w:pPr>
    </w:p>
    <w:p w14:paraId="1EFC1155" w14:textId="15E1473F" w:rsidR="000E293F" w:rsidRPr="00986894" w:rsidRDefault="000E293F" w:rsidP="000E293F">
      <w:pPr>
        <w:tabs>
          <w:tab w:val="left" w:pos="6155"/>
        </w:tabs>
        <w:contextualSpacing/>
        <w:jc w:val="both"/>
        <w:rPr>
          <w:rFonts w:ascii="Arial" w:hAnsi="Arial" w:cs="Arial"/>
          <w:b/>
          <w:lang w:val="en-GB"/>
        </w:rPr>
      </w:pPr>
      <w:r w:rsidRPr="00986894">
        <w:rPr>
          <w:rFonts w:ascii="Arial" w:hAnsi="Arial" w:cs="Arial"/>
          <w:sz w:val="17"/>
          <w:szCs w:val="17"/>
          <w:lang w:val="en-GB"/>
        </w:rPr>
        <w:t xml:space="preserve">Source: Developed by </w:t>
      </w:r>
      <w:r w:rsidR="009A29FE" w:rsidRPr="00986894">
        <w:rPr>
          <w:rFonts w:ascii="Arial" w:hAnsi="Arial" w:cs="Arial"/>
          <w:sz w:val="17"/>
          <w:szCs w:val="17"/>
          <w:lang w:val="en-GB"/>
        </w:rPr>
        <w:t xml:space="preserve">case </w:t>
      </w:r>
      <w:r w:rsidRPr="00986894">
        <w:rPr>
          <w:rFonts w:ascii="Arial" w:hAnsi="Arial" w:cs="Arial"/>
          <w:sz w:val="17"/>
          <w:szCs w:val="17"/>
          <w:lang w:val="en-GB"/>
        </w:rPr>
        <w:t>author</w:t>
      </w:r>
      <w:r w:rsidR="009A29FE" w:rsidRPr="00986894">
        <w:rPr>
          <w:rFonts w:ascii="Arial" w:hAnsi="Arial" w:cs="Arial"/>
          <w:sz w:val="17"/>
          <w:szCs w:val="17"/>
          <w:lang w:val="en-GB"/>
        </w:rPr>
        <w:t xml:space="preserve"> with </w:t>
      </w:r>
      <w:r w:rsidRPr="00986894">
        <w:rPr>
          <w:rFonts w:ascii="Arial" w:hAnsi="Arial" w:cs="Arial"/>
          <w:sz w:val="17"/>
          <w:szCs w:val="17"/>
          <w:lang w:val="en-GB"/>
        </w:rPr>
        <w:t xml:space="preserve">data from </w:t>
      </w:r>
      <w:proofErr w:type="spellStart"/>
      <w:r w:rsidR="0027404A" w:rsidRPr="0027404A">
        <w:rPr>
          <w:rStyle w:val="FootnoteChar"/>
          <w:rFonts w:eastAsia="Calibri"/>
        </w:rPr>
        <w:t>Luckin</w:t>
      </w:r>
      <w:proofErr w:type="spellEnd"/>
      <w:r w:rsidR="0027404A" w:rsidRPr="0027404A">
        <w:rPr>
          <w:rStyle w:val="FootnoteChar"/>
          <w:rFonts w:eastAsia="Calibri"/>
        </w:rPr>
        <w:t xml:space="preserve"> Coffee, </w:t>
      </w:r>
      <w:proofErr w:type="spellStart"/>
      <w:r w:rsidR="0027404A" w:rsidRPr="00DE0D51">
        <w:rPr>
          <w:rStyle w:val="FootnoteChar"/>
          <w:rFonts w:eastAsia="Calibri"/>
          <w:i/>
        </w:rPr>
        <w:t>Luckin</w:t>
      </w:r>
      <w:proofErr w:type="spellEnd"/>
      <w:r w:rsidR="0027404A" w:rsidRPr="00DE0D51">
        <w:rPr>
          <w:rStyle w:val="FootnoteChar"/>
          <w:rFonts w:eastAsia="Calibri"/>
          <w:i/>
        </w:rPr>
        <w:t xml:space="preserve"> Coffee Inc. Prospectus: Representing 264,000,000 Class A Ordinary Shares,</w:t>
      </w:r>
      <w:r w:rsidR="0027404A" w:rsidRPr="0027404A">
        <w:rPr>
          <w:rStyle w:val="FootnoteChar"/>
          <w:rFonts w:eastAsia="Calibri"/>
        </w:rPr>
        <w:t xml:space="preserve"> May 17, 2019, accessed August 5, 2020, https://investor.luckincoffee.com/static-files/62ae7fff-d256-461e-9012-a47bfdc3a686</w:t>
      </w:r>
      <w:r w:rsidRPr="00986894">
        <w:rPr>
          <w:rFonts w:ascii="Arial" w:hAnsi="Arial" w:cs="Arial"/>
          <w:color w:val="000000" w:themeColor="text1"/>
          <w:sz w:val="17"/>
          <w:szCs w:val="17"/>
          <w:lang w:val="en-GB"/>
        </w:rPr>
        <w:t>; “</w:t>
      </w:r>
      <w:proofErr w:type="spellStart"/>
      <w:r w:rsidRPr="00986894">
        <w:rPr>
          <w:rFonts w:ascii="Arial" w:hAnsi="Arial" w:cs="Arial"/>
          <w:color w:val="000000" w:themeColor="text1"/>
          <w:sz w:val="17"/>
          <w:szCs w:val="17"/>
          <w:lang w:val="en-GB"/>
        </w:rPr>
        <w:t>Luckin</w:t>
      </w:r>
      <w:proofErr w:type="spellEnd"/>
      <w:r w:rsidRPr="00986894">
        <w:rPr>
          <w:rFonts w:ascii="Arial" w:hAnsi="Arial" w:cs="Arial"/>
          <w:color w:val="000000" w:themeColor="text1"/>
          <w:sz w:val="17"/>
          <w:szCs w:val="17"/>
          <w:lang w:val="en-GB"/>
        </w:rPr>
        <w:t xml:space="preserve"> Coffee Inc. Announces Unaudited Second Quarter 2019 Financial Results,”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007374CF">
        <w:rPr>
          <w:rFonts w:ascii="Arial" w:hAnsi="Arial" w:cs="Arial"/>
          <w:color w:val="000000" w:themeColor="text1"/>
          <w:sz w:val="17"/>
          <w:szCs w:val="17"/>
          <w:lang w:val="en-GB"/>
        </w:rPr>
        <w:t xml:space="preserve"> (</w:t>
      </w:r>
      <w:r w:rsidR="009A29FE" w:rsidRPr="00986894">
        <w:rPr>
          <w:rFonts w:ascii="Arial" w:hAnsi="Arial" w:cs="Arial"/>
          <w:color w:val="000000" w:themeColor="text1"/>
          <w:sz w:val="17"/>
          <w:szCs w:val="17"/>
          <w:lang w:val="en-GB"/>
        </w:rPr>
        <w:t>news release</w:t>
      </w:r>
      <w:r w:rsidR="007374CF">
        <w:rPr>
          <w:rFonts w:ascii="Arial" w:hAnsi="Arial" w:cs="Arial"/>
          <w:color w:val="000000" w:themeColor="text1"/>
          <w:sz w:val="17"/>
          <w:szCs w:val="17"/>
          <w:lang w:val="en-GB"/>
        </w:rPr>
        <w:t>)</w:t>
      </w:r>
      <w:r w:rsidR="009A29FE" w:rsidRPr="00986894">
        <w:rPr>
          <w:rFonts w:ascii="Arial" w:hAnsi="Arial" w:cs="Arial"/>
          <w:color w:val="000000" w:themeColor="text1"/>
          <w:sz w:val="17"/>
          <w:szCs w:val="17"/>
          <w:lang w:val="en-GB"/>
        </w:rPr>
        <w:t>,</w:t>
      </w:r>
      <w:r w:rsidRPr="00986894">
        <w:rPr>
          <w:rFonts w:ascii="Arial" w:hAnsi="Arial" w:cs="Arial"/>
          <w:color w:val="000000" w:themeColor="text1"/>
          <w:sz w:val="17"/>
          <w:szCs w:val="17"/>
          <w:lang w:val="en-GB"/>
        </w:rPr>
        <w:t xml:space="preserve"> August 14, 2019, accessed August 5, 2020,</w:t>
      </w:r>
      <w:r w:rsidRPr="00986894">
        <w:rPr>
          <w:lang w:val="en-GB"/>
        </w:rPr>
        <w:t xml:space="preserve"> </w:t>
      </w:r>
      <w:r w:rsidRPr="00986894">
        <w:rPr>
          <w:rFonts w:ascii="Arial" w:hAnsi="Arial" w:cs="Arial"/>
          <w:color w:val="000000" w:themeColor="text1"/>
          <w:sz w:val="17"/>
          <w:szCs w:val="17"/>
          <w:lang w:val="en-GB"/>
        </w:rPr>
        <w:t>https://investor.luckincoffee.com/static-files/399afeb2-3d54-4cc4-8030-d3672d865a71; “</w:t>
      </w:r>
      <w:proofErr w:type="spellStart"/>
      <w:r w:rsidRPr="00986894">
        <w:rPr>
          <w:rFonts w:ascii="Arial" w:hAnsi="Arial" w:cs="Arial"/>
          <w:color w:val="000000" w:themeColor="text1"/>
          <w:sz w:val="17"/>
          <w:szCs w:val="17"/>
          <w:lang w:val="en-GB"/>
        </w:rPr>
        <w:t>Luckin</w:t>
      </w:r>
      <w:proofErr w:type="spellEnd"/>
      <w:r w:rsidRPr="00986894">
        <w:rPr>
          <w:rFonts w:ascii="Arial" w:hAnsi="Arial" w:cs="Arial"/>
          <w:color w:val="000000" w:themeColor="text1"/>
          <w:sz w:val="17"/>
          <w:szCs w:val="17"/>
          <w:lang w:val="en-GB"/>
        </w:rPr>
        <w:t xml:space="preserve"> Coffee Inc. Announces Unaudited Third Quarter 2019 Financial Results,”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007374CF">
        <w:rPr>
          <w:rFonts w:ascii="Arial" w:hAnsi="Arial" w:cs="Arial"/>
          <w:color w:val="000000" w:themeColor="text1"/>
          <w:sz w:val="17"/>
          <w:szCs w:val="17"/>
          <w:lang w:val="en-GB"/>
        </w:rPr>
        <w:t xml:space="preserve"> (</w:t>
      </w:r>
      <w:r w:rsidR="009A29FE" w:rsidRPr="00986894">
        <w:rPr>
          <w:rFonts w:ascii="Arial" w:hAnsi="Arial" w:cs="Arial"/>
          <w:color w:val="000000" w:themeColor="text1"/>
          <w:sz w:val="17"/>
          <w:szCs w:val="17"/>
          <w:lang w:val="en-GB"/>
        </w:rPr>
        <w:t>news release</w:t>
      </w:r>
      <w:r w:rsidR="007374CF">
        <w:rPr>
          <w:rFonts w:ascii="Arial" w:hAnsi="Arial" w:cs="Arial"/>
          <w:color w:val="000000" w:themeColor="text1"/>
          <w:sz w:val="17"/>
          <w:szCs w:val="17"/>
          <w:lang w:val="en-GB"/>
        </w:rPr>
        <w:t>)</w:t>
      </w:r>
      <w:r w:rsidR="009A29FE" w:rsidRPr="00986894">
        <w:rPr>
          <w:rFonts w:ascii="Arial" w:hAnsi="Arial" w:cs="Arial"/>
          <w:color w:val="000000" w:themeColor="text1"/>
          <w:sz w:val="17"/>
          <w:szCs w:val="17"/>
          <w:lang w:val="en-GB"/>
        </w:rPr>
        <w:t>,</w:t>
      </w:r>
      <w:r w:rsidRPr="00986894">
        <w:rPr>
          <w:rFonts w:ascii="Arial" w:hAnsi="Arial" w:cs="Arial"/>
          <w:color w:val="000000" w:themeColor="text1"/>
          <w:sz w:val="17"/>
          <w:szCs w:val="17"/>
          <w:lang w:val="en-GB"/>
        </w:rPr>
        <w:t xml:space="preserve"> November 13, 2019, accessed August 5, 2020, </w:t>
      </w:r>
      <w:hyperlink r:id="rId11" w:history="1">
        <w:r w:rsidRPr="00986894">
          <w:rPr>
            <w:rStyle w:val="Hyperlink"/>
            <w:rFonts w:ascii="Arial" w:hAnsi="Arial" w:cs="Arial"/>
            <w:color w:val="000000" w:themeColor="text1"/>
            <w:sz w:val="17"/>
            <w:szCs w:val="17"/>
            <w:u w:val="none"/>
            <w:lang w:val="en-GB"/>
          </w:rPr>
          <w:t>https://investor.luckincoffee.com/static-files/e228e5f9-e47f-47e4-b8dd-f1cabe870ebb</w:t>
        </w:r>
      </w:hyperlink>
      <w:r w:rsidRPr="00986894">
        <w:rPr>
          <w:rStyle w:val="Hyperlink"/>
          <w:rFonts w:ascii="Arial" w:hAnsi="Arial" w:cs="Arial"/>
          <w:color w:val="000000" w:themeColor="text1"/>
          <w:sz w:val="17"/>
          <w:szCs w:val="17"/>
          <w:u w:val="none"/>
          <w:lang w:val="en-GB"/>
        </w:rPr>
        <w:t xml:space="preserve">; </w:t>
      </w:r>
      <w:r w:rsidR="007374CF">
        <w:rPr>
          <w:rStyle w:val="Hyperlink"/>
          <w:rFonts w:ascii="Arial" w:hAnsi="Arial" w:cs="Arial"/>
          <w:color w:val="000000" w:themeColor="text1"/>
          <w:sz w:val="17"/>
          <w:szCs w:val="17"/>
          <w:u w:val="none"/>
          <w:lang w:val="en-GB"/>
        </w:rPr>
        <w:t>“SEC Filings,”</w:t>
      </w:r>
      <w:r w:rsidR="00440CBC">
        <w:rPr>
          <w:rStyle w:val="Hyperlink"/>
          <w:rFonts w:ascii="Arial" w:hAnsi="Arial" w:cs="Arial"/>
          <w:color w:val="000000" w:themeColor="text1"/>
          <w:sz w:val="17"/>
          <w:szCs w:val="17"/>
          <w:u w:val="none"/>
          <w:lang w:val="en-GB"/>
        </w:rPr>
        <w:t xml:space="preserve">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Pr="00986894">
        <w:rPr>
          <w:rStyle w:val="Hyperlink"/>
          <w:rFonts w:ascii="Arial" w:hAnsi="Arial" w:cs="Arial"/>
          <w:color w:val="000000" w:themeColor="text1"/>
          <w:sz w:val="17"/>
          <w:szCs w:val="17"/>
          <w:u w:val="none"/>
          <w:lang w:val="en-GB"/>
        </w:rPr>
        <w:t>, November 25, 2019, accessed August 5, 2020, https://investor.luckincoffee.com/financial-information/sec-filings?items_per_page=10&amp;page=5</w:t>
      </w:r>
      <w:r w:rsidR="00D011D9" w:rsidRPr="00986894">
        <w:rPr>
          <w:rStyle w:val="Hyperlink"/>
          <w:rFonts w:ascii="Arial" w:hAnsi="Arial" w:cs="Arial"/>
          <w:color w:val="000000" w:themeColor="text1"/>
          <w:sz w:val="17"/>
          <w:szCs w:val="17"/>
          <w:u w:val="none"/>
          <w:lang w:val="en-GB"/>
        </w:rPr>
        <w:t>.</w:t>
      </w:r>
    </w:p>
    <w:p w14:paraId="683E5D5D" w14:textId="01AE8DFE" w:rsidR="00434F9E" w:rsidRPr="00986894" w:rsidRDefault="00434F9E">
      <w:pPr>
        <w:spacing w:after="200" w:line="276" w:lineRule="auto"/>
        <w:rPr>
          <w:rFonts w:ascii="Arial" w:hAnsi="Arial" w:cs="Arial"/>
          <w:sz w:val="17"/>
          <w:szCs w:val="17"/>
          <w:lang w:val="en-GB"/>
        </w:rPr>
      </w:pPr>
      <w:r w:rsidRPr="00986894">
        <w:rPr>
          <w:rFonts w:ascii="Arial" w:hAnsi="Arial" w:cs="Arial"/>
          <w:sz w:val="17"/>
          <w:szCs w:val="17"/>
          <w:lang w:val="en-GB"/>
        </w:rPr>
        <w:br w:type="page"/>
      </w:r>
    </w:p>
    <w:p w14:paraId="3B90AEB9" w14:textId="768BED75" w:rsidR="00E27BE4" w:rsidRPr="00986894" w:rsidRDefault="00E27BE4" w:rsidP="00D606C4">
      <w:pPr>
        <w:pStyle w:val="ExhibitHeading"/>
      </w:pPr>
      <w:r w:rsidRPr="00986894">
        <w:lastRenderedPageBreak/>
        <w:t xml:space="preserve">EXHIBIT </w:t>
      </w:r>
      <w:r w:rsidR="000E293F" w:rsidRPr="00986894">
        <w:t>4</w:t>
      </w:r>
      <w:r w:rsidRPr="00986894">
        <w:t xml:space="preserve">: </w:t>
      </w:r>
      <w:r w:rsidR="003C13E1" w:rsidRPr="00986894">
        <w:t>Luckin Coffee Inc.—</w:t>
      </w:r>
      <w:r w:rsidRPr="00986894">
        <w:t xml:space="preserve">Corporate structure </w:t>
      </w:r>
      <w:r w:rsidR="000E293F" w:rsidRPr="00986894">
        <w:t>(</w:t>
      </w:r>
      <w:r w:rsidRPr="00986894">
        <w:t>as of january 2020</w:t>
      </w:r>
      <w:r w:rsidR="000E293F" w:rsidRPr="00986894">
        <w:t>)</w:t>
      </w:r>
      <w:r w:rsidRPr="00986894">
        <w:t xml:space="preserve"> </w:t>
      </w:r>
    </w:p>
    <w:p w14:paraId="5D903B26" w14:textId="7B092B6E" w:rsidR="008645B9" w:rsidRPr="00986894" w:rsidRDefault="008645B9" w:rsidP="00194809">
      <w:pPr>
        <w:tabs>
          <w:tab w:val="left" w:pos="6155"/>
        </w:tabs>
        <w:jc w:val="both"/>
        <w:rPr>
          <w:rFonts w:ascii="Arial" w:hAnsi="Arial" w:cs="Arial"/>
          <w:sz w:val="17"/>
          <w:szCs w:val="17"/>
          <w:lang w:val="en-GB"/>
        </w:rPr>
      </w:pPr>
    </w:p>
    <w:p w14:paraId="7938ABD3" w14:textId="29D41CAA" w:rsidR="00E5123A" w:rsidRPr="00986894" w:rsidRDefault="00566BF9" w:rsidP="00194809">
      <w:pPr>
        <w:tabs>
          <w:tab w:val="left" w:pos="6155"/>
        </w:tabs>
        <w:jc w:val="both"/>
        <w:rPr>
          <w:rFonts w:ascii="Arial" w:hAnsi="Arial" w:cs="Arial"/>
          <w:sz w:val="17"/>
          <w:szCs w:val="17"/>
          <w:lang w:val="en-GB"/>
        </w:rPr>
      </w:pPr>
      <w:r w:rsidRPr="00723AFC">
        <w:rPr>
          <w:noProof/>
        </w:rPr>
        <w:drawing>
          <wp:inline distT="0" distB="0" distL="0" distR="0" wp14:anchorId="495C696B" wp14:editId="3BD127A4">
            <wp:extent cx="5943078" cy="3422477"/>
            <wp:effectExtent l="0" t="0" r="635" b="6985"/>
            <wp:docPr id="12" name="Picture 12" descr="Chart depicting Luckin Coffee Inc corporate structure as of Januar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724"/>
                    <a:stretch/>
                  </pic:blipFill>
                  <pic:spPr bwMode="auto">
                    <a:xfrm>
                      <a:off x="0" y="0"/>
                      <a:ext cx="5943600" cy="3422778"/>
                    </a:xfrm>
                    <a:prstGeom prst="rect">
                      <a:avLst/>
                    </a:prstGeom>
                    <a:noFill/>
                    <a:ln>
                      <a:noFill/>
                    </a:ln>
                    <a:extLst>
                      <a:ext uri="{53640926-AAD7-44D8-BBD7-CCE9431645EC}">
                        <a14:shadowObscured xmlns:a14="http://schemas.microsoft.com/office/drawing/2010/main"/>
                      </a:ext>
                    </a:extLst>
                  </pic:spPr>
                </pic:pic>
              </a:graphicData>
            </a:graphic>
          </wp:inline>
        </w:drawing>
      </w:r>
    </w:p>
    <w:p w14:paraId="764B2C01" w14:textId="77777777" w:rsidR="00434F9E" w:rsidRPr="00986894" w:rsidRDefault="00434F9E" w:rsidP="00194809">
      <w:pPr>
        <w:tabs>
          <w:tab w:val="left" w:pos="6155"/>
        </w:tabs>
        <w:jc w:val="both"/>
        <w:rPr>
          <w:rFonts w:ascii="Arial" w:hAnsi="Arial" w:cs="Arial"/>
          <w:sz w:val="17"/>
          <w:szCs w:val="17"/>
          <w:lang w:val="en-GB"/>
        </w:rPr>
      </w:pPr>
    </w:p>
    <w:p w14:paraId="63C6E645" w14:textId="01032CF5" w:rsidR="00DF1E60" w:rsidRPr="00986894" w:rsidRDefault="00DF1E60" w:rsidP="00194809">
      <w:pPr>
        <w:tabs>
          <w:tab w:val="left" w:pos="6155"/>
        </w:tabs>
        <w:jc w:val="both"/>
        <w:rPr>
          <w:rFonts w:ascii="Arial" w:hAnsi="Arial" w:cs="Arial"/>
          <w:sz w:val="17"/>
          <w:szCs w:val="17"/>
          <w:lang w:val="en-GB"/>
        </w:rPr>
      </w:pPr>
      <w:r w:rsidRPr="00986894">
        <w:rPr>
          <w:rFonts w:ascii="Arial" w:hAnsi="Arial" w:cs="Arial"/>
          <w:sz w:val="17"/>
          <w:szCs w:val="17"/>
          <w:lang w:val="en-GB"/>
        </w:rPr>
        <w:t xml:space="preserve">Notes: WFOE = </w:t>
      </w:r>
      <w:r w:rsidR="00015D7E" w:rsidRPr="00986894">
        <w:rPr>
          <w:rFonts w:ascii="Arial" w:hAnsi="Arial" w:cs="Arial"/>
          <w:sz w:val="17"/>
          <w:szCs w:val="17"/>
          <w:lang w:val="en-GB"/>
        </w:rPr>
        <w:t>wholly foreign-owned enterprise</w:t>
      </w:r>
      <w:r w:rsidRPr="00986894">
        <w:rPr>
          <w:rFonts w:ascii="Arial" w:hAnsi="Arial" w:cs="Arial"/>
          <w:sz w:val="17"/>
          <w:szCs w:val="17"/>
          <w:lang w:val="en-GB"/>
        </w:rPr>
        <w:t xml:space="preserve">; VIE = </w:t>
      </w:r>
      <w:r w:rsidR="00015D7E" w:rsidRPr="00986894">
        <w:rPr>
          <w:rFonts w:ascii="Arial" w:hAnsi="Arial" w:cs="Arial"/>
          <w:sz w:val="17"/>
          <w:szCs w:val="17"/>
          <w:lang w:val="en-GB"/>
        </w:rPr>
        <w:t>variable interest entity</w:t>
      </w:r>
      <w:r w:rsidRPr="00986894">
        <w:rPr>
          <w:rFonts w:ascii="Arial" w:hAnsi="Arial" w:cs="Arial"/>
          <w:sz w:val="17"/>
          <w:szCs w:val="17"/>
          <w:lang w:val="en-GB"/>
        </w:rPr>
        <w:t>.</w:t>
      </w:r>
    </w:p>
    <w:p w14:paraId="1968C831" w14:textId="736DD29E" w:rsidR="00E27BE4" w:rsidRPr="00986894" w:rsidRDefault="00E27BE4" w:rsidP="00194809">
      <w:pPr>
        <w:tabs>
          <w:tab w:val="left" w:pos="6155"/>
        </w:tabs>
        <w:jc w:val="both"/>
        <w:rPr>
          <w:rFonts w:ascii="Arial" w:hAnsi="Arial" w:cs="Arial"/>
          <w:b/>
          <w:lang w:val="en-GB"/>
        </w:rPr>
      </w:pPr>
      <w:r w:rsidRPr="00986894">
        <w:rPr>
          <w:rFonts w:ascii="Arial" w:hAnsi="Arial" w:cs="Arial"/>
          <w:sz w:val="17"/>
          <w:szCs w:val="17"/>
          <w:lang w:val="en-GB"/>
        </w:rPr>
        <w:t xml:space="preserve">Source: </w:t>
      </w:r>
      <w:proofErr w:type="spellStart"/>
      <w:r w:rsidRPr="00986894">
        <w:rPr>
          <w:rFonts w:ascii="Arial" w:hAnsi="Arial" w:cs="Arial"/>
          <w:sz w:val="17"/>
          <w:szCs w:val="17"/>
          <w:lang w:val="en-GB"/>
        </w:rPr>
        <w:t>Luckin</w:t>
      </w:r>
      <w:proofErr w:type="spellEnd"/>
      <w:r w:rsidRPr="00986894">
        <w:rPr>
          <w:rFonts w:ascii="Arial" w:hAnsi="Arial" w:cs="Arial"/>
          <w:sz w:val="17"/>
          <w:szCs w:val="17"/>
          <w:lang w:val="en-GB"/>
        </w:rPr>
        <w:t xml:space="preserve"> Coffee,</w:t>
      </w:r>
      <w:r w:rsidR="00E936E0">
        <w:rPr>
          <w:rFonts w:ascii="Arial" w:hAnsi="Arial" w:cs="Arial"/>
          <w:sz w:val="17"/>
          <w:szCs w:val="17"/>
          <w:lang w:val="en-GB"/>
        </w:rPr>
        <w:t xml:space="preserve"> </w:t>
      </w:r>
      <w:proofErr w:type="spellStart"/>
      <w:r w:rsidR="00E936E0" w:rsidRPr="00DE0D51">
        <w:rPr>
          <w:rFonts w:ascii="Arial" w:hAnsi="Arial" w:cs="Arial"/>
          <w:i/>
          <w:sz w:val="17"/>
          <w:szCs w:val="17"/>
          <w:lang w:val="en-GB"/>
        </w:rPr>
        <w:t>Luckin</w:t>
      </w:r>
      <w:proofErr w:type="spellEnd"/>
      <w:r w:rsidR="00E936E0" w:rsidRPr="00DE0D51">
        <w:rPr>
          <w:rFonts w:ascii="Arial" w:hAnsi="Arial" w:cs="Arial"/>
          <w:i/>
          <w:sz w:val="17"/>
          <w:szCs w:val="17"/>
          <w:lang w:val="en-GB"/>
        </w:rPr>
        <w:t xml:space="preserve"> Coffee Inc. </w:t>
      </w:r>
      <w:r w:rsidR="00744439" w:rsidRPr="00DE0D51">
        <w:rPr>
          <w:rFonts w:ascii="Arial" w:hAnsi="Arial" w:cs="Arial"/>
          <w:i/>
          <w:sz w:val="17"/>
          <w:szCs w:val="17"/>
          <w:lang w:val="en-GB"/>
        </w:rPr>
        <w:t>Representing 110,400,000 Class A Ordinary Shares</w:t>
      </w:r>
      <w:r w:rsidR="00744439" w:rsidRPr="00986894">
        <w:rPr>
          <w:rFonts w:ascii="Arial" w:hAnsi="Arial" w:cs="Arial"/>
          <w:sz w:val="17"/>
          <w:szCs w:val="17"/>
          <w:lang w:val="en-GB"/>
        </w:rPr>
        <w:t>,</w:t>
      </w:r>
      <w:r w:rsidRPr="00986894">
        <w:rPr>
          <w:rFonts w:ascii="Arial" w:hAnsi="Arial" w:cs="Arial"/>
          <w:sz w:val="17"/>
          <w:szCs w:val="17"/>
          <w:lang w:val="en-GB"/>
        </w:rPr>
        <w:t xml:space="preserve"> January </w:t>
      </w:r>
      <w:r w:rsidR="00744439" w:rsidRPr="00986894">
        <w:rPr>
          <w:rFonts w:ascii="Arial" w:hAnsi="Arial" w:cs="Arial"/>
          <w:sz w:val="17"/>
          <w:szCs w:val="17"/>
          <w:lang w:val="en-GB"/>
        </w:rPr>
        <w:t>10</w:t>
      </w:r>
      <w:r w:rsidRPr="00986894">
        <w:rPr>
          <w:rFonts w:ascii="Arial" w:hAnsi="Arial" w:cs="Arial"/>
          <w:sz w:val="17"/>
          <w:szCs w:val="17"/>
          <w:lang w:val="en-GB"/>
        </w:rPr>
        <w:t>, 2020, accessed August 5, 2020, https://investor.luckincoffee.com/static-files/8fc12b81-9b27-46ee-a117-63ce9364fc43</w:t>
      </w:r>
      <w:r w:rsidR="00744439" w:rsidRPr="00986894">
        <w:rPr>
          <w:rFonts w:ascii="Arial" w:hAnsi="Arial" w:cs="Arial"/>
          <w:sz w:val="17"/>
          <w:szCs w:val="17"/>
          <w:lang w:val="en-GB"/>
        </w:rPr>
        <w:t>.</w:t>
      </w:r>
    </w:p>
    <w:p w14:paraId="73082FCA" w14:textId="5F55B5B5" w:rsidR="00434F9E" w:rsidRPr="00986894" w:rsidRDefault="00434F9E" w:rsidP="00434F9E">
      <w:pPr>
        <w:pStyle w:val="Footnote"/>
      </w:pPr>
    </w:p>
    <w:p w14:paraId="7628D437" w14:textId="77777777" w:rsidR="00434F9E" w:rsidRPr="00986894" w:rsidRDefault="00434F9E" w:rsidP="00434F9E">
      <w:pPr>
        <w:pStyle w:val="Footnote"/>
      </w:pPr>
    </w:p>
    <w:p w14:paraId="4F92F8C1" w14:textId="77777777" w:rsidR="00374240" w:rsidRDefault="00374240">
      <w:pPr>
        <w:spacing w:after="200" w:line="276" w:lineRule="auto"/>
        <w:rPr>
          <w:rFonts w:ascii="Arial" w:eastAsia="Calibri" w:hAnsi="Arial" w:cs="Arial"/>
          <w:b/>
          <w:caps/>
          <w:color w:val="000000" w:themeColor="text1"/>
          <w:lang w:val="en-GB"/>
        </w:rPr>
      </w:pPr>
      <w:r>
        <w:br w:type="page"/>
      </w:r>
    </w:p>
    <w:p w14:paraId="3857D2DE" w14:textId="3E1F3DCF" w:rsidR="000E293F" w:rsidRPr="00986894" w:rsidRDefault="000E293F" w:rsidP="00515CCA">
      <w:pPr>
        <w:pStyle w:val="ExhibitHeading"/>
        <w:keepLines/>
      </w:pPr>
      <w:r w:rsidRPr="00986894">
        <w:lastRenderedPageBreak/>
        <w:t xml:space="preserve">EXHIBIT 5: luckin coffee Closing Stock Price </w:t>
      </w:r>
      <w:r w:rsidR="00DF1E60" w:rsidRPr="00986894">
        <w:t xml:space="preserve">on </w:t>
      </w:r>
      <w:r w:rsidRPr="00986894">
        <w:t>nasdaq and otc PINK</w:t>
      </w:r>
    </w:p>
    <w:p w14:paraId="1C4172FB" w14:textId="77777777" w:rsidR="000E293F" w:rsidRPr="00986894" w:rsidRDefault="000E293F" w:rsidP="00515CCA">
      <w:pPr>
        <w:pStyle w:val="ExhibitHeading"/>
        <w:keepLines/>
      </w:pPr>
      <w:r w:rsidRPr="00986894">
        <w:t>(in US$)</w:t>
      </w:r>
    </w:p>
    <w:p w14:paraId="15E4C2FB" w14:textId="3BC3EB7B" w:rsidR="000E293F" w:rsidRPr="00986894" w:rsidRDefault="000E293F" w:rsidP="00515CCA">
      <w:pPr>
        <w:pStyle w:val="Footnote"/>
        <w:keepLines/>
      </w:pPr>
    </w:p>
    <w:p w14:paraId="1EA9464E" w14:textId="63779BD4" w:rsidR="003F5FF0" w:rsidRPr="00986894" w:rsidRDefault="00990C25" w:rsidP="00990C25">
      <w:pPr>
        <w:pStyle w:val="ExhibitText"/>
        <w:keepLines/>
        <w:jc w:val="center"/>
      </w:pPr>
      <w:bookmarkStart w:id="22" w:name="_GoBack"/>
      <w:bookmarkEnd w:id="22"/>
      <w:r w:rsidRPr="00F42CC0">
        <w:rPr>
          <w:noProof/>
        </w:rPr>
        <w:drawing>
          <wp:inline distT="0" distB="0" distL="0" distR="0" wp14:anchorId="7AD4AA63" wp14:editId="7EA21005">
            <wp:extent cx="5943600" cy="2814320"/>
            <wp:effectExtent l="0" t="0" r="0" b="0"/>
            <wp:docPr id="13" name="Picture 13" descr="Graph depicting Luckin Coffee closing stock price on NASDAQ and OTC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056"/>
                    <a:stretch/>
                  </pic:blipFill>
                  <pic:spPr bwMode="auto">
                    <a:xfrm>
                      <a:off x="0" y="0"/>
                      <a:ext cx="5943600" cy="2814320"/>
                    </a:xfrm>
                    <a:prstGeom prst="rect">
                      <a:avLst/>
                    </a:prstGeom>
                    <a:noFill/>
                    <a:ln>
                      <a:noFill/>
                    </a:ln>
                    <a:extLst>
                      <a:ext uri="{53640926-AAD7-44D8-BBD7-CCE9431645EC}">
                        <a14:shadowObscured xmlns:a14="http://schemas.microsoft.com/office/drawing/2010/main"/>
                      </a:ext>
                    </a:extLst>
                  </pic:spPr>
                </pic:pic>
              </a:graphicData>
            </a:graphic>
          </wp:inline>
        </w:drawing>
      </w:r>
    </w:p>
    <w:p w14:paraId="5EFADACD" w14:textId="77777777" w:rsidR="003F5FF0" w:rsidRPr="00986894" w:rsidRDefault="003F5FF0" w:rsidP="00515CCA">
      <w:pPr>
        <w:pStyle w:val="Footnote"/>
        <w:keepLines/>
      </w:pPr>
    </w:p>
    <w:p w14:paraId="58A8DAB7" w14:textId="1DFA4BF6" w:rsidR="003F5FF0" w:rsidRPr="00E92A67" w:rsidRDefault="003F5FF0" w:rsidP="00515CCA">
      <w:pPr>
        <w:pStyle w:val="Footnote"/>
        <w:keepLines/>
      </w:pPr>
      <w:r w:rsidRPr="00986894">
        <w:t xml:space="preserve">Source: Developed by </w:t>
      </w:r>
      <w:r w:rsidR="00DF1E60" w:rsidRPr="00986894">
        <w:t xml:space="preserve">case </w:t>
      </w:r>
      <w:r w:rsidRPr="00986894">
        <w:t>author</w:t>
      </w:r>
      <w:bookmarkStart w:id="23" w:name="_Hlk56530619"/>
      <w:r w:rsidR="00DF1E60" w:rsidRPr="00986894">
        <w:t xml:space="preserve"> with </w:t>
      </w:r>
      <w:r w:rsidRPr="00986894">
        <w:t>historical stock price data from “</w:t>
      </w:r>
      <w:proofErr w:type="spellStart"/>
      <w:r w:rsidRPr="00986894">
        <w:t>Luckin</w:t>
      </w:r>
      <w:proofErr w:type="spellEnd"/>
      <w:r w:rsidRPr="00986894">
        <w:t xml:space="preserve"> Coffee Inc.</w:t>
      </w:r>
      <w:r w:rsidR="00E92A67">
        <w:t xml:space="preserve"> (LKNCY)</w:t>
      </w:r>
      <w:r w:rsidRPr="00986894">
        <w:t xml:space="preserve">,” </w:t>
      </w:r>
      <w:r w:rsidRPr="00952FE3">
        <w:rPr>
          <w:iCs/>
        </w:rPr>
        <w:t>Yahoo! Finance</w:t>
      </w:r>
      <w:r w:rsidRPr="00986894">
        <w:t xml:space="preserve">, accessed </w:t>
      </w:r>
      <w:r w:rsidR="00A55011">
        <w:t>December 19, 2020</w:t>
      </w:r>
      <w:r w:rsidR="00B40860">
        <w:t>,</w:t>
      </w:r>
      <w:r w:rsidR="00176FB7">
        <w:t xml:space="preserve"> ,</w:t>
      </w:r>
      <w:r w:rsidRPr="00986894">
        <w:t xml:space="preserve"> </w:t>
      </w:r>
      <w:hyperlink r:id="rId14" w:history="1">
        <w:r w:rsidR="00E92A67" w:rsidRPr="00DE0D51">
          <w:rPr>
            <w:rStyle w:val="Hyperlink"/>
            <w:color w:val="auto"/>
            <w:u w:val="none"/>
          </w:rPr>
          <w:t>https://finance.yahoo.com/quote/LKNCY/history?period1=1558224000&amp;period2=1608336000&amp;interval=1d&amp;filter=history&amp;frequency=1d&amp;includeAdjustedClose=true</w:t>
        </w:r>
      </w:hyperlink>
      <w:r w:rsidR="00E92A67" w:rsidRPr="00E92A67">
        <w:t xml:space="preserve">. </w:t>
      </w:r>
    </w:p>
    <w:p w14:paraId="2AA69345" w14:textId="77777777" w:rsidR="00DF1E60" w:rsidRPr="00DE0D51" w:rsidRDefault="00DF1E60" w:rsidP="00515CCA">
      <w:pPr>
        <w:pStyle w:val="Footnote"/>
        <w:keepLines/>
      </w:pPr>
    </w:p>
    <w:p w14:paraId="5E98D9F1" w14:textId="77777777" w:rsidR="001728FA" w:rsidRPr="00986894" w:rsidRDefault="001728FA" w:rsidP="00374240">
      <w:pPr>
        <w:pStyle w:val="Footnote"/>
        <w:rPr>
          <w:color w:val="000000"/>
        </w:rPr>
      </w:pPr>
    </w:p>
    <w:bookmarkEnd w:id="23"/>
    <w:p w14:paraId="2E8EDD08" w14:textId="77777777" w:rsidR="00374240" w:rsidRDefault="00374240">
      <w:pPr>
        <w:spacing w:after="200" w:line="276" w:lineRule="auto"/>
        <w:rPr>
          <w:rFonts w:ascii="Arial" w:eastAsia="Calibri" w:hAnsi="Arial" w:cs="Arial"/>
          <w:b/>
          <w:caps/>
          <w:color w:val="000000" w:themeColor="text1"/>
          <w:lang w:val="en-GB"/>
        </w:rPr>
      </w:pPr>
      <w:r>
        <w:br w:type="page"/>
      </w:r>
    </w:p>
    <w:p w14:paraId="2A0092C6" w14:textId="545DD3B0" w:rsidR="009D56D1" w:rsidRPr="00986894" w:rsidRDefault="009D56D1" w:rsidP="00515CCA">
      <w:pPr>
        <w:pStyle w:val="ExhibitHeading"/>
        <w:keepLines/>
      </w:pPr>
      <w:r w:rsidRPr="00986894">
        <w:lastRenderedPageBreak/>
        <w:t xml:space="preserve">EXHIBIT </w:t>
      </w:r>
      <w:r w:rsidR="0079534E" w:rsidRPr="00986894">
        <w:t>6</w:t>
      </w:r>
      <w:r w:rsidRPr="00986894">
        <w:t>: comparison of strategies adopted by luckin coffee and starbucks</w:t>
      </w:r>
    </w:p>
    <w:p w14:paraId="730B8BDF" w14:textId="77777777" w:rsidR="009D56D1" w:rsidRPr="00986894" w:rsidRDefault="009D56D1" w:rsidP="00515CCA">
      <w:pPr>
        <w:pStyle w:val="Footnote"/>
        <w:keepLines/>
        <w:rPr>
          <w:rFonts w:eastAsia="Calibri"/>
        </w:rPr>
      </w:pPr>
    </w:p>
    <w:tbl>
      <w:tblPr>
        <w:tblStyle w:val="TableGrid"/>
        <w:tblW w:w="0" w:type="auto"/>
        <w:tblLook w:val="04A0" w:firstRow="1" w:lastRow="0" w:firstColumn="1" w:lastColumn="0" w:noHBand="0" w:noVBand="1"/>
        <w:tblCaption w:val="Exhibit 6"/>
        <w:tblDescription w:val="Comparison of Strategies adopted by Luckin Coffee and Starbucks."/>
      </w:tblPr>
      <w:tblGrid>
        <w:gridCol w:w="1879"/>
        <w:gridCol w:w="3735"/>
        <w:gridCol w:w="3736"/>
      </w:tblGrid>
      <w:tr w:rsidR="009D56D1" w:rsidRPr="00986894" w14:paraId="0A9E0621" w14:textId="77777777" w:rsidTr="00E36F9E">
        <w:trPr>
          <w:tblHeader/>
        </w:trPr>
        <w:tc>
          <w:tcPr>
            <w:tcW w:w="1838" w:type="dxa"/>
          </w:tcPr>
          <w:p w14:paraId="1D01D0F7" w14:textId="77777777" w:rsidR="009D56D1" w:rsidRPr="00986894" w:rsidRDefault="009D56D1" w:rsidP="00515CCA">
            <w:pPr>
              <w:keepLines/>
              <w:jc w:val="center"/>
              <w:rPr>
                <w:rFonts w:ascii="Arial" w:eastAsia="Calibri" w:hAnsi="Arial" w:cs="Arial"/>
                <w:color w:val="000000" w:themeColor="text1"/>
                <w:sz w:val="17"/>
                <w:szCs w:val="17"/>
                <w:lang w:val="en-GB"/>
              </w:rPr>
            </w:pPr>
          </w:p>
        </w:tc>
        <w:tc>
          <w:tcPr>
            <w:tcW w:w="3756" w:type="dxa"/>
          </w:tcPr>
          <w:p w14:paraId="69BA5D62" w14:textId="77777777" w:rsidR="009D56D1" w:rsidRPr="00952FE3" w:rsidRDefault="009D56D1" w:rsidP="00515CCA">
            <w:pPr>
              <w:keepLines/>
              <w:jc w:val="center"/>
              <w:rPr>
                <w:rFonts w:ascii="Arial" w:eastAsia="Calibri" w:hAnsi="Arial" w:cs="Arial"/>
                <w:b/>
                <w:color w:val="000000" w:themeColor="text1"/>
                <w:sz w:val="17"/>
                <w:szCs w:val="17"/>
                <w:lang w:val="en-GB"/>
              </w:rPr>
            </w:pPr>
            <w:proofErr w:type="spellStart"/>
            <w:r w:rsidRPr="00952FE3">
              <w:rPr>
                <w:rFonts w:ascii="Arial" w:eastAsia="Calibri" w:hAnsi="Arial" w:cs="Arial"/>
                <w:b/>
                <w:color w:val="000000" w:themeColor="text1"/>
                <w:sz w:val="17"/>
                <w:szCs w:val="17"/>
                <w:lang w:val="en-GB"/>
              </w:rPr>
              <w:t>Luckin</w:t>
            </w:r>
            <w:proofErr w:type="spellEnd"/>
            <w:r w:rsidRPr="00952FE3">
              <w:rPr>
                <w:rFonts w:ascii="Arial" w:eastAsia="Calibri" w:hAnsi="Arial" w:cs="Arial"/>
                <w:b/>
                <w:color w:val="000000" w:themeColor="text1"/>
                <w:sz w:val="17"/>
                <w:szCs w:val="17"/>
                <w:lang w:val="en-GB"/>
              </w:rPr>
              <w:t xml:space="preserve"> Coffee</w:t>
            </w:r>
          </w:p>
        </w:tc>
        <w:tc>
          <w:tcPr>
            <w:tcW w:w="3756" w:type="dxa"/>
          </w:tcPr>
          <w:p w14:paraId="2D9D67A6" w14:textId="77777777" w:rsidR="009D56D1" w:rsidRPr="00952FE3" w:rsidRDefault="009D56D1" w:rsidP="00515CCA">
            <w:pPr>
              <w:keepLines/>
              <w:jc w:val="center"/>
              <w:rPr>
                <w:rFonts w:ascii="Arial" w:eastAsia="Calibri" w:hAnsi="Arial" w:cs="Arial"/>
                <w:b/>
                <w:color w:val="000000" w:themeColor="text1"/>
                <w:sz w:val="17"/>
                <w:szCs w:val="17"/>
                <w:lang w:val="en-GB"/>
              </w:rPr>
            </w:pPr>
            <w:r w:rsidRPr="00952FE3">
              <w:rPr>
                <w:rFonts w:ascii="Arial" w:eastAsia="Calibri" w:hAnsi="Arial" w:cs="Arial"/>
                <w:b/>
                <w:color w:val="000000" w:themeColor="text1"/>
                <w:sz w:val="17"/>
                <w:szCs w:val="17"/>
                <w:lang w:val="en-GB"/>
              </w:rPr>
              <w:t>Starbucks</w:t>
            </w:r>
          </w:p>
        </w:tc>
      </w:tr>
      <w:tr w:rsidR="009D56D1" w:rsidRPr="00986894" w14:paraId="63691A02" w14:textId="77777777" w:rsidTr="00E36F9E">
        <w:trPr>
          <w:tblHeader/>
        </w:trPr>
        <w:tc>
          <w:tcPr>
            <w:tcW w:w="1838" w:type="dxa"/>
          </w:tcPr>
          <w:p w14:paraId="6B5DC3A7"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 xml:space="preserve">Target Market </w:t>
            </w:r>
          </w:p>
        </w:tc>
        <w:tc>
          <w:tcPr>
            <w:tcW w:w="3756" w:type="dxa"/>
          </w:tcPr>
          <w:p w14:paraId="0727C932" w14:textId="0C0C79DE"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cost</w:t>
            </w:r>
            <w:r w:rsidR="009D56D1" w:rsidRPr="00952FE3">
              <w:rPr>
                <w:rFonts w:ascii="Arial" w:hAnsi="Arial" w:cs="Arial"/>
                <w:color w:val="000000" w:themeColor="text1"/>
                <w:sz w:val="17"/>
                <w:szCs w:val="17"/>
              </w:rPr>
              <w:t>-conscious digital natives</w:t>
            </w:r>
          </w:p>
        </w:tc>
        <w:tc>
          <w:tcPr>
            <w:tcW w:w="3756" w:type="dxa"/>
          </w:tcPr>
          <w:p w14:paraId="1C5E2974" w14:textId="6FAF27A7"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growing </w:t>
            </w:r>
            <w:r w:rsidR="009D56D1" w:rsidRPr="00952FE3">
              <w:rPr>
                <w:rFonts w:ascii="Arial" w:hAnsi="Arial" w:cs="Arial"/>
                <w:color w:val="000000" w:themeColor="text1"/>
                <w:sz w:val="17"/>
                <w:szCs w:val="17"/>
              </w:rPr>
              <w:t>number of middle-class Chinese</w:t>
            </w:r>
            <w:r w:rsidRPr="00952FE3">
              <w:rPr>
                <w:rFonts w:ascii="Arial" w:hAnsi="Arial" w:cs="Arial"/>
                <w:color w:val="000000" w:themeColor="text1"/>
                <w:sz w:val="17"/>
                <w:szCs w:val="17"/>
              </w:rPr>
              <w:t xml:space="preserve"> citizens</w:t>
            </w:r>
          </w:p>
        </w:tc>
      </w:tr>
      <w:tr w:rsidR="009D56D1" w:rsidRPr="00986894" w14:paraId="725E62F2" w14:textId="77777777" w:rsidTr="00E36F9E">
        <w:trPr>
          <w:tblHeader/>
        </w:trPr>
        <w:tc>
          <w:tcPr>
            <w:tcW w:w="1838" w:type="dxa"/>
          </w:tcPr>
          <w:p w14:paraId="5217BAE2"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Value Proposition</w:t>
            </w:r>
          </w:p>
        </w:tc>
        <w:tc>
          <w:tcPr>
            <w:tcW w:w="3756" w:type="dxa"/>
          </w:tcPr>
          <w:p w14:paraId="2926D5A6" w14:textId="05C5A3DD"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tech </w:t>
            </w:r>
            <w:r w:rsidR="009D56D1" w:rsidRPr="00952FE3">
              <w:rPr>
                <w:rFonts w:ascii="Arial" w:hAnsi="Arial" w:cs="Arial"/>
                <w:color w:val="000000" w:themeColor="text1"/>
                <w:sz w:val="17"/>
                <w:szCs w:val="17"/>
              </w:rPr>
              <w:t>company that sells affordable coffee on demand</w:t>
            </w:r>
          </w:p>
        </w:tc>
        <w:tc>
          <w:tcPr>
            <w:tcW w:w="3756" w:type="dxa"/>
          </w:tcPr>
          <w:p w14:paraId="51DEFB60" w14:textId="1550EA75"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international </w:t>
            </w:r>
            <w:r w:rsidR="009D56D1" w:rsidRPr="00952FE3">
              <w:rPr>
                <w:rFonts w:ascii="Arial" w:hAnsi="Arial" w:cs="Arial"/>
                <w:color w:val="000000" w:themeColor="text1"/>
                <w:sz w:val="17"/>
                <w:szCs w:val="17"/>
              </w:rPr>
              <w:t>company that sells social status and rents couches in a third space (place between home and office)</w:t>
            </w:r>
          </w:p>
        </w:tc>
      </w:tr>
      <w:tr w:rsidR="009D56D1" w:rsidRPr="00986894" w14:paraId="5DE4DBD1" w14:textId="77777777" w:rsidTr="00E36F9E">
        <w:trPr>
          <w:tblHeader/>
        </w:trPr>
        <w:tc>
          <w:tcPr>
            <w:tcW w:w="1838" w:type="dxa"/>
          </w:tcPr>
          <w:p w14:paraId="2A06CC49"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Location</w:t>
            </w:r>
          </w:p>
        </w:tc>
        <w:tc>
          <w:tcPr>
            <w:tcW w:w="3756" w:type="dxa"/>
          </w:tcPr>
          <w:p w14:paraId="6885A270" w14:textId="5954DFDD" w:rsidR="001728FA"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lobbies </w:t>
            </w:r>
            <w:r w:rsidR="009D56D1" w:rsidRPr="00952FE3">
              <w:rPr>
                <w:rFonts w:ascii="Arial" w:hAnsi="Arial" w:cs="Arial"/>
                <w:color w:val="000000" w:themeColor="text1"/>
                <w:sz w:val="17"/>
                <w:szCs w:val="17"/>
              </w:rPr>
              <w:t>of office buildings</w:t>
            </w:r>
          </w:p>
          <w:p w14:paraId="61D7D56C" w14:textId="0BB349F5" w:rsidR="009D56D1" w:rsidRPr="00952FE3" w:rsidRDefault="009D56D1"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university campus</w:t>
            </w:r>
            <w:r w:rsidR="001728FA" w:rsidRPr="00952FE3">
              <w:rPr>
                <w:rFonts w:ascii="Arial" w:hAnsi="Arial" w:cs="Arial"/>
                <w:color w:val="000000" w:themeColor="text1"/>
                <w:sz w:val="17"/>
                <w:szCs w:val="17"/>
              </w:rPr>
              <w:t>es</w:t>
            </w:r>
            <w:r w:rsidRPr="00952FE3">
              <w:rPr>
                <w:rFonts w:ascii="Arial" w:hAnsi="Arial" w:cs="Arial"/>
                <w:color w:val="000000" w:themeColor="text1"/>
                <w:sz w:val="17"/>
                <w:szCs w:val="17"/>
              </w:rPr>
              <w:t xml:space="preserve"> in </w:t>
            </w:r>
            <w:r w:rsidR="001728FA" w:rsidRPr="00952FE3">
              <w:rPr>
                <w:rFonts w:ascii="Arial" w:hAnsi="Arial" w:cs="Arial"/>
                <w:color w:val="000000" w:themeColor="text1"/>
                <w:sz w:val="17"/>
                <w:szCs w:val="17"/>
              </w:rPr>
              <w:t>top-</w:t>
            </w:r>
            <w:r w:rsidRPr="00952FE3">
              <w:rPr>
                <w:rFonts w:ascii="Arial" w:hAnsi="Arial" w:cs="Arial"/>
                <w:color w:val="000000" w:themeColor="text1"/>
                <w:sz w:val="17"/>
                <w:szCs w:val="17"/>
              </w:rPr>
              <w:t>tier cities</w:t>
            </w:r>
          </w:p>
        </w:tc>
        <w:tc>
          <w:tcPr>
            <w:tcW w:w="3756" w:type="dxa"/>
          </w:tcPr>
          <w:p w14:paraId="30238653" w14:textId="268346EB" w:rsidR="009D56D1" w:rsidRPr="00952FE3" w:rsidRDefault="00873DCC" w:rsidP="00515CCA">
            <w:pPr>
              <w:pStyle w:val="ListParagraph"/>
              <w:keepLines/>
              <w:numPr>
                <w:ilvl w:val="0"/>
                <w:numId w:val="26"/>
              </w:numPr>
              <w:ind w:left="209" w:hanging="209"/>
              <w:rPr>
                <w:rFonts w:ascii="Arial" w:hAnsi="Arial" w:cs="Arial"/>
                <w:color w:val="000000" w:themeColor="text1"/>
                <w:sz w:val="17"/>
                <w:szCs w:val="17"/>
              </w:rPr>
            </w:pPr>
            <w:r w:rsidRPr="00873DCC">
              <w:rPr>
                <w:rFonts w:ascii="Arial" w:hAnsi="Arial" w:cs="Arial"/>
                <w:color w:val="000000" w:themeColor="text1"/>
                <w:sz w:val="17"/>
                <w:szCs w:val="17"/>
              </w:rPr>
              <w:t>high-</w:t>
            </w:r>
            <w:r w:rsidR="001728FA" w:rsidRPr="00952FE3">
              <w:rPr>
                <w:rFonts w:ascii="Arial" w:hAnsi="Arial" w:cs="Arial"/>
                <w:color w:val="000000" w:themeColor="text1"/>
                <w:sz w:val="17"/>
                <w:szCs w:val="17"/>
              </w:rPr>
              <w:t xml:space="preserve">visibility </w:t>
            </w:r>
            <w:r w:rsidR="009D56D1" w:rsidRPr="00952FE3">
              <w:rPr>
                <w:rFonts w:ascii="Arial" w:hAnsi="Arial" w:cs="Arial"/>
                <w:color w:val="000000" w:themeColor="text1"/>
                <w:sz w:val="17"/>
                <w:szCs w:val="17"/>
              </w:rPr>
              <w:t>places in areas that support premium brand image</w:t>
            </w:r>
          </w:p>
        </w:tc>
      </w:tr>
      <w:tr w:rsidR="009D56D1" w:rsidRPr="00986894" w14:paraId="243FABE6" w14:textId="77777777" w:rsidTr="00E36F9E">
        <w:trPr>
          <w:tblHeader/>
        </w:trPr>
        <w:tc>
          <w:tcPr>
            <w:tcW w:w="1838" w:type="dxa"/>
          </w:tcPr>
          <w:p w14:paraId="2FD1CD93"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Store Size</w:t>
            </w:r>
          </w:p>
        </w:tc>
        <w:tc>
          <w:tcPr>
            <w:tcW w:w="3756" w:type="dxa"/>
          </w:tcPr>
          <w:p w14:paraId="1EC8426B" w14:textId="680249F6" w:rsidR="009D56D1" w:rsidRPr="00952FE3" w:rsidRDefault="001728FA" w:rsidP="00515CCA">
            <w:pPr>
              <w:pStyle w:val="ListParagraph"/>
              <w:keepLines/>
              <w:numPr>
                <w:ilvl w:val="0"/>
                <w:numId w:val="26"/>
              </w:numPr>
              <w:ind w:left="209" w:hanging="209"/>
              <w:rPr>
                <w:sz w:val="17"/>
                <w:szCs w:val="17"/>
              </w:rPr>
            </w:pPr>
            <w:r w:rsidRPr="00952FE3">
              <w:rPr>
                <w:rFonts w:ascii="Arial" w:hAnsi="Arial" w:cs="Arial"/>
                <w:color w:val="000000" w:themeColor="text1"/>
                <w:sz w:val="17"/>
                <w:szCs w:val="17"/>
              </w:rPr>
              <w:t xml:space="preserve">between </w:t>
            </w:r>
            <w:r w:rsidR="009D56D1" w:rsidRPr="00952FE3">
              <w:rPr>
                <w:rFonts w:ascii="Arial" w:hAnsi="Arial" w:cs="Arial"/>
                <w:color w:val="000000" w:themeColor="text1"/>
                <w:sz w:val="17"/>
                <w:szCs w:val="17"/>
              </w:rPr>
              <w:t>20</w:t>
            </w:r>
            <w:r w:rsidRPr="00952FE3">
              <w:rPr>
                <w:rFonts w:ascii="Arial" w:hAnsi="Arial" w:cs="Arial"/>
                <w:color w:val="000000" w:themeColor="text1"/>
                <w:sz w:val="17"/>
                <w:szCs w:val="17"/>
              </w:rPr>
              <w:t xml:space="preserve"> and </w:t>
            </w:r>
            <w:r w:rsidR="009D56D1" w:rsidRPr="00952FE3">
              <w:rPr>
                <w:rFonts w:ascii="Arial" w:hAnsi="Arial" w:cs="Arial"/>
                <w:color w:val="000000" w:themeColor="text1"/>
                <w:sz w:val="17"/>
                <w:szCs w:val="17"/>
              </w:rPr>
              <w:t>60 m</w:t>
            </w:r>
            <w:r w:rsidRPr="00952FE3">
              <w:rPr>
                <w:rFonts w:ascii="Arial" w:hAnsi="Arial" w:cs="Arial"/>
                <w:color w:val="000000" w:themeColor="text1"/>
                <w:sz w:val="17"/>
                <w:szCs w:val="17"/>
                <w:vertAlign w:val="superscript"/>
              </w:rPr>
              <w:t>2</w:t>
            </w:r>
            <w:r w:rsidRPr="00952FE3">
              <w:rPr>
                <w:rFonts w:ascii="Arial" w:hAnsi="Arial" w:cs="Arial"/>
                <w:color w:val="000000" w:themeColor="text1"/>
                <w:sz w:val="17"/>
                <w:szCs w:val="17"/>
              </w:rPr>
              <w:t xml:space="preserve"> </w:t>
            </w:r>
            <w:r w:rsidR="009D56D1" w:rsidRPr="00952FE3">
              <w:rPr>
                <w:rFonts w:ascii="Arial" w:hAnsi="Arial" w:cs="Arial"/>
                <w:color w:val="000000" w:themeColor="text1"/>
                <w:sz w:val="17"/>
                <w:szCs w:val="17"/>
              </w:rPr>
              <w:t>for pick-up stores</w:t>
            </w:r>
            <w:r w:rsidRPr="00952FE3">
              <w:rPr>
                <w:rFonts w:ascii="Arial" w:hAnsi="Arial" w:cs="Arial"/>
                <w:color w:val="000000" w:themeColor="text1"/>
                <w:sz w:val="17"/>
                <w:szCs w:val="17"/>
              </w:rPr>
              <w:t>, which</w:t>
            </w:r>
            <w:r w:rsidR="009D56D1" w:rsidRPr="00952FE3">
              <w:rPr>
                <w:rFonts w:ascii="Arial" w:hAnsi="Arial" w:cs="Arial"/>
                <w:color w:val="000000" w:themeColor="text1"/>
                <w:sz w:val="17"/>
                <w:szCs w:val="17"/>
              </w:rPr>
              <w:t xml:space="preserve"> account for more than 90% of all existing stores</w:t>
            </w:r>
          </w:p>
          <w:p w14:paraId="03A8B753" w14:textId="2D11CD9B" w:rsidR="009D56D1" w:rsidRPr="00986894" w:rsidRDefault="001728FA" w:rsidP="00515CCA">
            <w:pPr>
              <w:pStyle w:val="Footnote"/>
              <w:keepLines/>
              <w:numPr>
                <w:ilvl w:val="0"/>
                <w:numId w:val="26"/>
              </w:numPr>
              <w:ind w:left="209" w:hanging="209"/>
            </w:pPr>
            <w:r w:rsidRPr="00986894">
              <w:t xml:space="preserve">about </w:t>
            </w:r>
            <w:r w:rsidR="009D56D1" w:rsidRPr="00986894">
              <w:t xml:space="preserve">150 </w:t>
            </w:r>
            <w:r w:rsidRPr="00986894">
              <w:t>m</w:t>
            </w:r>
            <w:r w:rsidRPr="00952FE3">
              <w:rPr>
                <w:vertAlign w:val="superscript"/>
              </w:rPr>
              <w:t>2</w:t>
            </w:r>
            <w:r w:rsidR="009D56D1" w:rsidRPr="00986894">
              <w:t xml:space="preserve"> for relax</w:t>
            </w:r>
            <w:r w:rsidRPr="00986894">
              <w:t>ed,</w:t>
            </w:r>
            <w:r w:rsidR="009D56D1" w:rsidRPr="00986894">
              <w:t xml:space="preserve"> dine-in stores </w:t>
            </w:r>
          </w:p>
          <w:p w14:paraId="7A8DA452" w14:textId="01290612" w:rsidR="009D56D1" w:rsidRPr="00986894" w:rsidRDefault="001728FA" w:rsidP="00515CCA">
            <w:pPr>
              <w:pStyle w:val="Footnote"/>
              <w:keepLines/>
              <w:numPr>
                <w:ilvl w:val="0"/>
                <w:numId w:val="26"/>
              </w:numPr>
              <w:ind w:left="209" w:hanging="209"/>
              <w:rPr>
                <w:rFonts w:eastAsia="Calibri"/>
                <w:color w:val="000000" w:themeColor="text1"/>
              </w:rPr>
            </w:pPr>
            <w:r w:rsidRPr="00986894">
              <w:rPr>
                <w:color w:val="000000" w:themeColor="text1"/>
              </w:rPr>
              <w:t xml:space="preserve">larger </w:t>
            </w:r>
            <w:r w:rsidR="009D56D1" w:rsidRPr="00986894">
              <w:rPr>
                <w:color w:val="000000" w:themeColor="text1"/>
              </w:rPr>
              <w:t>kitchen stores for delivery</w:t>
            </w:r>
          </w:p>
        </w:tc>
        <w:tc>
          <w:tcPr>
            <w:tcW w:w="3756" w:type="dxa"/>
          </w:tcPr>
          <w:p w14:paraId="26E5CE55" w14:textId="166E2B87"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between </w:t>
            </w:r>
            <w:r w:rsidR="009D56D1" w:rsidRPr="00952FE3">
              <w:rPr>
                <w:rFonts w:ascii="Arial" w:hAnsi="Arial" w:cs="Arial"/>
                <w:color w:val="000000" w:themeColor="text1"/>
                <w:sz w:val="17"/>
                <w:szCs w:val="17"/>
              </w:rPr>
              <w:t>100</w:t>
            </w:r>
            <w:r w:rsidRPr="00952FE3">
              <w:rPr>
                <w:rFonts w:ascii="Arial" w:hAnsi="Arial" w:cs="Arial"/>
                <w:color w:val="000000" w:themeColor="text1"/>
                <w:sz w:val="17"/>
                <w:szCs w:val="17"/>
              </w:rPr>
              <w:t xml:space="preserve"> and </w:t>
            </w:r>
            <w:r w:rsidR="009D56D1" w:rsidRPr="00952FE3">
              <w:rPr>
                <w:rFonts w:ascii="Arial" w:hAnsi="Arial" w:cs="Arial"/>
                <w:color w:val="000000" w:themeColor="text1"/>
                <w:sz w:val="17"/>
                <w:szCs w:val="17"/>
              </w:rPr>
              <w:t xml:space="preserve">150 </w:t>
            </w:r>
            <w:r w:rsidRPr="00952FE3">
              <w:rPr>
                <w:rFonts w:ascii="Arial" w:hAnsi="Arial" w:cs="Arial"/>
                <w:color w:val="000000" w:themeColor="text1"/>
                <w:sz w:val="17"/>
                <w:szCs w:val="17"/>
              </w:rPr>
              <w:t>m</w:t>
            </w:r>
            <w:r w:rsidRPr="00952FE3">
              <w:rPr>
                <w:rFonts w:ascii="Arial" w:hAnsi="Arial" w:cs="Arial"/>
                <w:color w:val="000000" w:themeColor="text1"/>
                <w:sz w:val="17"/>
                <w:szCs w:val="17"/>
                <w:vertAlign w:val="superscript"/>
              </w:rPr>
              <w:t xml:space="preserve">2 </w:t>
            </w:r>
          </w:p>
          <w:p w14:paraId="5929661F" w14:textId="5A26CF4B"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around </w:t>
            </w:r>
            <w:r w:rsidR="009D56D1" w:rsidRPr="00952FE3">
              <w:rPr>
                <w:rFonts w:ascii="Arial" w:hAnsi="Arial" w:cs="Arial"/>
                <w:color w:val="000000" w:themeColor="text1"/>
                <w:sz w:val="17"/>
                <w:szCs w:val="17"/>
              </w:rPr>
              <w:t xml:space="preserve">350 </w:t>
            </w:r>
            <w:r w:rsidRPr="00952FE3">
              <w:rPr>
                <w:rFonts w:ascii="Arial" w:hAnsi="Arial" w:cs="Arial"/>
                <w:color w:val="000000" w:themeColor="text1"/>
                <w:sz w:val="17"/>
                <w:szCs w:val="17"/>
              </w:rPr>
              <w:t>m</w:t>
            </w:r>
            <w:r w:rsidRPr="00952FE3">
              <w:rPr>
                <w:rFonts w:ascii="Arial" w:hAnsi="Arial" w:cs="Arial"/>
                <w:color w:val="000000" w:themeColor="text1"/>
                <w:sz w:val="17"/>
                <w:szCs w:val="17"/>
                <w:vertAlign w:val="superscript"/>
              </w:rPr>
              <w:t>2</w:t>
            </w:r>
            <w:r w:rsidRPr="00952FE3">
              <w:rPr>
                <w:rFonts w:ascii="Arial" w:hAnsi="Arial" w:cs="Arial"/>
                <w:color w:val="000000" w:themeColor="text1"/>
                <w:sz w:val="17"/>
                <w:szCs w:val="17"/>
              </w:rPr>
              <w:t xml:space="preserve"> </w:t>
            </w:r>
            <w:r w:rsidR="009D56D1" w:rsidRPr="00952FE3">
              <w:rPr>
                <w:rFonts w:ascii="Arial" w:hAnsi="Arial" w:cs="Arial"/>
                <w:color w:val="000000" w:themeColor="text1"/>
                <w:sz w:val="17"/>
                <w:szCs w:val="17"/>
              </w:rPr>
              <w:t>for roastery</w:t>
            </w:r>
          </w:p>
        </w:tc>
      </w:tr>
      <w:tr w:rsidR="009D56D1" w:rsidRPr="00986894" w14:paraId="0E75BB96" w14:textId="77777777" w:rsidTr="00E36F9E">
        <w:trPr>
          <w:tblHeader/>
        </w:trPr>
        <w:tc>
          <w:tcPr>
            <w:tcW w:w="1838" w:type="dxa"/>
          </w:tcPr>
          <w:p w14:paraId="39B25AF7"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Pricing</w:t>
            </w:r>
          </w:p>
        </w:tc>
        <w:tc>
          <w:tcPr>
            <w:tcW w:w="3756" w:type="dxa"/>
          </w:tcPr>
          <w:p w14:paraId="0A58895B" w14:textId="77777777" w:rsidR="009D56D1" w:rsidRPr="00952FE3" w:rsidRDefault="009D56D1"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$3.50 without promotion</w:t>
            </w:r>
          </w:p>
        </w:tc>
        <w:tc>
          <w:tcPr>
            <w:tcW w:w="3756" w:type="dxa"/>
          </w:tcPr>
          <w:p w14:paraId="019A1073" w14:textId="77777777" w:rsidR="009D56D1" w:rsidRPr="00952FE3" w:rsidRDefault="009D56D1"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$4.80</w:t>
            </w:r>
          </w:p>
        </w:tc>
      </w:tr>
      <w:tr w:rsidR="009D56D1" w:rsidRPr="00986894" w14:paraId="5F9193AF" w14:textId="77777777" w:rsidTr="00E36F9E">
        <w:trPr>
          <w:tblHeader/>
        </w:trPr>
        <w:tc>
          <w:tcPr>
            <w:tcW w:w="1838" w:type="dxa"/>
          </w:tcPr>
          <w:p w14:paraId="55AA189F"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Technology/Delivery</w:t>
            </w:r>
          </w:p>
        </w:tc>
        <w:tc>
          <w:tcPr>
            <w:tcW w:w="3756" w:type="dxa"/>
          </w:tcPr>
          <w:p w14:paraId="797F7AC4" w14:textId="5F41E1AE"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p</w:t>
            </w:r>
            <w:r w:rsidR="009D56D1" w:rsidRPr="00952FE3">
              <w:rPr>
                <w:rFonts w:ascii="Arial" w:hAnsi="Arial" w:cs="Arial"/>
                <w:color w:val="000000" w:themeColor="text1"/>
                <w:sz w:val="17"/>
                <w:szCs w:val="17"/>
              </w:rPr>
              <w:t>roprietary app</w:t>
            </w:r>
          </w:p>
          <w:p w14:paraId="2A95A20C" w14:textId="77777777" w:rsidR="009D56D1" w:rsidRPr="00952FE3" w:rsidRDefault="009D56D1"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WeChat</w:t>
            </w:r>
          </w:p>
        </w:tc>
        <w:tc>
          <w:tcPr>
            <w:tcW w:w="3756" w:type="dxa"/>
          </w:tcPr>
          <w:p w14:paraId="49766F1D" w14:textId="3C28DD95"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third</w:t>
            </w:r>
            <w:r w:rsidR="009D56D1" w:rsidRPr="00952FE3">
              <w:rPr>
                <w:rFonts w:ascii="Arial" w:hAnsi="Arial" w:cs="Arial"/>
                <w:color w:val="000000" w:themeColor="text1"/>
                <w:sz w:val="17"/>
                <w:szCs w:val="17"/>
              </w:rPr>
              <w:t>-party delivery platform</w:t>
            </w:r>
            <w:r w:rsidRPr="00952FE3">
              <w:rPr>
                <w:rFonts w:ascii="Arial" w:hAnsi="Arial" w:cs="Arial"/>
                <w:color w:val="000000" w:themeColor="text1"/>
                <w:sz w:val="17"/>
                <w:szCs w:val="17"/>
              </w:rPr>
              <w:t>,</w:t>
            </w:r>
            <w:r w:rsidR="009D56D1" w:rsidRPr="00952FE3">
              <w:rPr>
                <w:rFonts w:ascii="Arial" w:hAnsi="Arial" w:cs="Arial"/>
                <w:color w:val="000000" w:themeColor="text1"/>
                <w:sz w:val="17"/>
                <w:szCs w:val="17"/>
              </w:rPr>
              <w:t xml:space="preserve"> care of Weibo</w:t>
            </w:r>
          </w:p>
        </w:tc>
      </w:tr>
      <w:tr w:rsidR="009D56D1" w:rsidRPr="00986894" w14:paraId="00CC81A1" w14:textId="77777777" w:rsidTr="00E36F9E">
        <w:trPr>
          <w:tblHeader/>
        </w:trPr>
        <w:tc>
          <w:tcPr>
            <w:tcW w:w="1838" w:type="dxa"/>
          </w:tcPr>
          <w:p w14:paraId="6EDB8CD8"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Payment Experience</w:t>
            </w:r>
          </w:p>
        </w:tc>
        <w:tc>
          <w:tcPr>
            <w:tcW w:w="3756" w:type="dxa"/>
          </w:tcPr>
          <w:p w14:paraId="77B7265D" w14:textId="0717CB47"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c</w:t>
            </w:r>
            <w:r w:rsidR="009D56D1" w:rsidRPr="00952FE3">
              <w:rPr>
                <w:rFonts w:ascii="Arial" w:hAnsi="Arial" w:cs="Arial"/>
                <w:color w:val="000000" w:themeColor="text1"/>
                <w:sz w:val="17"/>
                <w:szCs w:val="17"/>
              </w:rPr>
              <w:t>ashless</w:t>
            </w:r>
          </w:p>
        </w:tc>
        <w:tc>
          <w:tcPr>
            <w:tcW w:w="3756" w:type="dxa"/>
          </w:tcPr>
          <w:p w14:paraId="4847AD34" w14:textId="501913C6"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allows </w:t>
            </w:r>
            <w:r w:rsidR="009D56D1" w:rsidRPr="00952FE3">
              <w:rPr>
                <w:rFonts w:ascii="Arial" w:hAnsi="Arial" w:cs="Arial"/>
                <w:color w:val="000000" w:themeColor="text1"/>
                <w:sz w:val="17"/>
                <w:szCs w:val="17"/>
              </w:rPr>
              <w:t>in-store</w:t>
            </w:r>
            <w:r w:rsidRPr="00952FE3">
              <w:rPr>
                <w:rFonts w:ascii="Arial" w:hAnsi="Arial" w:cs="Arial"/>
                <w:color w:val="000000" w:themeColor="text1"/>
                <w:sz w:val="17"/>
                <w:szCs w:val="17"/>
              </w:rPr>
              <w:t xml:space="preserve"> payment</w:t>
            </w:r>
          </w:p>
        </w:tc>
      </w:tr>
      <w:tr w:rsidR="009D56D1" w:rsidRPr="00986894" w14:paraId="0520BCC5" w14:textId="77777777" w:rsidTr="00E36F9E">
        <w:trPr>
          <w:tblHeader/>
        </w:trPr>
        <w:tc>
          <w:tcPr>
            <w:tcW w:w="1838" w:type="dxa"/>
          </w:tcPr>
          <w:p w14:paraId="4095B9E1" w14:textId="77777777" w:rsidR="009D56D1" w:rsidRPr="00515CCA" w:rsidRDefault="009D56D1" w:rsidP="00515CCA">
            <w:pPr>
              <w:keepLines/>
              <w:jc w:val="both"/>
              <w:rPr>
                <w:rFonts w:ascii="Arial" w:eastAsia="Calibri" w:hAnsi="Arial" w:cs="Arial"/>
                <w:b/>
                <w:color w:val="000000" w:themeColor="text1"/>
                <w:sz w:val="17"/>
                <w:szCs w:val="17"/>
                <w:lang w:val="en-GB"/>
              </w:rPr>
            </w:pPr>
            <w:r w:rsidRPr="00515CCA">
              <w:rPr>
                <w:rFonts w:ascii="Arial" w:eastAsia="Calibri" w:hAnsi="Arial" w:cs="Arial"/>
                <w:b/>
                <w:color w:val="000000" w:themeColor="text1"/>
                <w:sz w:val="17"/>
                <w:szCs w:val="17"/>
                <w:lang w:val="en-GB"/>
              </w:rPr>
              <w:t>Promotions</w:t>
            </w:r>
          </w:p>
        </w:tc>
        <w:tc>
          <w:tcPr>
            <w:tcW w:w="3756" w:type="dxa"/>
          </w:tcPr>
          <w:p w14:paraId="450DF241" w14:textId="6C4B031D" w:rsidR="001728FA"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c</w:t>
            </w:r>
            <w:r w:rsidR="009D56D1" w:rsidRPr="00952FE3">
              <w:rPr>
                <w:rFonts w:ascii="Arial" w:hAnsi="Arial" w:cs="Arial"/>
                <w:color w:val="000000" w:themeColor="text1"/>
                <w:sz w:val="17"/>
                <w:szCs w:val="17"/>
              </w:rPr>
              <w:t>oupons and subsidies</w:t>
            </w:r>
          </w:p>
          <w:p w14:paraId="67E3FF17" w14:textId="330C1BD8" w:rsidR="001728FA" w:rsidRPr="00952FE3" w:rsidRDefault="009D56D1"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discounts</w:t>
            </w:r>
          </w:p>
          <w:p w14:paraId="4B08D603" w14:textId="73D1E35E" w:rsidR="009D56D1" w:rsidRPr="00952FE3" w:rsidRDefault="009D56D1"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loyalty </w:t>
            </w:r>
            <w:r w:rsidR="001728FA" w:rsidRPr="00952FE3">
              <w:rPr>
                <w:rFonts w:ascii="Arial" w:hAnsi="Arial" w:cs="Arial"/>
                <w:color w:val="000000" w:themeColor="text1"/>
                <w:sz w:val="17"/>
                <w:szCs w:val="17"/>
              </w:rPr>
              <w:t>rewards</w:t>
            </w:r>
          </w:p>
        </w:tc>
        <w:tc>
          <w:tcPr>
            <w:tcW w:w="3756" w:type="dxa"/>
          </w:tcPr>
          <w:p w14:paraId="2D071E43" w14:textId="5C1FFB49" w:rsidR="009D56D1" w:rsidRPr="00952FE3" w:rsidRDefault="001728FA" w:rsidP="00515CCA">
            <w:pPr>
              <w:pStyle w:val="ListParagraph"/>
              <w:keepLines/>
              <w:numPr>
                <w:ilvl w:val="0"/>
                <w:numId w:val="26"/>
              </w:numPr>
              <w:ind w:left="209" w:hanging="209"/>
              <w:rPr>
                <w:rFonts w:ascii="Arial" w:hAnsi="Arial" w:cs="Arial"/>
                <w:color w:val="000000" w:themeColor="text1"/>
                <w:sz w:val="17"/>
                <w:szCs w:val="17"/>
              </w:rPr>
            </w:pPr>
            <w:r w:rsidRPr="00952FE3">
              <w:rPr>
                <w:rFonts w:ascii="Arial" w:hAnsi="Arial" w:cs="Arial"/>
                <w:color w:val="000000" w:themeColor="text1"/>
                <w:sz w:val="17"/>
                <w:szCs w:val="17"/>
              </w:rPr>
              <w:t xml:space="preserve">loyalty </w:t>
            </w:r>
            <w:r w:rsidR="009D56D1" w:rsidRPr="00952FE3">
              <w:rPr>
                <w:rFonts w:ascii="Arial" w:hAnsi="Arial" w:cs="Arial"/>
                <w:color w:val="000000" w:themeColor="text1"/>
                <w:sz w:val="17"/>
                <w:szCs w:val="17"/>
              </w:rPr>
              <w:t>cards</w:t>
            </w:r>
          </w:p>
        </w:tc>
      </w:tr>
    </w:tbl>
    <w:p w14:paraId="53F68F88" w14:textId="77777777" w:rsidR="009D56D1" w:rsidRPr="00986894" w:rsidRDefault="009D56D1" w:rsidP="00515CCA">
      <w:pPr>
        <w:pStyle w:val="Footnote"/>
        <w:keepLines/>
        <w:rPr>
          <w:rFonts w:eastAsia="Calibri"/>
        </w:rPr>
      </w:pPr>
    </w:p>
    <w:p w14:paraId="106AD193" w14:textId="77777777" w:rsidR="001728FA" w:rsidRPr="00986894" w:rsidRDefault="001728FA" w:rsidP="00515CCA">
      <w:pPr>
        <w:pStyle w:val="Footnote"/>
        <w:keepLines/>
      </w:pPr>
      <w:r w:rsidRPr="00986894">
        <w:t>Note: m</w:t>
      </w:r>
      <w:r w:rsidRPr="00952FE3">
        <w:rPr>
          <w:vertAlign w:val="superscript"/>
        </w:rPr>
        <w:t>2</w:t>
      </w:r>
      <w:r w:rsidRPr="00986894">
        <w:t xml:space="preserve"> = square metres.</w:t>
      </w:r>
    </w:p>
    <w:p w14:paraId="34ED3690" w14:textId="0BA6BDB7" w:rsidR="009D56D1" w:rsidRPr="00986894" w:rsidRDefault="009D56D1" w:rsidP="00515CCA">
      <w:pPr>
        <w:pStyle w:val="Footnote"/>
        <w:keepLines/>
      </w:pPr>
      <w:r w:rsidRPr="00986894">
        <w:t xml:space="preserve">Source: Developed by </w:t>
      </w:r>
      <w:r w:rsidR="00DF1E60" w:rsidRPr="00986894">
        <w:t xml:space="preserve">case </w:t>
      </w:r>
      <w:r w:rsidRPr="00986894">
        <w:t>author</w:t>
      </w:r>
      <w:r w:rsidR="00DF1E60" w:rsidRPr="00986894">
        <w:t xml:space="preserve"> from </w:t>
      </w:r>
      <w:r w:rsidRPr="00986894">
        <w:t>data from Alex Fang, “</w:t>
      </w:r>
      <w:proofErr w:type="spellStart"/>
      <w:r w:rsidRPr="00986894">
        <w:t>Luckin</w:t>
      </w:r>
      <w:proofErr w:type="spellEnd"/>
      <w:r w:rsidRPr="00986894">
        <w:t xml:space="preserve"> Coffee Zooms Past Starbucks in China Store Count,” </w:t>
      </w:r>
      <w:r w:rsidRPr="00952FE3">
        <w:rPr>
          <w:i/>
        </w:rPr>
        <w:t>Nikkei Asian</w:t>
      </w:r>
      <w:r w:rsidRPr="00986894">
        <w:t xml:space="preserve">, January 3, 2020, accessed June 5, 2020, </w:t>
      </w:r>
      <w:hyperlink r:id="rId15" w:history="1">
        <w:r w:rsidRPr="00986894">
          <w:rPr>
            <w:rStyle w:val="Hyperlink"/>
            <w:color w:val="auto"/>
            <w:u w:val="none"/>
          </w:rPr>
          <w:t>https://asia.nikkei.com/Business/Startups/Luckin-Coffee-zooms-past-Starbucks-in-China-store-count</w:t>
        </w:r>
      </w:hyperlink>
      <w:r w:rsidRPr="00986894">
        <w:t>; Gwynn Guilford, “In China, Starbucks Doesn’t Sell Coffee to Make Millions.</w:t>
      </w:r>
      <w:r w:rsidR="00694E46" w:rsidRPr="00986894">
        <w:t xml:space="preserve"> </w:t>
      </w:r>
      <w:r w:rsidRPr="00986894">
        <w:t xml:space="preserve">It </w:t>
      </w:r>
      <w:r w:rsidR="00A72975">
        <w:t>Rents</w:t>
      </w:r>
      <w:r w:rsidRPr="00986894">
        <w:t xml:space="preserve"> Couches,” Quartz, September 1</w:t>
      </w:r>
      <w:r w:rsidR="00A72975">
        <w:t>7</w:t>
      </w:r>
      <w:r w:rsidRPr="00986894">
        <w:t xml:space="preserve">, 2013, 2012, accessed July 20, 2020, </w:t>
      </w:r>
      <w:hyperlink r:id="rId16" w:history="1">
        <w:r w:rsidRPr="00986894">
          <w:rPr>
            <w:rStyle w:val="Hyperlink"/>
            <w:color w:val="auto"/>
            <w:u w:val="none"/>
          </w:rPr>
          <w:t>https://qz.com/125138/in-china-starbucks-doesnt-sell-coffee-to-make-its-millions-it-rents-couches/</w:t>
        </w:r>
      </w:hyperlink>
      <w:r w:rsidRPr="00986894">
        <w:t xml:space="preserve">; Siyan Li, “Starbucks: 20 Years in China,” The </w:t>
      </w:r>
      <w:proofErr w:type="spellStart"/>
      <w:r w:rsidRPr="00986894">
        <w:t>Start</w:t>
      </w:r>
      <w:r w:rsidR="001A6D12">
        <w:t>u</w:t>
      </w:r>
      <w:r w:rsidRPr="00986894">
        <w:t>p</w:t>
      </w:r>
      <w:proofErr w:type="spellEnd"/>
      <w:r w:rsidRPr="00986894">
        <w:t xml:space="preserve">, January 24, 2019, accessed June 10, 2020, </w:t>
      </w:r>
      <w:hyperlink r:id="rId17" w:history="1">
        <w:r w:rsidRPr="00986894">
          <w:rPr>
            <w:rStyle w:val="Hyperlink"/>
            <w:color w:val="auto"/>
            <w:u w:val="none"/>
          </w:rPr>
          <w:t>https://medium.com/swlh/starbucks-20-years-in-china-9fa8e0c33cf1</w:t>
        </w:r>
      </w:hyperlink>
      <w:r w:rsidRPr="00986894">
        <w:t xml:space="preserve">; </w:t>
      </w:r>
      <w:bookmarkStart w:id="24" w:name="_Hlk48203686"/>
      <w:proofErr w:type="spellStart"/>
      <w:r w:rsidR="00C62FF9">
        <w:t>L</w:t>
      </w:r>
      <w:r w:rsidRPr="00986894">
        <w:t>uckin</w:t>
      </w:r>
      <w:proofErr w:type="spellEnd"/>
      <w:r w:rsidRPr="00986894">
        <w:t xml:space="preserve"> </w:t>
      </w:r>
      <w:r w:rsidR="00C62FF9">
        <w:t>C</w:t>
      </w:r>
      <w:r w:rsidRPr="00986894">
        <w:t>offee</w:t>
      </w:r>
      <w:r w:rsidR="001728FA" w:rsidRPr="00986894">
        <w:t xml:space="preserve">, </w:t>
      </w:r>
      <w:proofErr w:type="spellStart"/>
      <w:r w:rsidRPr="00DE0D51">
        <w:rPr>
          <w:i/>
        </w:rPr>
        <w:t>Luckin</w:t>
      </w:r>
      <w:proofErr w:type="spellEnd"/>
      <w:r w:rsidRPr="00DE0D51">
        <w:rPr>
          <w:i/>
        </w:rPr>
        <w:t xml:space="preserve"> Coffee Inc.</w:t>
      </w:r>
      <w:r w:rsidR="00880822" w:rsidRPr="00DE0D51">
        <w:rPr>
          <w:i/>
        </w:rPr>
        <w:t>:</w:t>
      </w:r>
      <w:r w:rsidR="00744439" w:rsidRPr="00DE0D51">
        <w:rPr>
          <w:i/>
        </w:rPr>
        <w:t xml:space="preserve"> Representing 264,000,000 Class A Ordinary Shares</w:t>
      </w:r>
      <w:r w:rsidRPr="00986894">
        <w:t xml:space="preserve">, May </w:t>
      </w:r>
      <w:r w:rsidR="00744439" w:rsidRPr="00986894">
        <w:t>17</w:t>
      </w:r>
      <w:r w:rsidRPr="00986894">
        <w:t xml:space="preserve">, 2019, accessed August 5, 2020, </w:t>
      </w:r>
      <w:hyperlink r:id="rId18" w:history="1">
        <w:r w:rsidRPr="00986894">
          <w:rPr>
            <w:rStyle w:val="Hyperlink"/>
            <w:color w:val="auto"/>
            <w:u w:val="none"/>
          </w:rPr>
          <w:t>https://investor.luckincoffee.com/static-files/62ae7fff-d256-461e-9012-a47bfdc3a686</w:t>
        </w:r>
      </w:hyperlink>
      <w:r w:rsidRPr="00986894">
        <w:t xml:space="preserve">; </w:t>
      </w:r>
      <w:r w:rsidR="000F00C2">
        <w:t>Helen H. Wang,</w:t>
      </w:r>
      <w:r w:rsidR="005778C5">
        <w:t xml:space="preserve"> </w:t>
      </w:r>
      <w:r w:rsidRPr="00986894">
        <w:t>“</w:t>
      </w:r>
      <w:r w:rsidR="000F00C2">
        <w:t>Five Things Starbucks Did to Get China Right,</w:t>
      </w:r>
      <w:bookmarkEnd w:id="24"/>
      <w:r w:rsidRPr="00986894">
        <w:t xml:space="preserve">” </w:t>
      </w:r>
      <w:r w:rsidRPr="00952FE3">
        <w:rPr>
          <w:i/>
        </w:rPr>
        <w:t>Forbes</w:t>
      </w:r>
      <w:r w:rsidRPr="00986894">
        <w:t xml:space="preserve">, August 10, 2012, accessed June 10, 2020, www.forbes.com/sites/helenwang/2012/08/10/five-things-starbucks-did-to-get-china-right/#65e3203853af 1/; </w:t>
      </w:r>
      <w:r w:rsidR="00DC5E82">
        <w:t xml:space="preserve">Wade </w:t>
      </w:r>
      <w:proofErr w:type="spellStart"/>
      <w:r w:rsidR="00DC5E82">
        <w:t>Shepart</w:t>
      </w:r>
      <w:proofErr w:type="spellEnd"/>
      <w:r w:rsidR="00DC5E82">
        <w:t xml:space="preserve">, “Is This the Recipe for Starbucks’’ Continued Success in China?,” Forbes, February 6, 2016, </w:t>
      </w:r>
      <w:r w:rsidRPr="00986894">
        <w:t xml:space="preserve">accessed June 10, 2020, </w:t>
      </w:r>
      <w:r w:rsidR="00DC5E82" w:rsidRPr="00DC5E82">
        <w:t>www.forbes.com/sites/wadeshepard/2016/02/06/is-this-the-recipe-for-starbucks-success-in-china/?sh=76b4a1533f1b</w:t>
      </w:r>
      <w:r w:rsidRPr="00986894">
        <w:t xml:space="preserve">; </w:t>
      </w:r>
      <w:proofErr w:type="spellStart"/>
      <w:r w:rsidRPr="00986894">
        <w:t>Yuhan</w:t>
      </w:r>
      <w:proofErr w:type="spellEnd"/>
      <w:r w:rsidRPr="00986894">
        <w:t xml:space="preserve"> Xu, “China’s </w:t>
      </w:r>
      <w:proofErr w:type="spellStart"/>
      <w:r w:rsidRPr="00986894">
        <w:t>Luckin</w:t>
      </w:r>
      <w:proofErr w:type="spellEnd"/>
      <w:r w:rsidRPr="00986894">
        <w:t xml:space="preserve"> Coffee Tries to Conquer a Nation of Tea Drinkers,” NPR, May 17, 2019, accessed June 5, 2020, www.npr.org/sections/goatsandsoda/2019/05/17/723193259/what-does-chinas-luckin-coffee-have-that-starbucks-doesnt</w:t>
      </w:r>
      <w:r w:rsidR="001728FA" w:rsidRPr="00986894">
        <w:t>.</w:t>
      </w:r>
    </w:p>
    <w:p w14:paraId="4C408144" w14:textId="61ABEB23" w:rsidR="00C57EBA" w:rsidRPr="00986894" w:rsidRDefault="00C57EBA" w:rsidP="00374240">
      <w:pPr>
        <w:pStyle w:val="Footnote"/>
      </w:pPr>
    </w:p>
    <w:p w14:paraId="1B688AF6" w14:textId="14A7D2C4" w:rsidR="00C57EBA" w:rsidRPr="00986894" w:rsidRDefault="00C57EBA" w:rsidP="00374240">
      <w:pPr>
        <w:pStyle w:val="Footnote"/>
      </w:pPr>
    </w:p>
    <w:p w14:paraId="785FD1DC" w14:textId="77777777" w:rsidR="00374240" w:rsidRDefault="00374240">
      <w:pPr>
        <w:spacing w:after="200" w:line="276" w:lineRule="auto"/>
        <w:rPr>
          <w:rFonts w:ascii="Arial" w:hAnsi="Arial" w:cs="Arial"/>
          <w:b/>
          <w:lang w:val="en-GB"/>
        </w:rPr>
      </w:pPr>
      <w:r>
        <w:rPr>
          <w:rFonts w:ascii="Arial" w:hAnsi="Arial" w:cs="Arial"/>
          <w:b/>
          <w:lang w:val="en-GB"/>
        </w:rPr>
        <w:br w:type="page"/>
      </w:r>
    </w:p>
    <w:p w14:paraId="4EE8ACA8" w14:textId="51B06D59" w:rsidR="0079534E" w:rsidRPr="00986894" w:rsidRDefault="0079534E" w:rsidP="00515CCA">
      <w:pPr>
        <w:keepLines/>
        <w:tabs>
          <w:tab w:val="left" w:pos="6155"/>
        </w:tabs>
        <w:jc w:val="center"/>
        <w:rPr>
          <w:rFonts w:ascii="Arial" w:hAnsi="Arial" w:cs="Arial"/>
          <w:b/>
          <w:lang w:val="en-GB"/>
        </w:rPr>
      </w:pPr>
      <w:r w:rsidRPr="00986894">
        <w:rPr>
          <w:rFonts w:ascii="Arial" w:hAnsi="Arial" w:cs="Arial"/>
          <w:b/>
          <w:lang w:val="en-GB"/>
        </w:rPr>
        <w:lastRenderedPageBreak/>
        <w:t>EXHIBIT 7: NUMBER OF STORES OPENED BY STARBUCKS AND LUCKIN COFFEE</w:t>
      </w:r>
    </w:p>
    <w:p w14:paraId="4F347ADA" w14:textId="77777777" w:rsidR="0079534E" w:rsidRPr="00986894" w:rsidRDefault="0079534E" w:rsidP="00515CCA">
      <w:pPr>
        <w:keepLines/>
        <w:tabs>
          <w:tab w:val="left" w:pos="6155"/>
        </w:tabs>
        <w:jc w:val="center"/>
        <w:rPr>
          <w:rFonts w:ascii="Arial" w:hAnsi="Arial" w:cs="Arial"/>
          <w:b/>
          <w:caps/>
          <w:lang w:val="en-GB"/>
        </w:rPr>
      </w:pPr>
      <w:r w:rsidRPr="00986894">
        <w:rPr>
          <w:rFonts w:ascii="Arial" w:hAnsi="Arial" w:cs="Arial"/>
          <w:b/>
          <w:lang w:val="en-GB"/>
        </w:rPr>
        <w:t>(BETWEEN END OF QUARTER DECEMBER 2017 TO END OF QUARTER DECEMBER 2019)</w:t>
      </w:r>
    </w:p>
    <w:p w14:paraId="32A0AEAA" w14:textId="77777777" w:rsidR="0079534E" w:rsidRPr="00986894" w:rsidRDefault="0079534E" w:rsidP="00515CCA">
      <w:pPr>
        <w:pStyle w:val="Footnote"/>
        <w:keepLines/>
      </w:pPr>
    </w:p>
    <w:p w14:paraId="375B34FF" w14:textId="6C0EC6EC" w:rsidR="00DC5E82" w:rsidRDefault="0079534E" w:rsidP="00515CCA">
      <w:pPr>
        <w:keepLines/>
        <w:tabs>
          <w:tab w:val="left" w:pos="6155"/>
        </w:tabs>
        <w:spacing w:after="120"/>
        <w:jc w:val="center"/>
        <w:rPr>
          <w:rFonts w:ascii="Arial" w:hAnsi="Arial" w:cs="Arial"/>
          <w:b/>
          <w:caps/>
          <w:lang w:val="en-GB"/>
        </w:rPr>
      </w:pPr>
      <w:r w:rsidRPr="00986894">
        <w:rPr>
          <w:noProof/>
          <w:lang w:val="en-CA" w:eastAsia="en-CA"/>
        </w:rPr>
        <w:drawing>
          <wp:inline distT="0" distB="0" distL="0" distR="0" wp14:anchorId="549473ED" wp14:editId="699DEB32">
            <wp:extent cx="5372100" cy="2076450"/>
            <wp:effectExtent l="0" t="0" r="0" b="0"/>
            <wp:docPr id="4" name="Chart 4" descr="Chart with the number of stores opened by Starbucks and Luckin Coffee">
              <a:extLst xmlns:a="http://schemas.openxmlformats.org/drawingml/2006/main">
                <a:ext uri="{FF2B5EF4-FFF2-40B4-BE49-F238E27FC236}">
                  <a16:creationId xmlns:a16="http://schemas.microsoft.com/office/drawing/2014/main" id="{9EC67027-A0E1-4963-A792-B4E7C3FB83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00DB46" w14:textId="26737BA5" w:rsidR="0079534E" w:rsidRPr="00986894" w:rsidRDefault="0079534E" w:rsidP="00515CCA">
      <w:pPr>
        <w:keepLines/>
        <w:tabs>
          <w:tab w:val="left" w:pos="6155"/>
        </w:tabs>
        <w:jc w:val="center"/>
      </w:pPr>
    </w:p>
    <w:p w14:paraId="10E8EA78" w14:textId="0F57C44C" w:rsidR="0079534E" w:rsidRPr="00DE0D51" w:rsidRDefault="0079534E" w:rsidP="00515CCA">
      <w:pPr>
        <w:keepLines/>
        <w:tabs>
          <w:tab w:val="left" w:pos="3969"/>
          <w:tab w:val="left" w:pos="6155"/>
        </w:tabs>
        <w:contextualSpacing/>
        <w:jc w:val="both"/>
        <w:rPr>
          <w:rStyle w:val="Hyperlink"/>
          <w:rFonts w:ascii="Arial" w:hAnsi="Arial" w:cs="Arial"/>
          <w:color w:val="auto"/>
          <w:spacing w:val="-4"/>
          <w:sz w:val="17"/>
          <w:szCs w:val="17"/>
          <w:u w:val="none"/>
          <w:lang w:val="en-GB"/>
        </w:rPr>
      </w:pPr>
      <w:r w:rsidRPr="00986894">
        <w:rPr>
          <w:rFonts w:ascii="Arial" w:hAnsi="Arial" w:cs="Arial"/>
          <w:color w:val="000000" w:themeColor="text1"/>
          <w:spacing w:val="-4"/>
          <w:kern w:val="17"/>
          <w:sz w:val="17"/>
          <w:szCs w:val="17"/>
          <w:lang w:val="en-GB"/>
        </w:rPr>
        <w:t xml:space="preserve">Source: Developed by </w:t>
      </w:r>
      <w:r w:rsidR="009A29FE" w:rsidRPr="00986894">
        <w:rPr>
          <w:rFonts w:ascii="Arial" w:hAnsi="Arial" w:cs="Arial"/>
          <w:color w:val="000000" w:themeColor="text1"/>
          <w:spacing w:val="-4"/>
          <w:kern w:val="17"/>
          <w:sz w:val="17"/>
          <w:szCs w:val="17"/>
          <w:lang w:val="en-GB"/>
        </w:rPr>
        <w:t xml:space="preserve">case </w:t>
      </w:r>
      <w:r w:rsidRPr="00986894">
        <w:rPr>
          <w:rFonts w:ascii="Arial" w:hAnsi="Arial" w:cs="Arial"/>
          <w:color w:val="000000" w:themeColor="text1"/>
          <w:spacing w:val="-4"/>
          <w:kern w:val="17"/>
          <w:sz w:val="17"/>
          <w:szCs w:val="17"/>
          <w:lang w:val="en-GB"/>
        </w:rPr>
        <w:t>author</w:t>
      </w:r>
      <w:r w:rsidR="009A29FE" w:rsidRPr="00986894">
        <w:rPr>
          <w:rFonts w:ascii="Arial" w:hAnsi="Arial" w:cs="Arial"/>
          <w:color w:val="000000" w:themeColor="text1"/>
          <w:spacing w:val="-4"/>
          <w:kern w:val="17"/>
          <w:sz w:val="17"/>
          <w:szCs w:val="17"/>
          <w:lang w:val="en-GB"/>
        </w:rPr>
        <w:t xml:space="preserve"> with </w:t>
      </w:r>
      <w:r w:rsidRPr="00986894">
        <w:rPr>
          <w:rFonts w:ascii="Arial" w:hAnsi="Arial" w:cs="Arial"/>
          <w:color w:val="000000" w:themeColor="text1"/>
          <w:spacing w:val="-4"/>
          <w:kern w:val="17"/>
          <w:sz w:val="17"/>
          <w:szCs w:val="17"/>
          <w:lang w:val="en-GB"/>
        </w:rPr>
        <w:t xml:space="preserve">data from </w:t>
      </w:r>
      <w:r w:rsidR="00DC5E82">
        <w:rPr>
          <w:rFonts w:ascii="Arial" w:hAnsi="Arial" w:cs="Arial"/>
          <w:color w:val="000000" w:themeColor="text1"/>
          <w:spacing w:val="-4"/>
          <w:kern w:val="17"/>
          <w:sz w:val="17"/>
          <w:szCs w:val="17"/>
          <w:lang w:val="en-GB"/>
        </w:rPr>
        <w:t xml:space="preserve">“Supplemental Financial Data: Store Counts and </w:t>
      </w:r>
      <w:r w:rsidRPr="00986894">
        <w:rPr>
          <w:rFonts w:ascii="Arial" w:hAnsi="Arial" w:cs="Arial"/>
          <w:color w:val="000000" w:themeColor="text1"/>
          <w:spacing w:val="-4"/>
          <w:kern w:val="17"/>
          <w:sz w:val="17"/>
          <w:szCs w:val="17"/>
          <w:lang w:val="en-GB"/>
        </w:rPr>
        <w:t xml:space="preserve">Comparable Store Sales,” </w:t>
      </w:r>
      <w:r w:rsidRPr="00952FE3">
        <w:rPr>
          <w:rFonts w:ascii="Arial" w:hAnsi="Arial" w:cs="Arial"/>
          <w:iCs/>
          <w:color w:val="000000" w:themeColor="text1"/>
          <w:spacing w:val="-4"/>
          <w:kern w:val="17"/>
          <w:sz w:val="17"/>
          <w:szCs w:val="17"/>
          <w:lang w:val="en-GB"/>
        </w:rPr>
        <w:t>Starbucks</w:t>
      </w:r>
      <w:r w:rsidR="009A29FE" w:rsidRPr="00986894">
        <w:rPr>
          <w:rFonts w:ascii="Arial" w:hAnsi="Arial" w:cs="Arial"/>
          <w:iCs/>
          <w:color w:val="000000" w:themeColor="text1"/>
          <w:spacing w:val="-4"/>
          <w:kern w:val="17"/>
          <w:sz w:val="17"/>
          <w:szCs w:val="17"/>
          <w:lang w:val="en-GB"/>
        </w:rPr>
        <w:t xml:space="preserve"> </w:t>
      </w:r>
      <w:r w:rsidR="009A29FE" w:rsidRPr="00986894">
        <w:rPr>
          <w:rFonts w:ascii="Arial" w:hAnsi="Arial" w:cs="Arial"/>
          <w:color w:val="000000" w:themeColor="text1"/>
          <w:spacing w:val="-4"/>
          <w:kern w:val="17"/>
          <w:sz w:val="17"/>
          <w:szCs w:val="17"/>
          <w:lang w:val="en-GB"/>
        </w:rPr>
        <w:t>Investor Relations</w:t>
      </w:r>
      <w:r w:rsidRPr="00986894">
        <w:rPr>
          <w:rFonts w:ascii="Arial" w:hAnsi="Arial" w:cs="Arial"/>
          <w:color w:val="000000" w:themeColor="text1"/>
          <w:spacing w:val="-4"/>
          <w:kern w:val="17"/>
          <w:sz w:val="17"/>
          <w:szCs w:val="17"/>
          <w:lang w:val="en-GB"/>
        </w:rPr>
        <w:t xml:space="preserve">, June 28, 2020, accessed August 10, 2020, </w:t>
      </w:r>
      <w:hyperlink r:id="rId20" w:history="1">
        <w:r w:rsidRPr="00986894">
          <w:rPr>
            <w:rStyle w:val="Hyperlink"/>
            <w:rFonts w:ascii="Arial" w:hAnsi="Arial" w:cs="Arial"/>
            <w:color w:val="000000" w:themeColor="text1"/>
            <w:spacing w:val="-4"/>
            <w:kern w:val="17"/>
            <w:sz w:val="17"/>
            <w:szCs w:val="17"/>
            <w:u w:val="none"/>
            <w:lang w:val="en-GB"/>
          </w:rPr>
          <w:t>https://investor.starbucks.com/financial-data/supplemental-financial-data/default.aspx</w:t>
        </w:r>
      </w:hyperlink>
      <w:r w:rsidRPr="00986894">
        <w:rPr>
          <w:rFonts w:ascii="Arial" w:hAnsi="Arial" w:cs="Arial"/>
          <w:color w:val="000000" w:themeColor="text1"/>
          <w:spacing w:val="-4"/>
          <w:kern w:val="17"/>
          <w:sz w:val="17"/>
          <w:szCs w:val="17"/>
          <w:lang w:val="en-GB"/>
        </w:rPr>
        <w:t xml:space="preserve">; </w:t>
      </w:r>
      <w:r w:rsidR="00DC5E82">
        <w:rPr>
          <w:rFonts w:ascii="Arial" w:hAnsi="Arial" w:cs="Arial"/>
          <w:color w:val="000000" w:themeColor="text1"/>
          <w:spacing w:val="-4"/>
          <w:kern w:val="17"/>
          <w:sz w:val="17"/>
          <w:szCs w:val="17"/>
          <w:lang w:val="en-GB"/>
        </w:rPr>
        <w:t>“</w:t>
      </w:r>
      <w:proofErr w:type="spellStart"/>
      <w:r w:rsidRPr="00986894">
        <w:rPr>
          <w:rFonts w:ascii="Arial" w:hAnsi="Arial" w:cs="Arial"/>
          <w:color w:val="000000" w:themeColor="text1"/>
          <w:spacing w:val="-4"/>
          <w:kern w:val="17"/>
          <w:sz w:val="17"/>
          <w:szCs w:val="17"/>
          <w:lang w:val="en-GB"/>
        </w:rPr>
        <w:t>Luckin</w:t>
      </w:r>
      <w:proofErr w:type="spellEnd"/>
      <w:r w:rsidRPr="00986894">
        <w:rPr>
          <w:rFonts w:ascii="Arial" w:hAnsi="Arial" w:cs="Arial"/>
          <w:color w:val="000000" w:themeColor="text1"/>
          <w:spacing w:val="-4"/>
          <w:kern w:val="17"/>
          <w:sz w:val="17"/>
          <w:szCs w:val="17"/>
          <w:lang w:val="en-GB"/>
        </w:rPr>
        <w:t xml:space="preserve"> Coffee Inc</w:t>
      </w:r>
      <w:r w:rsidR="005778C5">
        <w:rPr>
          <w:rFonts w:ascii="Arial" w:hAnsi="Arial" w:cs="Arial"/>
          <w:color w:val="000000" w:themeColor="text1"/>
          <w:spacing w:val="-4"/>
          <w:kern w:val="17"/>
          <w:sz w:val="17"/>
          <w:szCs w:val="17"/>
          <w:lang w:val="en-GB"/>
        </w:rPr>
        <w:t>.</w:t>
      </w:r>
      <w:r w:rsidR="00DC5E82">
        <w:rPr>
          <w:rFonts w:ascii="Arial" w:hAnsi="Arial" w:cs="Arial"/>
          <w:color w:val="000000" w:themeColor="text1"/>
          <w:spacing w:val="-4"/>
          <w:sz w:val="17"/>
          <w:szCs w:val="17"/>
          <w:lang w:val="en-GB"/>
        </w:rPr>
        <w:t xml:space="preserve"> </w:t>
      </w:r>
      <w:r w:rsidRPr="00986894">
        <w:rPr>
          <w:rFonts w:ascii="Arial" w:hAnsi="Arial" w:cs="Arial"/>
          <w:color w:val="000000" w:themeColor="text1"/>
          <w:spacing w:val="-4"/>
          <w:sz w:val="17"/>
          <w:szCs w:val="17"/>
          <w:lang w:val="en-GB"/>
        </w:rPr>
        <w:t>Announces Unaudited Third Quarter 2019 Financial Results,”</w:t>
      </w:r>
      <w:r w:rsidR="009A29FE" w:rsidRPr="00986894">
        <w:rPr>
          <w:rFonts w:ascii="Arial" w:hAnsi="Arial" w:cs="Arial"/>
          <w:color w:val="000000" w:themeColor="text1"/>
          <w:spacing w:val="-4"/>
          <w:sz w:val="17"/>
          <w:szCs w:val="17"/>
          <w:lang w:val="en-GB"/>
        </w:rPr>
        <w:t xml:space="preserve"> </w:t>
      </w:r>
      <w:proofErr w:type="spellStart"/>
      <w:r w:rsidR="00C62FF9">
        <w:rPr>
          <w:rFonts w:ascii="Arial" w:hAnsi="Arial" w:cs="Arial"/>
          <w:color w:val="000000" w:themeColor="text1"/>
          <w:spacing w:val="-4"/>
          <w:sz w:val="17"/>
          <w:szCs w:val="17"/>
          <w:lang w:val="en-GB"/>
        </w:rPr>
        <w:t>L</w:t>
      </w:r>
      <w:r w:rsidRPr="00952FE3">
        <w:rPr>
          <w:rFonts w:ascii="Arial" w:hAnsi="Arial" w:cs="Arial"/>
          <w:iCs/>
          <w:color w:val="000000" w:themeColor="text1"/>
          <w:spacing w:val="-4"/>
          <w:sz w:val="17"/>
          <w:szCs w:val="17"/>
          <w:lang w:val="en-GB"/>
        </w:rPr>
        <w:t>uckin</w:t>
      </w:r>
      <w:proofErr w:type="spellEnd"/>
      <w:r w:rsidRPr="00952FE3">
        <w:rPr>
          <w:rFonts w:ascii="Arial" w:hAnsi="Arial" w:cs="Arial"/>
          <w:iCs/>
          <w:color w:val="000000" w:themeColor="text1"/>
          <w:spacing w:val="-4"/>
          <w:sz w:val="17"/>
          <w:szCs w:val="17"/>
          <w:lang w:val="en-GB"/>
        </w:rPr>
        <w:t xml:space="preserve"> </w:t>
      </w:r>
      <w:r w:rsidR="00C62FF9">
        <w:rPr>
          <w:rFonts w:ascii="Arial" w:hAnsi="Arial" w:cs="Arial"/>
          <w:iCs/>
          <w:color w:val="000000" w:themeColor="text1"/>
          <w:spacing w:val="-4"/>
          <w:sz w:val="17"/>
          <w:szCs w:val="17"/>
          <w:lang w:val="en-GB"/>
        </w:rPr>
        <w:t>C</w:t>
      </w:r>
      <w:r w:rsidRPr="00952FE3">
        <w:rPr>
          <w:rFonts w:ascii="Arial" w:hAnsi="Arial" w:cs="Arial"/>
          <w:iCs/>
          <w:color w:val="000000" w:themeColor="text1"/>
          <w:spacing w:val="-4"/>
          <w:sz w:val="17"/>
          <w:szCs w:val="17"/>
          <w:lang w:val="en-GB"/>
        </w:rPr>
        <w:t>offee</w:t>
      </w:r>
      <w:r w:rsidR="00DC5E82">
        <w:rPr>
          <w:rFonts w:ascii="Arial" w:hAnsi="Arial" w:cs="Arial"/>
          <w:iCs/>
          <w:color w:val="000000" w:themeColor="text1"/>
          <w:spacing w:val="-4"/>
          <w:sz w:val="17"/>
          <w:szCs w:val="17"/>
          <w:lang w:val="en-GB"/>
        </w:rPr>
        <w:t xml:space="preserve"> (</w:t>
      </w:r>
      <w:r w:rsidR="00DC5E82" w:rsidRPr="00986894">
        <w:rPr>
          <w:rFonts w:ascii="Arial" w:hAnsi="Arial" w:cs="Arial"/>
          <w:color w:val="000000" w:themeColor="text1"/>
          <w:spacing w:val="-4"/>
          <w:sz w:val="17"/>
          <w:szCs w:val="17"/>
          <w:lang w:val="en-GB"/>
        </w:rPr>
        <w:t>news release</w:t>
      </w:r>
      <w:r w:rsidR="00DC5E82">
        <w:rPr>
          <w:rFonts w:ascii="Arial" w:hAnsi="Arial" w:cs="Arial"/>
          <w:color w:val="000000" w:themeColor="text1"/>
          <w:spacing w:val="-4"/>
          <w:sz w:val="17"/>
          <w:szCs w:val="17"/>
          <w:lang w:val="en-GB"/>
        </w:rPr>
        <w:t>)</w:t>
      </w:r>
      <w:r w:rsidRPr="00986894">
        <w:rPr>
          <w:rFonts w:ascii="Arial" w:hAnsi="Arial" w:cs="Arial"/>
          <w:color w:val="000000" w:themeColor="text1"/>
          <w:spacing w:val="-4"/>
          <w:sz w:val="17"/>
          <w:szCs w:val="17"/>
          <w:lang w:val="en-GB"/>
        </w:rPr>
        <w:t xml:space="preserve">, November 13, 2019, accessed August 5, 2020, </w:t>
      </w:r>
      <w:hyperlink r:id="rId21" w:history="1">
        <w:r w:rsidRPr="00986894">
          <w:rPr>
            <w:rStyle w:val="Hyperlink"/>
            <w:rFonts w:ascii="Arial" w:hAnsi="Arial" w:cs="Arial"/>
            <w:color w:val="000000" w:themeColor="text1"/>
            <w:spacing w:val="-4"/>
            <w:sz w:val="17"/>
            <w:szCs w:val="17"/>
            <w:u w:val="none"/>
            <w:lang w:val="en-GB"/>
          </w:rPr>
          <w:t>https://investor.luckincoffee.com/static-files/e228e5f9-e47f-47e4-b8dd-f1cabe870ebb</w:t>
        </w:r>
      </w:hyperlink>
      <w:r w:rsidRPr="00986894">
        <w:rPr>
          <w:rStyle w:val="Hyperlink"/>
          <w:rFonts w:ascii="Arial" w:hAnsi="Arial" w:cs="Arial"/>
          <w:color w:val="000000" w:themeColor="text1"/>
          <w:spacing w:val="-4"/>
          <w:sz w:val="17"/>
          <w:szCs w:val="17"/>
          <w:u w:val="none"/>
          <w:lang w:val="en-GB"/>
        </w:rPr>
        <w:t xml:space="preserve">; </w:t>
      </w:r>
      <w:proofErr w:type="spellStart"/>
      <w:r w:rsidRPr="00986894">
        <w:rPr>
          <w:rStyle w:val="Hyperlink"/>
          <w:rFonts w:ascii="Arial" w:hAnsi="Arial" w:cs="Arial"/>
          <w:color w:val="000000" w:themeColor="text1"/>
          <w:spacing w:val="-4"/>
          <w:sz w:val="17"/>
          <w:szCs w:val="17"/>
          <w:u w:val="none"/>
          <w:lang w:val="en-GB"/>
        </w:rPr>
        <w:t>Luckin</w:t>
      </w:r>
      <w:proofErr w:type="spellEnd"/>
      <w:r w:rsidRPr="00986894">
        <w:rPr>
          <w:rStyle w:val="Hyperlink"/>
          <w:rFonts w:ascii="Arial" w:hAnsi="Arial" w:cs="Arial"/>
          <w:color w:val="000000" w:themeColor="text1"/>
          <w:spacing w:val="-4"/>
          <w:sz w:val="17"/>
          <w:szCs w:val="17"/>
          <w:u w:val="none"/>
          <w:lang w:val="en-GB"/>
        </w:rPr>
        <w:t xml:space="preserve"> Coffee </w:t>
      </w:r>
      <w:r w:rsidR="009A29FE" w:rsidRPr="00986894">
        <w:rPr>
          <w:rStyle w:val="Hyperlink"/>
          <w:rFonts w:ascii="Arial" w:hAnsi="Arial" w:cs="Arial"/>
          <w:color w:val="000000" w:themeColor="text1"/>
          <w:spacing w:val="-4"/>
          <w:sz w:val="17"/>
          <w:szCs w:val="17"/>
          <w:u w:val="none"/>
          <w:lang w:val="en-GB"/>
        </w:rPr>
        <w:t>Inc.</w:t>
      </w:r>
      <w:r w:rsidRPr="00986894">
        <w:rPr>
          <w:rStyle w:val="Hyperlink"/>
          <w:rFonts w:ascii="Arial" w:hAnsi="Arial" w:cs="Arial"/>
          <w:color w:val="000000" w:themeColor="text1"/>
          <w:spacing w:val="-4"/>
          <w:sz w:val="17"/>
          <w:szCs w:val="17"/>
          <w:u w:val="none"/>
          <w:lang w:val="en-GB"/>
        </w:rPr>
        <w:t>, “</w:t>
      </w:r>
      <w:r w:rsidR="009A29FE" w:rsidRPr="00986894">
        <w:rPr>
          <w:rStyle w:val="Hyperlink"/>
          <w:rFonts w:ascii="Arial" w:hAnsi="Arial" w:cs="Arial"/>
          <w:color w:val="000000" w:themeColor="text1"/>
          <w:spacing w:val="-4"/>
          <w:sz w:val="17"/>
          <w:szCs w:val="17"/>
          <w:u w:val="none"/>
          <w:lang w:val="en-GB"/>
        </w:rPr>
        <w:t>Form F-1: Registration Statement under The Securities Act of 1933—</w:t>
      </w:r>
      <w:proofErr w:type="spellStart"/>
      <w:r w:rsidR="009A29FE" w:rsidRPr="00986894">
        <w:rPr>
          <w:rStyle w:val="Hyperlink"/>
          <w:rFonts w:ascii="Arial" w:hAnsi="Arial" w:cs="Arial"/>
          <w:color w:val="000000" w:themeColor="text1"/>
          <w:spacing w:val="-4"/>
          <w:sz w:val="17"/>
          <w:szCs w:val="17"/>
          <w:u w:val="none"/>
          <w:lang w:val="en-GB"/>
        </w:rPr>
        <w:t>Luckin</w:t>
      </w:r>
      <w:proofErr w:type="spellEnd"/>
      <w:r w:rsidR="009A29FE" w:rsidRPr="00986894">
        <w:rPr>
          <w:rStyle w:val="Hyperlink"/>
          <w:rFonts w:ascii="Arial" w:hAnsi="Arial" w:cs="Arial"/>
          <w:color w:val="000000" w:themeColor="text1"/>
          <w:spacing w:val="-4"/>
          <w:sz w:val="17"/>
          <w:szCs w:val="17"/>
          <w:u w:val="none"/>
          <w:lang w:val="en-GB"/>
        </w:rPr>
        <w:t xml:space="preserve"> Coffee Inc.,</w:t>
      </w:r>
      <w:r w:rsidRPr="00986894">
        <w:rPr>
          <w:rStyle w:val="Hyperlink"/>
          <w:rFonts w:ascii="Arial" w:hAnsi="Arial" w:cs="Arial"/>
          <w:color w:val="000000" w:themeColor="text1"/>
          <w:spacing w:val="-4"/>
          <w:sz w:val="17"/>
          <w:szCs w:val="17"/>
          <w:u w:val="none"/>
          <w:lang w:val="en-GB"/>
        </w:rPr>
        <w:t>”</w:t>
      </w:r>
      <w:r w:rsidR="00682A96">
        <w:rPr>
          <w:rStyle w:val="Hyperlink"/>
          <w:rFonts w:ascii="Arial" w:hAnsi="Arial" w:cs="Arial"/>
          <w:color w:val="000000" w:themeColor="text1"/>
          <w:spacing w:val="-4"/>
          <w:sz w:val="17"/>
          <w:szCs w:val="17"/>
          <w:u w:val="none"/>
          <w:lang w:val="en-GB"/>
        </w:rPr>
        <w:t xml:space="preserve"> United States Securities and Exchange Commission, </w:t>
      </w:r>
      <w:r w:rsidRPr="00986894">
        <w:rPr>
          <w:rStyle w:val="Hyperlink"/>
          <w:rFonts w:ascii="Arial" w:hAnsi="Arial" w:cs="Arial"/>
          <w:color w:val="000000" w:themeColor="text1"/>
          <w:spacing w:val="-4"/>
          <w:sz w:val="17"/>
          <w:szCs w:val="17"/>
          <w:u w:val="none"/>
          <w:lang w:val="en-GB"/>
        </w:rPr>
        <w:t xml:space="preserve">January 7, 2020, accessed August 5, 2020, </w:t>
      </w:r>
      <w:hyperlink r:id="rId22" w:history="1">
        <w:r w:rsidR="00AF4E41" w:rsidRPr="00DE0D51">
          <w:rPr>
            <w:rStyle w:val="Hyperlink"/>
            <w:rFonts w:ascii="Arial" w:hAnsi="Arial" w:cs="Arial"/>
            <w:color w:val="auto"/>
            <w:spacing w:val="-4"/>
            <w:sz w:val="17"/>
            <w:szCs w:val="17"/>
            <w:u w:val="none"/>
            <w:lang w:val="en-GB"/>
          </w:rPr>
          <w:t>https://investor.luckincoffee.com/static-files/49701047-371e-406d-b5c5-c6ee6b891734</w:t>
        </w:r>
      </w:hyperlink>
      <w:r w:rsidR="009A29FE" w:rsidRPr="00DE0D51">
        <w:rPr>
          <w:rStyle w:val="Hyperlink"/>
          <w:rFonts w:ascii="Arial" w:hAnsi="Arial" w:cs="Arial"/>
          <w:color w:val="auto"/>
          <w:spacing w:val="-4"/>
          <w:sz w:val="17"/>
          <w:szCs w:val="17"/>
          <w:u w:val="none"/>
          <w:lang w:val="en-GB"/>
        </w:rPr>
        <w:t>.</w:t>
      </w:r>
    </w:p>
    <w:p w14:paraId="52D72C1B" w14:textId="77777777" w:rsidR="00AF4E41" w:rsidRPr="00DE0D51" w:rsidRDefault="00AF4E41" w:rsidP="00515CCA">
      <w:pPr>
        <w:keepLines/>
        <w:tabs>
          <w:tab w:val="left" w:pos="3969"/>
          <w:tab w:val="left" w:pos="6155"/>
        </w:tabs>
        <w:contextualSpacing/>
        <w:jc w:val="both"/>
        <w:rPr>
          <w:rStyle w:val="Hyperlink"/>
          <w:rFonts w:ascii="Arial" w:hAnsi="Arial" w:cs="Arial"/>
          <w:color w:val="auto"/>
          <w:spacing w:val="-4"/>
          <w:sz w:val="17"/>
          <w:szCs w:val="17"/>
          <w:u w:val="none"/>
          <w:lang w:val="en-GB"/>
        </w:rPr>
      </w:pPr>
    </w:p>
    <w:p w14:paraId="2DF21C12" w14:textId="77777777" w:rsidR="00AF4E41" w:rsidRPr="00DE0D51" w:rsidRDefault="00AF4E41" w:rsidP="00515CCA">
      <w:pPr>
        <w:keepLines/>
        <w:tabs>
          <w:tab w:val="left" w:pos="3969"/>
          <w:tab w:val="left" w:pos="6155"/>
        </w:tabs>
        <w:contextualSpacing/>
        <w:jc w:val="both"/>
        <w:rPr>
          <w:rStyle w:val="Hyperlink"/>
          <w:rFonts w:ascii="Arial" w:hAnsi="Arial" w:cs="Arial"/>
          <w:color w:val="auto"/>
          <w:spacing w:val="-4"/>
          <w:sz w:val="17"/>
          <w:szCs w:val="17"/>
          <w:u w:val="none"/>
          <w:lang w:val="en-GB"/>
        </w:rPr>
      </w:pPr>
    </w:p>
    <w:p w14:paraId="7E8C62A9" w14:textId="77777777" w:rsidR="009A29FE" w:rsidRPr="00986894" w:rsidRDefault="009A29FE" w:rsidP="00374240">
      <w:pPr>
        <w:tabs>
          <w:tab w:val="left" w:pos="3969"/>
          <w:tab w:val="left" w:pos="6155"/>
        </w:tabs>
        <w:contextualSpacing/>
        <w:jc w:val="both"/>
        <w:rPr>
          <w:rFonts w:ascii="Arial" w:hAnsi="Arial" w:cs="Arial"/>
          <w:b/>
          <w:color w:val="000000" w:themeColor="text1"/>
          <w:spacing w:val="-4"/>
          <w:sz w:val="17"/>
          <w:szCs w:val="17"/>
          <w:lang w:val="en-GB"/>
        </w:rPr>
      </w:pPr>
    </w:p>
    <w:p w14:paraId="2963824C" w14:textId="6571FF8F" w:rsidR="00EB2F2B" w:rsidRPr="00986894" w:rsidRDefault="00EB2F2B" w:rsidP="002F650D">
      <w:pPr>
        <w:pStyle w:val="ExhibitHeading"/>
      </w:pPr>
      <w:r w:rsidRPr="00986894">
        <w:t xml:space="preserve">EXHIBIT 8: </w:t>
      </w:r>
      <w:r w:rsidR="00D51BA7" w:rsidRPr="00986894">
        <w:t>Luckin Coffee Inc.—</w:t>
      </w:r>
      <w:r w:rsidR="007D12F8" w:rsidRPr="00986894">
        <w:t xml:space="preserve">quarter breakdown of </w:t>
      </w:r>
      <w:r w:rsidR="004F4D56" w:rsidRPr="00986894">
        <w:t xml:space="preserve">INFLATED </w:t>
      </w:r>
      <w:r w:rsidRPr="00986894">
        <w:t>REVENUE AND expenses</w:t>
      </w:r>
      <w:r w:rsidR="00D51BA7" w:rsidRPr="00986894">
        <w:t xml:space="preserve"> </w:t>
      </w:r>
      <w:r w:rsidRPr="00986894">
        <w:t xml:space="preserve">(IN </w:t>
      </w:r>
      <w:r w:rsidR="009A29FE" w:rsidRPr="00986894">
        <w:t xml:space="preserve">¥ </w:t>
      </w:r>
      <w:r w:rsidRPr="00986894">
        <w:t>billions)</w:t>
      </w:r>
    </w:p>
    <w:p w14:paraId="698A556E" w14:textId="77777777" w:rsidR="00EB2F2B" w:rsidRPr="00986894" w:rsidRDefault="00EB2F2B" w:rsidP="00621208">
      <w:pPr>
        <w:pStyle w:val="Footnote"/>
      </w:pPr>
    </w:p>
    <w:tbl>
      <w:tblPr>
        <w:tblStyle w:val="TableGrid"/>
        <w:tblW w:w="0" w:type="auto"/>
        <w:tblLook w:val="04A0" w:firstRow="1" w:lastRow="0" w:firstColumn="1" w:lastColumn="0" w:noHBand="0" w:noVBand="1"/>
        <w:tblCaption w:val="Exhibit 8"/>
        <w:tblDescription w:val="Luckin Coffee inc quarter breakdown of inflated revenue and expenses"/>
      </w:tblPr>
      <w:tblGrid>
        <w:gridCol w:w="1940"/>
        <w:gridCol w:w="1903"/>
        <w:gridCol w:w="1903"/>
        <w:gridCol w:w="1903"/>
        <w:gridCol w:w="1701"/>
      </w:tblGrid>
      <w:tr w:rsidR="00EB2F2B" w:rsidRPr="00986894" w14:paraId="6AA4AC8E" w14:textId="77777777" w:rsidTr="001454EC">
        <w:trPr>
          <w:tblHeader/>
        </w:trPr>
        <w:tc>
          <w:tcPr>
            <w:tcW w:w="1940" w:type="dxa"/>
          </w:tcPr>
          <w:p w14:paraId="7AFC4329" w14:textId="77777777" w:rsidR="00EB2F2B" w:rsidRPr="00515CCA" w:rsidRDefault="00EB2F2B" w:rsidP="00621208">
            <w:pPr>
              <w:tabs>
                <w:tab w:val="left" w:pos="6155"/>
              </w:tabs>
              <w:contextualSpacing/>
              <w:jc w:val="center"/>
              <w:rPr>
                <w:rFonts w:ascii="Arial" w:hAnsi="Arial" w:cs="Arial"/>
                <w:b/>
                <w:bCs/>
                <w:sz w:val="18"/>
                <w:lang w:val="en-GB"/>
              </w:rPr>
            </w:pPr>
          </w:p>
        </w:tc>
        <w:tc>
          <w:tcPr>
            <w:tcW w:w="1903" w:type="dxa"/>
          </w:tcPr>
          <w:p w14:paraId="3AA972CE" w14:textId="77777777" w:rsidR="00EB2F2B" w:rsidRPr="00515CCA" w:rsidRDefault="00EB2F2B" w:rsidP="00621208">
            <w:pPr>
              <w:tabs>
                <w:tab w:val="left" w:pos="6155"/>
              </w:tabs>
              <w:contextualSpacing/>
              <w:jc w:val="center"/>
              <w:rPr>
                <w:rFonts w:ascii="Arial" w:hAnsi="Arial" w:cs="Arial"/>
                <w:b/>
                <w:bCs/>
                <w:sz w:val="18"/>
                <w:lang w:val="en-GB"/>
              </w:rPr>
            </w:pPr>
            <w:r w:rsidRPr="00515CCA">
              <w:rPr>
                <w:rFonts w:ascii="Arial" w:hAnsi="Arial" w:cs="Arial"/>
                <w:b/>
                <w:bCs/>
                <w:sz w:val="18"/>
                <w:lang w:val="en-GB"/>
              </w:rPr>
              <w:t>2019 Quarter 2</w:t>
            </w:r>
          </w:p>
        </w:tc>
        <w:tc>
          <w:tcPr>
            <w:tcW w:w="1903" w:type="dxa"/>
          </w:tcPr>
          <w:p w14:paraId="11A62CDE" w14:textId="77777777" w:rsidR="00EB2F2B" w:rsidRPr="00515CCA" w:rsidRDefault="00EB2F2B" w:rsidP="00EE6190">
            <w:pPr>
              <w:tabs>
                <w:tab w:val="left" w:pos="6155"/>
              </w:tabs>
              <w:contextualSpacing/>
              <w:jc w:val="center"/>
              <w:rPr>
                <w:rFonts w:ascii="Arial" w:hAnsi="Arial" w:cs="Arial"/>
                <w:b/>
                <w:bCs/>
                <w:sz w:val="18"/>
                <w:lang w:val="en-GB"/>
              </w:rPr>
            </w:pPr>
            <w:r w:rsidRPr="00515CCA">
              <w:rPr>
                <w:rFonts w:ascii="Arial" w:hAnsi="Arial" w:cs="Arial"/>
                <w:b/>
                <w:bCs/>
                <w:sz w:val="18"/>
                <w:lang w:val="en-GB"/>
              </w:rPr>
              <w:t>2019 Quarter 3</w:t>
            </w:r>
          </w:p>
        </w:tc>
        <w:tc>
          <w:tcPr>
            <w:tcW w:w="1903" w:type="dxa"/>
          </w:tcPr>
          <w:p w14:paraId="2F1406EF" w14:textId="77777777" w:rsidR="00EB2F2B" w:rsidRPr="00515CCA" w:rsidRDefault="00EB2F2B">
            <w:pPr>
              <w:tabs>
                <w:tab w:val="left" w:pos="6155"/>
              </w:tabs>
              <w:contextualSpacing/>
              <w:jc w:val="center"/>
              <w:rPr>
                <w:rFonts w:ascii="Arial" w:hAnsi="Arial" w:cs="Arial"/>
                <w:b/>
                <w:bCs/>
                <w:sz w:val="18"/>
                <w:lang w:val="en-GB"/>
              </w:rPr>
            </w:pPr>
            <w:r w:rsidRPr="00515CCA">
              <w:rPr>
                <w:rFonts w:ascii="Arial" w:hAnsi="Arial" w:cs="Arial"/>
                <w:b/>
                <w:bCs/>
                <w:sz w:val="18"/>
                <w:lang w:val="en-GB"/>
              </w:rPr>
              <w:t>2019 Quarter 4</w:t>
            </w:r>
          </w:p>
        </w:tc>
        <w:tc>
          <w:tcPr>
            <w:tcW w:w="1701" w:type="dxa"/>
          </w:tcPr>
          <w:p w14:paraId="2E5AC0D6" w14:textId="77777777" w:rsidR="00EB2F2B" w:rsidRPr="00515CCA" w:rsidRDefault="00EB2F2B">
            <w:pPr>
              <w:tabs>
                <w:tab w:val="left" w:pos="6155"/>
              </w:tabs>
              <w:contextualSpacing/>
              <w:jc w:val="center"/>
              <w:rPr>
                <w:rFonts w:ascii="Arial" w:hAnsi="Arial" w:cs="Arial"/>
                <w:b/>
                <w:bCs/>
                <w:sz w:val="18"/>
                <w:lang w:val="en-GB"/>
              </w:rPr>
            </w:pPr>
            <w:r w:rsidRPr="00515CCA">
              <w:rPr>
                <w:rFonts w:ascii="Arial" w:hAnsi="Arial" w:cs="Arial"/>
                <w:b/>
                <w:bCs/>
                <w:sz w:val="18"/>
                <w:lang w:val="en-GB"/>
              </w:rPr>
              <w:t>Total</w:t>
            </w:r>
          </w:p>
        </w:tc>
      </w:tr>
      <w:tr w:rsidR="00EB2F2B" w:rsidRPr="00986894" w14:paraId="01C79BE2" w14:textId="77777777" w:rsidTr="001454EC">
        <w:trPr>
          <w:trHeight w:val="49"/>
          <w:tblHeader/>
        </w:trPr>
        <w:tc>
          <w:tcPr>
            <w:tcW w:w="1940" w:type="dxa"/>
          </w:tcPr>
          <w:p w14:paraId="4A7CA31F" w14:textId="77777777" w:rsidR="00EB2F2B" w:rsidRPr="00515CCA" w:rsidRDefault="00EB2F2B" w:rsidP="00374240">
            <w:pPr>
              <w:tabs>
                <w:tab w:val="left" w:pos="6155"/>
              </w:tabs>
              <w:contextualSpacing/>
              <w:rPr>
                <w:rFonts w:ascii="Arial" w:hAnsi="Arial" w:cs="Arial"/>
                <w:b/>
                <w:bCs/>
                <w:sz w:val="18"/>
                <w:lang w:val="en-GB"/>
              </w:rPr>
            </w:pPr>
            <w:r w:rsidRPr="00515CCA">
              <w:rPr>
                <w:rFonts w:ascii="Arial" w:hAnsi="Arial" w:cs="Arial"/>
                <w:b/>
                <w:bCs/>
                <w:sz w:val="18"/>
                <w:lang w:val="en-GB"/>
              </w:rPr>
              <w:t>Revenue</w:t>
            </w:r>
          </w:p>
        </w:tc>
        <w:tc>
          <w:tcPr>
            <w:tcW w:w="1903" w:type="dxa"/>
          </w:tcPr>
          <w:p w14:paraId="2A8AA671"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0.25</w:t>
            </w:r>
          </w:p>
        </w:tc>
        <w:tc>
          <w:tcPr>
            <w:tcW w:w="1903" w:type="dxa"/>
          </w:tcPr>
          <w:p w14:paraId="24201026"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0.70</w:t>
            </w:r>
          </w:p>
        </w:tc>
        <w:tc>
          <w:tcPr>
            <w:tcW w:w="1903" w:type="dxa"/>
          </w:tcPr>
          <w:p w14:paraId="7D184623"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1.17</w:t>
            </w:r>
          </w:p>
        </w:tc>
        <w:tc>
          <w:tcPr>
            <w:tcW w:w="1701" w:type="dxa"/>
          </w:tcPr>
          <w:p w14:paraId="27479FBB"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2.12</w:t>
            </w:r>
          </w:p>
        </w:tc>
      </w:tr>
      <w:tr w:rsidR="00EB2F2B" w:rsidRPr="00986894" w14:paraId="1E7FEDA0" w14:textId="77777777" w:rsidTr="001454EC">
        <w:trPr>
          <w:tblHeader/>
        </w:trPr>
        <w:tc>
          <w:tcPr>
            <w:tcW w:w="1940" w:type="dxa"/>
          </w:tcPr>
          <w:p w14:paraId="61B3E37F" w14:textId="77777777" w:rsidR="00EB2F2B" w:rsidRPr="00515CCA" w:rsidRDefault="00EB2F2B" w:rsidP="00374240">
            <w:pPr>
              <w:tabs>
                <w:tab w:val="left" w:pos="6155"/>
              </w:tabs>
              <w:contextualSpacing/>
              <w:rPr>
                <w:rFonts w:ascii="Arial" w:hAnsi="Arial" w:cs="Arial"/>
                <w:b/>
                <w:bCs/>
                <w:sz w:val="18"/>
                <w:lang w:val="en-GB"/>
              </w:rPr>
            </w:pPr>
            <w:r w:rsidRPr="00515CCA">
              <w:rPr>
                <w:rFonts w:ascii="Arial" w:hAnsi="Arial" w:cs="Arial"/>
                <w:b/>
                <w:bCs/>
                <w:sz w:val="18"/>
                <w:lang w:val="en-GB"/>
              </w:rPr>
              <w:t>Expense</w:t>
            </w:r>
          </w:p>
        </w:tc>
        <w:tc>
          <w:tcPr>
            <w:tcW w:w="1903" w:type="dxa"/>
          </w:tcPr>
          <w:p w14:paraId="4D2B7A65"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0.15</w:t>
            </w:r>
          </w:p>
        </w:tc>
        <w:tc>
          <w:tcPr>
            <w:tcW w:w="1903" w:type="dxa"/>
          </w:tcPr>
          <w:p w14:paraId="18035DD2"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0.52</w:t>
            </w:r>
          </w:p>
        </w:tc>
        <w:tc>
          <w:tcPr>
            <w:tcW w:w="1903" w:type="dxa"/>
          </w:tcPr>
          <w:p w14:paraId="5432EEB2"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-0.67</w:t>
            </w:r>
          </w:p>
        </w:tc>
        <w:tc>
          <w:tcPr>
            <w:tcW w:w="1701" w:type="dxa"/>
          </w:tcPr>
          <w:p w14:paraId="40FBFF5A"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1.34</w:t>
            </w:r>
          </w:p>
        </w:tc>
      </w:tr>
      <w:tr w:rsidR="00EB2F2B" w:rsidRPr="00986894" w14:paraId="7F5B5E10" w14:textId="77777777" w:rsidTr="001454EC">
        <w:trPr>
          <w:tblHeader/>
        </w:trPr>
        <w:tc>
          <w:tcPr>
            <w:tcW w:w="1940" w:type="dxa"/>
          </w:tcPr>
          <w:p w14:paraId="2CCBC301" w14:textId="77777777" w:rsidR="00EB2F2B" w:rsidRPr="00515CCA" w:rsidRDefault="00EB2F2B" w:rsidP="00374240">
            <w:pPr>
              <w:tabs>
                <w:tab w:val="left" w:pos="6155"/>
              </w:tabs>
              <w:contextualSpacing/>
              <w:rPr>
                <w:rFonts w:ascii="Arial" w:hAnsi="Arial" w:cs="Arial"/>
                <w:b/>
                <w:bCs/>
                <w:sz w:val="18"/>
                <w:lang w:val="en-GB"/>
              </w:rPr>
            </w:pPr>
            <w:r w:rsidRPr="00515CCA">
              <w:rPr>
                <w:rFonts w:ascii="Arial" w:hAnsi="Arial" w:cs="Arial"/>
                <w:b/>
                <w:bCs/>
                <w:sz w:val="18"/>
                <w:lang w:val="en-GB"/>
              </w:rPr>
              <w:t>Net</w:t>
            </w:r>
          </w:p>
        </w:tc>
        <w:tc>
          <w:tcPr>
            <w:tcW w:w="1903" w:type="dxa"/>
          </w:tcPr>
          <w:p w14:paraId="2004D9D4"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0.10</w:t>
            </w:r>
          </w:p>
        </w:tc>
        <w:tc>
          <w:tcPr>
            <w:tcW w:w="1903" w:type="dxa"/>
          </w:tcPr>
          <w:p w14:paraId="75255308"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0.18</w:t>
            </w:r>
          </w:p>
        </w:tc>
        <w:tc>
          <w:tcPr>
            <w:tcW w:w="1903" w:type="dxa"/>
          </w:tcPr>
          <w:p w14:paraId="33EF62E0"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0.50</w:t>
            </w:r>
          </w:p>
        </w:tc>
        <w:tc>
          <w:tcPr>
            <w:tcW w:w="1701" w:type="dxa"/>
          </w:tcPr>
          <w:p w14:paraId="01B106B7" w14:textId="77777777" w:rsidR="00EB2F2B" w:rsidRPr="00986894" w:rsidRDefault="00EB2F2B" w:rsidP="00515CCA">
            <w:pPr>
              <w:tabs>
                <w:tab w:val="left" w:pos="6155"/>
              </w:tabs>
              <w:ind w:right="50"/>
              <w:contextualSpacing/>
              <w:jc w:val="center"/>
              <w:rPr>
                <w:rFonts w:ascii="Arial" w:hAnsi="Arial" w:cs="Arial"/>
                <w:bCs/>
                <w:sz w:val="18"/>
                <w:lang w:val="en-GB"/>
              </w:rPr>
            </w:pPr>
            <w:r w:rsidRPr="00986894">
              <w:rPr>
                <w:rFonts w:ascii="Arial" w:hAnsi="Arial" w:cs="Arial"/>
                <w:bCs/>
                <w:sz w:val="18"/>
                <w:lang w:val="en-GB"/>
              </w:rPr>
              <w:t>0.78</w:t>
            </w:r>
          </w:p>
        </w:tc>
      </w:tr>
    </w:tbl>
    <w:p w14:paraId="6F3485DF" w14:textId="77777777" w:rsidR="00EB2F2B" w:rsidRPr="00986894" w:rsidRDefault="00EB2F2B" w:rsidP="00374240">
      <w:pPr>
        <w:pStyle w:val="Footnote"/>
      </w:pPr>
    </w:p>
    <w:p w14:paraId="4D00A8BB" w14:textId="759930D1" w:rsidR="00EB2F2B" w:rsidRPr="00986894" w:rsidRDefault="00EB2F2B" w:rsidP="00515CCA">
      <w:pPr>
        <w:tabs>
          <w:tab w:val="left" w:pos="6155"/>
        </w:tabs>
        <w:contextualSpacing/>
        <w:jc w:val="both"/>
        <w:rPr>
          <w:rFonts w:ascii="Arial" w:hAnsi="Arial" w:cs="Arial"/>
          <w:sz w:val="17"/>
          <w:szCs w:val="17"/>
          <w:lang w:val="en-GB"/>
        </w:rPr>
      </w:pPr>
      <w:r w:rsidRPr="00986894">
        <w:rPr>
          <w:rFonts w:ascii="Arial" w:hAnsi="Arial" w:cs="Arial"/>
          <w:sz w:val="17"/>
          <w:szCs w:val="17"/>
          <w:lang w:val="en-GB"/>
        </w:rPr>
        <w:t xml:space="preserve">Source: Developed by </w:t>
      </w:r>
      <w:r w:rsidR="00D51BA7" w:rsidRPr="00986894">
        <w:rPr>
          <w:rFonts w:ascii="Arial" w:hAnsi="Arial" w:cs="Arial"/>
          <w:sz w:val="17"/>
          <w:szCs w:val="17"/>
          <w:lang w:val="en-GB"/>
        </w:rPr>
        <w:t xml:space="preserve">case </w:t>
      </w:r>
      <w:r w:rsidRPr="00986894">
        <w:rPr>
          <w:rFonts w:ascii="Arial" w:hAnsi="Arial" w:cs="Arial"/>
          <w:sz w:val="17"/>
          <w:szCs w:val="17"/>
          <w:lang w:val="en-GB"/>
        </w:rPr>
        <w:t>author</w:t>
      </w:r>
      <w:r w:rsidR="00D51BA7" w:rsidRPr="00986894">
        <w:rPr>
          <w:rFonts w:ascii="Arial" w:hAnsi="Arial" w:cs="Arial"/>
          <w:sz w:val="17"/>
          <w:szCs w:val="17"/>
          <w:lang w:val="en-GB"/>
        </w:rPr>
        <w:t xml:space="preserve"> with </w:t>
      </w:r>
      <w:r w:rsidRPr="00986894">
        <w:rPr>
          <w:rFonts w:ascii="Arial" w:hAnsi="Arial" w:cs="Arial"/>
          <w:sz w:val="17"/>
          <w:szCs w:val="17"/>
          <w:lang w:val="en-GB"/>
        </w:rPr>
        <w:t>data from “</w:t>
      </w:r>
      <w:proofErr w:type="spellStart"/>
      <w:r w:rsidRPr="00986894">
        <w:rPr>
          <w:rFonts w:ascii="Arial" w:hAnsi="Arial" w:cs="Arial"/>
          <w:sz w:val="17"/>
          <w:szCs w:val="17"/>
          <w:lang w:val="en-GB"/>
        </w:rPr>
        <w:t>Luckin</w:t>
      </w:r>
      <w:proofErr w:type="spellEnd"/>
      <w:r w:rsidRPr="00986894">
        <w:rPr>
          <w:rFonts w:ascii="Arial" w:hAnsi="Arial" w:cs="Arial"/>
          <w:sz w:val="17"/>
          <w:szCs w:val="17"/>
          <w:lang w:val="en-GB"/>
        </w:rPr>
        <w:t xml:space="preserve"> Announces the Substantial Completion of the Internal Investigation,” </w:t>
      </w:r>
      <w:proofErr w:type="spellStart"/>
      <w:r w:rsidR="00C62FF9">
        <w:rPr>
          <w:rFonts w:ascii="Arial" w:hAnsi="Arial" w:cs="Arial"/>
          <w:sz w:val="17"/>
          <w:szCs w:val="17"/>
          <w:lang w:val="en-GB"/>
        </w:rPr>
        <w:t>L</w:t>
      </w:r>
      <w:r w:rsidR="00AF4E41">
        <w:rPr>
          <w:rFonts w:ascii="Arial" w:hAnsi="Arial" w:cs="Arial"/>
          <w:sz w:val="17"/>
          <w:szCs w:val="17"/>
          <w:lang w:val="en-GB"/>
        </w:rPr>
        <w:t>uckin</w:t>
      </w:r>
      <w:proofErr w:type="spellEnd"/>
      <w:r w:rsidR="00AF4E41">
        <w:rPr>
          <w:rFonts w:ascii="Arial" w:hAnsi="Arial" w:cs="Arial"/>
          <w:sz w:val="17"/>
          <w:szCs w:val="17"/>
          <w:lang w:val="en-GB"/>
        </w:rPr>
        <w:t xml:space="preserve"> </w:t>
      </w:r>
      <w:r w:rsidR="00C62FF9">
        <w:rPr>
          <w:rFonts w:ascii="Arial" w:hAnsi="Arial" w:cs="Arial"/>
          <w:sz w:val="17"/>
          <w:szCs w:val="17"/>
          <w:lang w:val="en-GB"/>
        </w:rPr>
        <w:t>C</w:t>
      </w:r>
      <w:r w:rsidR="00AF4E41">
        <w:rPr>
          <w:rFonts w:ascii="Arial" w:hAnsi="Arial" w:cs="Arial"/>
          <w:sz w:val="17"/>
          <w:szCs w:val="17"/>
          <w:lang w:val="en-GB"/>
        </w:rPr>
        <w:t>offee (</w:t>
      </w:r>
      <w:r w:rsidR="005E1622" w:rsidRPr="00986894">
        <w:rPr>
          <w:rFonts w:ascii="Arial" w:hAnsi="Arial" w:cs="Arial"/>
          <w:sz w:val="17"/>
          <w:szCs w:val="17"/>
          <w:lang w:val="en-GB"/>
        </w:rPr>
        <w:t>press release</w:t>
      </w:r>
      <w:r w:rsidR="00AF4E41">
        <w:rPr>
          <w:rFonts w:ascii="Arial" w:hAnsi="Arial" w:cs="Arial"/>
          <w:sz w:val="17"/>
          <w:szCs w:val="17"/>
          <w:lang w:val="en-GB"/>
        </w:rPr>
        <w:t>)</w:t>
      </w:r>
      <w:r w:rsidR="005E1622" w:rsidRPr="00986894">
        <w:rPr>
          <w:rFonts w:ascii="Arial" w:hAnsi="Arial" w:cs="Arial"/>
          <w:sz w:val="17"/>
          <w:szCs w:val="17"/>
          <w:lang w:val="en-GB"/>
        </w:rPr>
        <w:t>,</w:t>
      </w:r>
      <w:r w:rsidRPr="00986894">
        <w:rPr>
          <w:rFonts w:ascii="Arial" w:hAnsi="Arial" w:cs="Arial"/>
          <w:sz w:val="17"/>
          <w:szCs w:val="17"/>
          <w:lang w:val="en-GB"/>
        </w:rPr>
        <w:t xml:space="preserve"> </w:t>
      </w:r>
      <w:r w:rsidR="007D12F8" w:rsidRPr="00986894">
        <w:rPr>
          <w:rFonts w:ascii="Arial" w:hAnsi="Arial" w:cs="Arial"/>
          <w:sz w:val="17"/>
          <w:szCs w:val="17"/>
          <w:lang w:val="en-GB"/>
        </w:rPr>
        <w:t>July 1</w:t>
      </w:r>
      <w:r w:rsidRPr="00986894">
        <w:rPr>
          <w:rFonts w:ascii="Arial" w:hAnsi="Arial" w:cs="Arial"/>
          <w:sz w:val="17"/>
          <w:szCs w:val="17"/>
          <w:lang w:val="en-GB"/>
        </w:rPr>
        <w:t>, 2020, accessed August 5, 2020, https://investor.luckincoffee.com/news-releases/news-release-details/luckin-announces-substantial-completion-internal-investigation</w:t>
      </w:r>
      <w:r w:rsidR="00D51BA7" w:rsidRPr="00986894">
        <w:rPr>
          <w:rFonts w:ascii="Arial" w:hAnsi="Arial" w:cs="Arial"/>
          <w:sz w:val="17"/>
          <w:szCs w:val="17"/>
          <w:lang w:val="en-GB"/>
        </w:rPr>
        <w:t>.</w:t>
      </w:r>
    </w:p>
    <w:p w14:paraId="2D55FD5A" w14:textId="77777777" w:rsidR="00EB2F2B" w:rsidRPr="00986894" w:rsidRDefault="00EB2F2B" w:rsidP="002F650D">
      <w:pPr>
        <w:pStyle w:val="Footnote"/>
      </w:pPr>
    </w:p>
    <w:p w14:paraId="10C9F651" w14:textId="661C51FF" w:rsidR="003D15E1" w:rsidRPr="00986894" w:rsidRDefault="003D15E1" w:rsidP="002F650D">
      <w:pPr>
        <w:pStyle w:val="Footnote"/>
      </w:pPr>
    </w:p>
    <w:p w14:paraId="7C4AF7E2" w14:textId="77777777" w:rsidR="00374240" w:rsidRDefault="00374240">
      <w:pPr>
        <w:spacing w:after="200" w:line="276" w:lineRule="auto"/>
        <w:rPr>
          <w:rFonts w:ascii="Arial" w:eastAsia="Calibri" w:hAnsi="Arial" w:cs="Arial"/>
          <w:b/>
          <w:caps/>
          <w:color w:val="000000" w:themeColor="text1"/>
          <w:lang w:val="en-GB"/>
        </w:rPr>
      </w:pPr>
      <w:r>
        <w:br w:type="page"/>
      </w:r>
    </w:p>
    <w:p w14:paraId="4D29DFD0" w14:textId="0F02DFA8" w:rsidR="00AC5735" w:rsidRPr="00986894" w:rsidRDefault="00AC5735" w:rsidP="00515CCA">
      <w:pPr>
        <w:pStyle w:val="ExhibitHeading"/>
      </w:pPr>
      <w:r w:rsidRPr="00986894">
        <w:lastRenderedPageBreak/>
        <w:t xml:space="preserve">EXHIBIT 9: </w:t>
      </w:r>
      <w:r w:rsidR="00D51BA7" w:rsidRPr="00986894">
        <w:t>LUCKIN COFFEE INC.—</w:t>
      </w:r>
      <w:r w:rsidRPr="00986894">
        <w:t>Percentage of aggregate voting power of PRINCIPAL STAKEHOLDERS PER PROSPECTUS</w:t>
      </w:r>
    </w:p>
    <w:p w14:paraId="5A7C0EFE" w14:textId="77777777" w:rsidR="00AC5735" w:rsidRPr="00986894" w:rsidRDefault="00AC5735" w:rsidP="00515CCA">
      <w:pPr>
        <w:pStyle w:val="Footnote"/>
        <w:keepLines/>
      </w:pPr>
    </w:p>
    <w:tbl>
      <w:tblPr>
        <w:tblStyle w:val="TableGrid"/>
        <w:tblW w:w="0" w:type="auto"/>
        <w:tblLook w:val="04A0" w:firstRow="1" w:lastRow="0" w:firstColumn="1" w:lastColumn="0" w:noHBand="0" w:noVBand="1"/>
        <w:tblCaption w:val="Exhibit 9"/>
        <w:tblDescription w:val="Percentage of aggregate voting power of principal stakeholders per prospectus"/>
      </w:tblPr>
      <w:tblGrid>
        <w:gridCol w:w="4445"/>
        <w:gridCol w:w="1127"/>
        <w:gridCol w:w="1240"/>
        <w:gridCol w:w="1241"/>
        <w:gridCol w:w="1297"/>
      </w:tblGrid>
      <w:tr w:rsidR="003E01BA" w:rsidRPr="00986894" w14:paraId="096897E6" w14:textId="77777777" w:rsidTr="001454EC">
        <w:trPr>
          <w:tblHeader/>
        </w:trPr>
        <w:tc>
          <w:tcPr>
            <w:tcW w:w="4451" w:type="dxa"/>
          </w:tcPr>
          <w:p w14:paraId="23789720" w14:textId="77777777" w:rsidR="003E01BA" w:rsidRPr="00986894" w:rsidRDefault="003E01BA" w:rsidP="00515CCA">
            <w:pPr>
              <w:keepLines/>
              <w:tabs>
                <w:tab w:val="left" w:pos="6155"/>
              </w:tabs>
              <w:contextualSpacing/>
              <w:jc w:val="center"/>
              <w:rPr>
                <w:rFonts w:ascii="Arial" w:hAnsi="Arial" w:cs="Arial"/>
                <w:b/>
                <w:sz w:val="18"/>
                <w:szCs w:val="18"/>
                <w:lang w:val="en-GB"/>
              </w:rPr>
            </w:pPr>
            <w:r w:rsidRPr="00986894">
              <w:rPr>
                <w:rFonts w:ascii="Arial" w:hAnsi="Arial" w:cs="Arial"/>
                <w:b/>
                <w:sz w:val="18"/>
                <w:szCs w:val="18"/>
                <w:lang w:val="en-GB"/>
              </w:rPr>
              <w:t>Principal Stakeholders</w:t>
            </w:r>
          </w:p>
        </w:tc>
        <w:tc>
          <w:tcPr>
            <w:tcW w:w="1118" w:type="dxa"/>
          </w:tcPr>
          <w:p w14:paraId="7EAF572C" w14:textId="312CF3C5" w:rsidR="003E01BA" w:rsidRPr="00986894" w:rsidRDefault="003E01BA" w:rsidP="00515CCA">
            <w:pPr>
              <w:keepLines/>
              <w:tabs>
                <w:tab w:val="left" w:pos="6155"/>
              </w:tabs>
              <w:contextualSpacing/>
              <w:jc w:val="center"/>
              <w:rPr>
                <w:rFonts w:ascii="Arial" w:hAnsi="Arial" w:cs="Arial"/>
                <w:b/>
                <w:sz w:val="18"/>
                <w:szCs w:val="18"/>
                <w:lang w:val="en-GB"/>
              </w:rPr>
            </w:pPr>
            <w:r w:rsidRPr="00986894">
              <w:rPr>
                <w:rFonts w:ascii="Arial" w:hAnsi="Arial" w:cs="Arial"/>
                <w:b/>
                <w:sz w:val="18"/>
                <w:szCs w:val="18"/>
                <w:lang w:val="en-GB"/>
              </w:rPr>
              <w:t>Type of Shares</w:t>
            </w:r>
          </w:p>
        </w:tc>
        <w:tc>
          <w:tcPr>
            <w:tcW w:w="1241" w:type="dxa"/>
          </w:tcPr>
          <w:p w14:paraId="644A6F74" w14:textId="0BE2F8D4" w:rsidR="003E01BA" w:rsidRPr="00986894" w:rsidRDefault="00D51BA7" w:rsidP="00515CCA">
            <w:pPr>
              <w:keepLines/>
              <w:tabs>
                <w:tab w:val="left" w:pos="6155"/>
              </w:tabs>
              <w:contextualSpacing/>
              <w:jc w:val="center"/>
              <w:rPr>
                <w:rFonts w:ascii="Arial" w:hAnsi="Arial" w:cs="Arial"/>
                <w:b/>
                <w:sz w:val="18"/>
                <w:szCs w:val="18"/>
                <w:lang w:val="en-GB"/>
              </w:rPr>
            </w:pPr>
            <w:r w:rsidRPr="00986894">
              <w:rPr>
                <w:rFonts w:ascii="Arial" w:hAnsi="Arial" w:cs="Arial"/>
                <w:b/>
                <w:sz w:val="18"/>
                <w:szCs w:val="18"/>
                <w:lang w:val="en-GB"/>
              </w:rPr>
              <w:t xml:space="preserve">Before </w:t>
            </w:r>
            <w:r w:rsidR="003E01BA" w:rsidRPr="00986894">
              <w:rPr>
                <w:rFonts w:ascii="Arial" w:hAnsi="Arial" w:cs="Arial"/>
                <w:b/>
                <w:sz w:val="18"/>
                <w:szCs w:val="18"/>
                <w:lang w:val="en-GB"/>
              </w:rPr>
              <w:t>IPO</w:t>
            </w:r>
          </w:p>
        </w:tc>
        <w:tc>
          <w:tcPr>
            <w:tcW w:w="1242" w:type="dxa"/>
          </w:tcPr>
          <w:p w14:paraId="16A2A443" w14:textId="77777777" w:rsidR="003E01BA" w:rsidRPr="00986894" w:rsidRDefault="003E01BA" w:rsidP="00515CCA">
            <w:pPr>
              <w:keepLines/>
              <w:tabs>
                <w:tab w:val="left" w:pos="6155"/>
              </w:tabs>
              <w:contextualSpacing/>
              <w:jc w:val="center"/>
              <w:rPr>
                <w:rFonts w:ascii="Arial" w:hAnsi="Arial" w:cs="Arial"/>
                <w:b/>
                <w:sz w:val="18"/>
                <w:szCs w:val="18"/>
                <w:lang w:val="en-GB"/>
              </w:rPr>
            </w:pPr>
            <w:r w:rsidRPr="00986894">
              <w:rPr>
                <w:rFonts w:ascii="Arial" w:hAnsi="Arial" w:cs="Arial"/>
                <w:b/>
                <w:sz w:val="18"/>
                <w:szCs w:val="18"/>
                <w:lang w:val="en-GB"/>
              </w:rPr>
              <w:t>IPO</w:t>
            </w:r>
          </w:p>
        </w:tc>
        <w:tc>
          <w:tcPr>
            <w:tcW w:w="1298" w:type="dxa"/>
          </w:tcPr>
          <w:p w14:paraId="78846020" w14:textId="119F6320" w:rsidR="003E01BA" w:rsidRPr="00986894" w:rsidRDefault="00D51BA7" w:rsidP="00515CCA">
            <w:pPr>
              <w:keepLines/>
              <w:tabs>
                <w:tab w:val="left" w:pos="6155"/>
              </w:tabs>
              <w:contextualSpacing/>
              <w:jc w:val="center"/>
              <w:rPr>
                <w:rFonts w:ascii="Arial" w:hAnsi="Arial" w:cs="Arial"/>
                <w:b/>
                <w:sz w:val="18"/>
                <w:szCs w:val="18"/>
                <w:lang w:val="en-GB"/>
              </w:rPr>
            </w:pPr>
            <w:r w:rsidRPr="00986894">
              <w:rPr>
                <w:rFonts w:ascii="Arial" w:hAnsi="Arial" w:cs="Arial"/>
                <w:b/>
                <w:sz w:val="18"/>
                <w:szCs w:val="18"/>
                <w:lang w:val="en-GB"/>
              </w:rPr>
              <w:t xml:space="preserve">Before Second </w:t>
            </w:r>
            <w:r w:rsidR="003E01BA" w:rsidRPr="00986894">
              <w:rPr>
                <w:rFonts w:ascii="Arial" w:hAnsi="Arial" w:cs="Arial"/>
                <w:b/>
                <w:sz w:val="18"/>
                <w:szCs w:val="18"/>
                <w:lang w:val="en-GB"/>
              </w:rPr>
              <w:t>Offer</w:t>
            </w:r>
          </w:p>
        </w:tc>
      </w:tr>
      <w:tr w:rsidR="003E01BA" w:rsidRPr="00986894" w14:paraId="5BEA0A86" w14:textId="77777777" w:rsidTr="001454EC">
        <w:trPr>
          <w:tblHeader/>
        </w:trPr>
        <w:tc>
          <w:tcPr>
            <w:tcW w:w="4451" w:type="dxa"/>
          </w:tcPr>
          <w:p w14:paraId="0C98182B" w14:textId="2F873062" w:rsidR="003E01BA" w:rsidRPr="00986894" w:rsidRDefault="003E01BA" w:rsidP="00515CCA">
            <w:pPr>
              <w:keepLines/>
              <w:tabs>
                <w:tab w:val="left" w:pos="6155"/>
              </w:tabs>
              <w:contextualSpacing/>
              <w:rPr>
                <w:rFonts w:ascii="Arial" w:hAnsi="Arial" w:cs="Arial"/>
                <w:bCs/>
                <w:sz w:val="18"/>
                <w:szCs w:val="18"/>
                <w:lang w:val="en-GB"/>
              </w:rPr>
            </w:pPr>
            <w:r w:rsidRPr="00986894">
              <w:rPr>
                <w:rFonts w:ascii="Arial" w:hAnsi="Arial" w:cs="Arial"/>
                <w:bCs/>
                <w:sz w:val="18"/>
                <w:szCs w:val="18"/>
                <w:lang w:val="en-GB"/>
              </w:rPr>
              <w:t xml:space="preserve">Lu Family Trust </w:t>
            </w:r>
            <w:r w:rsidR="00D51BA7" w:rsidRPr="00986894">
              <w:rPr>
                <w:rFonts w:ascii="Arial" w:hAnsi="Arial" w:cs="Arial"/>
                <w:bCs/>
                <w:sz w:val="18"/>
                <w:szCs w:val="18"/>
                <w:lang w:val="en-GB"/>
              </w:rPr>
              <w:t xml:space="preserve">through </w:t>
            </w:r>
            <w:proofErr w:type="spellStart"/>
            <w:r w:rsidRPr="00986894">
              <w:rPr>
                <w:rFonts w:ascii="Arial" w:hAnsi="Arial" w:cs="Arial"/>
                <w:bCs/>
                <w:sz w:val="18"/>
                <w:szCs w:val="18"/>
                <w:lang w:val="en-GB"/>
              </w:rPr>
              <w:t>Haode</w:t>
            </w:r>
            <w:proofErr w:type="spellEnd"/>
            <w:r w:rsidRPr="00986894">
              <w:rPr>
                <w:rFonts w:ascii="Arial" w:hAnsi="Arial" w:cs="Arial"/>
                <w:bCs/>
                <w:sz w:val="18"/>
                <w:szCs w:val="18"/>
                <w:lang w:val="en-GB"/>
              </w:rPr>
              <w:t xml:space="preserve"> </w:t>
            </w:r>
            <w:r w:rsidR="00D51BA7" w:rsidRPr="00986894">
              <w:rPr>
                <w:rFonts w:ascii="Arial" w:hAnsi="Arial" w:cs="Arial"/>
                <w:bCs/>
                <w:sz w:val="18"/>
                <w:szCs w:val="18"/>
                <w:lang w:val="en-GB"/>
              </w:rPr>
              <w:t>Investment Inc.</w:t>
            </w:r>
          </w:p>
        </w:tc>
        <w:tc>
          <w:tcPr>
            <w:tcW w:w="1118" w:type="dxa"/>
          </w:tcPr>
          <w:p w14:paraId="2BA32177" w14:textId="54E26E9F"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Angel 1</w:t>
            </w:r>
            <w:r w:rsidR="00D51BA7" w:rsidRPr="00986894">
              <w:rPr>
                <w:rFonts w:ascii="Arial" w:hAnsi="Arial" w:cs="Arial"/>
                <w:bCs/>
                <w:sz w:val="18"/>
                <w:szCs w:val="18"/>
                <w:lang w:val="en-GB"/>
              </w:rPr>
              <w:t xml:space="preserve"> Angel </w:t>
            </w:r>
            <w:r w:rsidRPr="00986894">
              <w:rPr>
                <w:rFonts w:ascii="Arial" w:hAnsi="Arial" w:cs="Arial"/>
                <w:bCs/>
                <w:sz w:val="18"/>
                <w:szCs w:val="18"/>
                <w:lang w:val="en-GB"/>
              </w:rPr>
              <w:t>2</w:t>
            </w:r>
          </w:p>
        </w:tc>
        <w:tc>
          <w:tcPr>
            <w:tcW w:w="1241" w:type="dxa"/>
          </w:tcPr>
          <w:p w14:paraId="41E3D348" w14:textId="27B025B4"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30.39%</w:t>
            </w:r>
          </w:p>
        </w:tc>
        <w:tc>
          <w:tcPr>
            <w:tcW w:w="1242" w:type="dxa"/>
          </w:tcPr>
          <w:p w14:paraId="5C2D4AB2"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29.98%</w:t>
            </w:r>
          </w:p>
        </w:tc>
        <w:tc>
          <w:tcPr>
            <w:tcW w:w="1298" w:type="dxa"/>
          </w:tcPr>
          <w:p w14:paraId="50976AD3"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36.62%</w:t>
            </w:r>
          </w:p>
        </w:tc>
      </w:tr>
      <w:tr w:rsidR="003E01BA" w:rsidRPr="00986894" w14:paraId="0E0D51A2" w14:textId="77777777" w:rsidTr="001454EC">
        <w:trPr>
          <w:tblHeader/>
        </w:trPr>
        <w:tc>
          <w:tcPr>
            <w:tcW w:w="4451" w:type="dxa"/>
          </w:tcPr>
          <w:p w14:paraId="3CA2A9C5" w14:textId="7281B978" w:rsidR="003E01BA" w:rsidRPr="00986894" w:rsidRDefault="003E01BA" w:rsidP="00515CCA">
            <w:pPr>
              <w:keepLines/>
              <w:tabs>
                <w:tab w:val="left" w:pos="6155"/>
              </w:tabs>
              <w:contextualSpacing/>
              <w:rPr>
                <w:rFonts w:ascii="Arial" w:hAnsi="Arial" w:cs="Arial"/>
                <w:bCs/>
                <w:sz w:val="18"/>
                <w:szCs w:val="18"/>
                <w:lang w:val="en-GB"/>
              </w:rPr>
            </w:pPr>
            <w:r w:rsidRPr="00986894">
              <w:rPr>
                <w:rFonts w:ascii="Arial" w:hAnsi="Arial" w:cs="Arial"/>
                <w:bCs/>
                <w:sz w:val="18"/>
                <w:szCs w:val="18"/>
                <w:lang w:val="en-GB"/>
              </w:rPr>
              <w:t xml:space="preserve">Qian Family Trust </w:t>
            </w:r>
            <w:r w:rsidR="00D51BA7" w:rsidRPr="00986894">
              <w:rPr>
                <w:rFonts w:ascii="Arial" w:hAnsi="Arial" w:cs="Arial"/>
                <w:bCs/>
                <w:sz w:val="18"/>
                <w:szCs w:val="18"/>
                <w:lang w:val="en-GB"/>
              </w:rPr>
              <w:t xml:space="preserve">through </w:t>
            </w:r>
            <w:r w:rsidRPr="00986894">
              <w:rPr>
                <w:rFonts w:ascii="Arial" w:hAnsi="Arial" w:cs="Arial"/>
                <w:bCs/>
                <w:sz w:val="18"/>
                <w:szCs w:val="18"/>
                <w:lang w:val="en-GB"/>
              </w:rPr>
              <w:t>Summer Fame Limited</w:t>
            </w:r>
          </w:p>
        </w:tc>
        <w:tc>
          <w:tcPr>
            <w:tcW w:w="1118" w:type="dxa"/>
          </w:tcPr>
          <w:p w14:paraId="51C9C0EE" w14:textId="04143B91"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 xml:space="preserve">Angel 1 </w:t>
            </w:r>
            <w:r w:rsidR="00D51BA7" w:rsidRPr="00986894">
              <w:rPr>
                <w:rFonts w:ascii="Arial" w:hAnsi="Arial" w:cs="Arial"/>
                <w:bCs/>
                <w:sz w:val="18"/>
                <w:szCs w:val="18"/>
                <w:lang w:val="en-GB"/>
              </w:rPr>
              <w:t xml:space="preserve">Angel </w:t>
            </w:r>
            <w:r w:rsidRPr="00986894">
              <w:rPr>
                <w:rFonts w:ascii="Arial" w:hAnsi="Arial" w:cs="Arial"/>
                <w:bCs/>
                <w:sz w:val="18"/>
                <w:szCs w:val="18"/>
                <w:lang w:val="en-GB"/>
              </w:rPr>
              <w:t>2</w:t>
            </w:r>
          </w:p>
        </w:tc>
        <w:tc>
          <w:tcPr>
            <w:tcW w:w="1241" w:type="dxa"/>
          </w:tcPr>
          <w:p w14:paraId="4757C468" w14:textId="2C47991D"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19.59%</w:t>
            </w:r>
          </w:p>
        </w:tc>
        <w:tc>
          <w:tcPr>
            <w:tcW w:w="1242" w:type="dxa"/>
          </w:tcPr>
          <w:p w14:paraId="0D169B75"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19.32%</w:t>
            </w:r>
          </w:p>
        </w:tc>
        <w:tc>
          <w:tcPr>
            <w:tcW w:w="1298" w:type="dxa"/>
          </w:tcPr>
          <w:p w14:paraId="37568A88"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23.73%</w:t>
            </w:r>
          </w:p>
        </w:tc>
      </w:tr>
      <w:tr w:rsidR="003E01BA" w:rsidRPr="00986894" w14:paraId="3A1D09D5" w14:textId="77777777" w:rsidTr="001454EC">
        <w:trPr>
          <w:tblHeader/>
        </w:trPr>
        <w:tc>
          <w:tcPr>
            <w:tcW w:w="4451" w:type="dxa"/>
          </w:tcPr>
          <w:p w14:paraId="30017F9B" w14:textId="53DFEB77" w:rsidR="003E01BA" w:rsidRPr="00986894" w:rsidRDefault="003E01BA" w:rsidP="00515CCA">
            <w:pPr>
              <w:keepLines/>
              <w:tabs>
                <w:tab w:val="left" w:pos="6155"/>
              </w:tabs>
              <w:contextualSpacing/>
              <w:rPr>
                <w:rFonts w:ascii="Arial" w:hAnsi="Arial" w:cs="Arial"/>
                <w:bCs/>
                <w:sz w:val="18"/>
                <w:szCs w:val="18"/>
                <w:lang w:val="en-GB"/>
              </w:rPr>
            </w:pPr>
            <w:proofErr w:type="spellStart"/>
            <w:r w:rsidRPr="00986894">
              <w:rPr>
                <w:rFonts w:ascii="Arial" w:hAnsi="Arial" w:cs="Arial"/>
                <w:bCs/>
                <w:sz w:val="18"/>
                <w:szCs w:val="18"/>
                <w:lang w:val="en-GB"/>
              </w:rPr>
              <w:t>Sunying</w:t>
            </w:r>
            <w:proofErr w:type="spellEnd"/>
            <w:r w:rsidRPr="00986894">
              <w:rPr>
                <w:rFonts w:ascii="Arial" w:hAnsi="Arial" w:cs="Arial"/>
                <w:bCs/>
                <w:sz w:val="18"/>
                <w:szCs w:val="18"/>
                <w:lang w:val="en-GB"/>
              </w:rPr>
              <w:t xml:space="preserve"> Wong (Charles Lu’s sister) </w:t>
            </w:r>
            <w:r w:rsidR="00D51BA7" w:rsidRPr="00986894">
              <w:rPr>
                <w:rFonts w:ascii="Arial" w:hAnsi="Arial" w:cs="Arial"/>
                <w:bCs/>
                <w:sz w:val="18"/>
                <w:szCs w:val="18"/>
                <w:lang w:val="en-GB"/>
              </w:rPr>
              <w:t xml:space="preserve">through </w:t>
            </w:r>
            <w:r w:rsidRPr="00986894">
              <w:rPr>
                <w:rFonts w:ascii="Arial" w:hAnsi="Arial" w:cs="Arial"/>
                <w:bCs/>
                <w:sz w:val="18"/>
                <w:szCs w:val="18"/>
                <w:lang w:val="en-GB"/>
              </w:rPr>
              <w:t>Mayer Investment Funds</w:t>
            </w:r>
          </w:p>
        </w:tc>
        <w:tc>
          <w:tcPr>
            <w:tcW w:w="1118" w:type="dxa"/>
          </w:tcPr>
          <w:p w14:paraId="1A6C64A8" w14:textId="27ABB00A"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 xml:space="preserve">Angel 1, </w:t>
            </w:r>
            <w:r w:rsidR="00D51BA7" w:rsidRPr="00986894">
              <w:rPr>
                <w:rFonts w:ascii="Arial" w:hAnsi="Arial" w:cs="Arial"/>
                <w:bCs/>
                <w:sz w:val="18"/>
                <w:szCs w:val="18"/>
                <w:lang w:val="en-GB"/>
              </w:rPr>
              <w:t xml:space="preserve">Angel </w:t>
            </w:r>
            <w:r w:rsidRPr="00986894">
              <w:rPr>
                <w:rFonts w:ascii="Arial" w:hAnsi="Arial" w:cs="Arial"/>
                <w:bCs/>
                <w:sz w:val="18"/>
                <w:szCs w:val="18"/>
                <w:lang w:val="en-GB"/>
              </w:rPr>
              <w:t>2</w:t>
            </w:r>
          </w:p>
        </w:tc>
        <w:tc>
          <w:tcPr>
            <w:tcW w:w="1241" w:type="dxa"/>
          </w:tcPr>
          <w:p w14:paraId="44892949" w14:textId="43FB4AAB"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12.34%</w:t>
            </w:r>
          </w:p>
        </w:tc>
        <w:tc>
          <w:tcPr>
            <w:tcW w:w="1242" w:type="dxa"/>
          </w:tcPr>
          <w:p w14:paraId="5D01B666"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12.17%</w:t>
            </w:r>
          </w:p>
        </w:tc>
        <w:tc>
          <w:tcPr>
            <w:tcW w:w="1298" w:type="dxa"/>
          </w:tcPr>
          <w:p w14:paraId="25BF61F0"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14.94%</w:t>
            </w:r>
          </w:p>
        </w:tc>
      </w:tr>
      <w:tr w:rsidR="003E01BA" w:rsidRPr="00986894" w14:paraId="79F272B9" w14:textId="77777777" w:rsidTr="001454EC">
        <w:trPr>
          <w:tblHeader/>
        </w:trPr>
        <w:tc>
          <w:tcPr>
            <w:tcW w:w="4451" w:type="dxa"/>
          </w:tcPr>
          <w:p w14:paraId="070EFB76" w14:textId="39C7D791" w:rsidR="003E01BA" w:rsidRPr="00986894" w:rsidRDefault="003E01BA" w:rsidP="00515CCA">
            <w:pPr>
              <w:keepLines/>
              <w:tabs>
                <w:tab w:val="left" w:pos="6155"/>
              </w:tabs>
              <w:contextualSpacing/>
              <w:rPr>
                <w:rFonts w:ascii="Arial" w:hAnsi="Arial" w:cs="Arial"/>
                <w:bCs/>
                <w:sz w:val="18"/>
                <w:szCs w:val="18"/>
                <w:lang w:val="en-GB"/>
              </w:rPr>
            </w:pPr>
            <w:r w:rsidRPr="00986894">
              <w:rPr>
                <w:rFonts w:ascii="Arial" w:hAnsi="Arial" w:cs="Arial"/>
                <w:bCs/>
                <w:sz w:val="18"/>
                <w:szCs w:val="18"/>
                <w:lang w:val="en-GB"/>
              </w:rPr>
              <w:t xml:space="preserve">Hui Li thru Centurium Capital </w:t>
            </w:r>
            <w:r w:rsidR="00D51BA7" w:rsidRPr="00986894">
              <w:rPr>
                <w:rFonts w:ascii="Arial" w:hAnsi="Arial" w:cs="Arial"/>
                <w:bCs/>
                <w:sz w:val="18"/>
                <w:szCs w:val="18"/>
                <w:lang w:val="en-GB"/>
              </w:rPr>
              <w:t xml:space="preserve">through </w:t>
            </w:r>
            <w:r w:rsidRPr="00986894">
              <w:rPr>
                <w:rFonts w:ascii="Arial" w:hAnsi="Arial" w:cs="Arial"/>
                <w:bCs/>
                <w:sz w:val="18"/>
                <w:szCs w:val="18"/>
                <w:lang w:val="en-GB"/>
              </w:rPr>
              <w:t>Lucky Cup Holdings</w:t>
            </w:r>
          </w:p>
        </w:tc>
        <w:tc>
          <w:tcPr>
            <w:tcW w:w="1118" w:type="dxa"/>
          </w:tcPr>
          <w:p w14:paraId="773F5A56" w14:textId="6A1B33D1"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Convertible preferred</w:t>
            </w:r>
          </w:p>
        </w:tc>
        <w:tc>
          <w:tcPr>
            <w:tcW w:w="1241" w:type="dxa"/>
          </w:tcPr>
          <w:p w14:paraId="64D1917E" w14:textId="4B5E2F09"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11.84%</w:t>
            </w:r>
          </w:p>
        </w:tc>
        <w:tc>
          <w:tcPr>
            <w:tcW w:w="1242" w:type="dxa"/>
          </w:tcPr>
          <w:p w14:paraId="56C76E62"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11.58%</w:t>
            </w:r>
          </w:p>
        </w:tc>
        <w:tc>
          <w:tcPr>
            <w:tcW w:w="1298" w:type="dxa"/>
          </w:tcPr>
          <w:p w14:paraId="3BE276C0" w14:textId="77777777"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14.43%</w:t>
            </w:r>
          </w:p>
        </w:tc>
      </w:tr>
      <w:tr w:rsidR="003E01BA" w:rsidRPr="00986894" w14:paraId="0C178892" w14:textId="77777777" w:rsidTr="001454EC">
        <w:trPr>
          <w:tblHeader/>
        </w:trPr>
        <w:tc>
          <w:tcPr>
            <w:tcW w:w="4451" w:type="dxa"/>
          </w:tcPr>
          <w:p w14:paraId="65280E47" w14:textId="599FD5F5" w:rsidR="003E01BA" w:rsidRPr="00986894" w:rsidRDefault="003E01BA" w:rsidP="00515CCA">
            <w:pPr>
              <w:keepLines/>
              <w:tabs>
                <w:tab w:val="left" w:pos="6155"/>
              </w:tabs>
              <w:contextualSpacing/>
              <w:rPr>
                <w:rFonts w:ascii="Arial" w:hAnsi="Arial" w:cs="Arial"/>
                <w:bCs/>
                <w:sz w:val="18"/>
                <w:szCs w:val="18"/>
                <w:lang w:val="en-GB"/>
              </w:rPr>
            </w:pPr>
            <w:proofErr w:type="spellStart"/>
            <w:r w:rsidRPr="00986894">
              <w:rPr>
                <w:rFonts w:ascii="Arial" w:hAnsi="Arial" w:cs="Arial"/>
                <w:bCs/>
                <w:sz w:val="18"/>
                <w:szCs w:val="18"/>
                <w:lang w:val="en-GB"/>
              </w:rPr>
              <w:t>Erhai</w:t>
            </w:r>
            <w:proofErr w:type="spellEnd"/>
            <w:r w:rsidRPr="00986894">
              <w:rPr>
                <w:rFonts w:ascii="Arial" w:hAnsi="Arial" w:cs="Arial"/>
                <w:bCs/>
                <w:sz w:val="18"/>
                <w:szCs w:val="18"/>
                <w:lang w:val="en-GB"/>
              </w:rPr>
              <w:t xml:space="preserve"> Liu </w:t>
            </w:r>
            <w:r w:rsidR="00D51BA7" w:rsidRPr="00986894">
              <w:rPr>
                <w:rFonts w:ascii="Arial" w:hAnsi="Arial" w:cs="Arial"/>
                <w:bCs/>
                <w:sz w:val="18"/>
                <w:szCs w:val="18"/>
                <w:lang w:val="en-GB"/>
              </w:rPr>
              <w:t xml:space="preserve">through </w:t>
            </w:r>
            <w:r w:rsidRPr="00986894">
              <w:rPr>
                <w:rFonts w:ascii="Arial" w:hAnsi="Arial" w:cs="Arial"/>
                <w:bCs/>
                <w:sz w:val="18"/>
                <w:szCs w:val="18"/>
                <w:lang w:val="en-GB"/>
              </w:rPr>
              <w:t>Joy Capital</w:t>
            </w:r>
          </w:p>
        </w:tc>
        <w:tc>
          <w:tcPr>
            <w:tcW w:w="1118" w:type="dxa"/>
          </w:tcPr>
          <w:p w14:paraId="566CF356" w14:textId="031AC91F"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Convertible preferred</w:t>
            </w:r>
          </w:p>
        </w:tc>
        <w:tc>
          <w:tcPr>
            <w:tcW w:w="1241" w:type="dxa"/>
          </w:tcPr>
          <w:p w14:paraId="4CB8A95C" w14:textId="54798EED"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 xml:space="preserve">  6.72%</w:t>
            </w:r>
          </w:p>
        </w:tc>
        <w:tc>
          <w:tcPr>
            <w:tcW w:w="1242" w:type="dxa"/>
          </w:tcPr>
          <w:p w14:paraId="63461A04" w14:textId="45836261"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 xml:space="preserve"> 6.63%</w:t>
            </w:r>
          </w:p>
        </w:tc>
        <w:tc>
          <w:tcPr>
            <w:tcW w:w="1298" w:type="dxa"/>
          </w:tcPr>
          <w:p w14:paraId="1361055D" w14:textId="372B0EF2"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 xml:space="preserve">  0.81%</w:t>
            </w:r>
          </w:p>
        </w:tc>
      </w:tr>
      <w:tr w:rsidR="003E01BA" w:rsidRPr="00986894" w14:paraId="75417E8C" w14:textId="77777777" w:rsidTr="001454EC">
        <w:trPr>
          <w:tblHeader/>
        </w:trPr>
        <w:tc>
          <w:tcPr>
            <w:tcW w:w="4451" w:type="dxa"/>
          </w:tcPr>
          <w:p w14:paraId="7DDEFCF6" w14:textId="77777777" w:rsidR="003E01BA" w:rsidRPr="00986894" w:rsidRDefault="003E01BA" w:rsidP="00515CCA">
            <w:pPr>
              <w:keepLines/>
              <w:tabs>
                <w:tab w:val="left" w:pos="6155"/>
              </w:tabs>
              <w:contextualSpacing/>
              <w:rPr>
                <w:rFonts w:ascii="Arial" w:hAnsi="Arial" w:cs="Arial"/>
                <w:bCs/>
                <w:sz w:val="18"/>
                <w:szCs w:val="18"/>
                <w:lang w:val="en-GB"/>
              </w:rPr>
            </w:pPr>
            <w:r w:rsidRPr="00986894">
              <w:rPr>
                <w:rFonts w:ascii="Arial" w:hAnsi="Arial" w:cs="Arial"/>
                <w:bCs/>
                <w:sz w:val="18"/>
                <w:szCs w:val="18"/>
                <w:lang w:val="en-GB"/>
              </w:rPr>
              <w:t>Capital Research Global Investor</w:t>
            </w:r>
          </w:p>
        </w:tc>
        <w:tc>
          <w:tcPr>
            <w:tcW w:w="1118" w:type="dxa"/>
          </w:tcPr>
          <w:p w14:paraId="17D9E638" w14:textId="4A33CC25"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Convertible</w:t>
            </w:r>
          </w:p>
          <w:p w14:paraId="5F54F52F" w14:textId="2B639D8F"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Preferred</w:t>
            </w:r>
          </w:p>
        </w:tc>
        <w:tc>
          <w:tcPr>
            <w:tcW w:w="1241" w:type="dxa"/>
          </w:tcPr>
          <w:p w14:paraId="6E9B64D9" w14:textId="2CC010E5" w:rsidR="003E01BA" w:rsidRPr="00986894" w:rsidRDefault="003E01BA" w:rsidP="00515CCA">
            <w:pPr>
              <w:keepLines/>
              <w:tabs>
                <w:tab w:val="left" w:pos="6155"/>
              </w:tabs>
              <w:contextualSpacing/>
              <w:jc w:val="right"/>
              <w:rPr>
                <w:rFonts w:ascii="Arial" w:hAnsi="Arial" w:cs="Arial"/>
                <w:bCs/>
                <w:sz w:val="18"/>
                <w:szCs w:val="18"/>
                <w:lang w:val="en-GB"/>
              </w:rPr>
            </w:pPr>
          </w:p>
        </w:tc>
        <w:tc>
          <w:tcPr>
            <w:tcW w:w="1242" w:type="dxa"/>
          </w:tcPr>
          <w:p w14:paraId="5A78BFDB" w14:textId="77777777" w:rsidR="003E01BA" w:rsidRPr="00986894" w:rsidRDefault="003E01BA" w:rsidP="00515CCA">
            <w:pPr>
              <w:keepLines/>
              <w:tabs>
                <w:tab w:val="left" w:pos="6155"/>
              </w:tabs>
              <w:contextualSpacing/>
              <w:jc w:val="right"/>
              <w:rPr>
                <w:rFonts w:ascii="Arial" w:hAnsi="Arial" w:cs="Arial"/>
                <w:bCs/>
                <w:sz w:val="18"/>
                <w:szCs w:val="18"/>
                <w:lang w:val="en-GB"/>
              </w:rPr>
            </w:pPr>
          </w:p>
        </w:tc>
        <w:tc>
          <w:tcPr>
            <w:tcW w:w="1298" w:type="dxa"/>
          </w:tcPr>
          <w:p w14:paraId="65652B78" w14:textId="51A16E3A"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 xml:space="preserve">  0.35%</w:t>
            </w:r>
          </w:p>
        </w:tc>
      </w:tr>
      <w:tr w:rsidR="003E01BA" w:rsidRPr="00986894" w14:paraId="6E68463A" w14:textId="77777777" w:rsidTr="001454EC">
        <w:trPr>
          <w:tblHeader/>
        </w:trPr>
        <w:tc>
          <w:tcPr>
            <w:tcW w:w="4451" w:type="dxa"/>
          </w:tcPr>
          <w:p w14:paraId="6CA0A689" w14:textId="77777777" w:rsidR="003E01BA" w:rsidRPr="00986894" w:rsidRDefault="003E01BA" w:rsidP="00515CCA">
            <w:pPr>
              <w:keepLines/>
              <w:tabs>
                <w:tab w:val="left" w:pos="6155"/>
              </w:tabs>
              <w:contextualSpacing/>
              <w:rPr>
                <w:rFonts w:ascii="Arial" w:hAnsi="Arial" w:cs="Arial"/>
                <w:bCs/>
                <w:sz w:val="18"/>
                <w:szCs w:val="18"/>
                <w:lang w:val="en-GB"/>
              </w:rPr>
            </w:pPr>
            <w:r w:rsidRPr="00986894">
              <w:rPr>
                <w:rFonts w:ascii="Arial" w:hAnsi="Arial" w:cs="Arial"/>
                <w:bCs/>
                <w:sz w:val="18"/>
                <w:szCs w:val="18"/>
                <w:lang w:val="en-GB"/>
              </w:rPr>
              <w:t>Lone Pine Capital</w:t>
            </w:r>
          </w:p>
        </w:tc>
        <w:tc>
          <w:tcPr>
            <w:tcW w:w="1118" w:type="dxa"/>
          </w:tcPr>
          <w:p w14:paraId="46664AAF" w14:textId="4D3BECFA"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Convertible preferred</w:t>
            </w:r>
          </w:p>
        </w:tc>
        <w:tc>
          <w:tcPr>
            <w:tcW w:w="1241" w:type="dxa"/>
          </w:tcPr>
          <w:p w14:paraId="6A21C257" w14:textId="594EFDAA" w:rsidR="003E01BA" w:rsidRPr="00986894" w:rsidRDefault="003E01BA" w:rsidP="00515CCA">
            <w:pPr>
              <w:keepLines/>
              <w:tabs>
                <w:tab w:val="left" w:pos="6155"/>
              </w:tabs>
              <w:contextualSpacing/>
              <w:jc w:val="right"/>
              <w:rPr>
                <w:rFonts w:ascii="Arial" w:hAnsi="Arial" w:cs="Arial"/>
                <w:bCs/>
                <w:sz w:val="18"/>
                <w:szCs w:val="18"/>
                <w:lang w:val="en-GB"/>
              </w:rPr>
            </w:pPr>
          </w:p>
        </w:tc>
        <w:tc>
          <w:tcPr>
            <w:tcW w:w="1242" w:type="dxa"/>
          </w:tcPr>
          <w:p w14:paraId="2C296517" w14:textId="77777777" w:rsidR="003E01BA" w:rsidRPr="00986894" w:rsidRDefault="003E01BA" w:rsidP="00515CCA">
            <w:pPr>
              <w:keepLines/>
              <w:tabs>
                <w:tab w:val="left" w:pos="6155"/>
              </w:tabs>
              <w:contextualSpacing/>
              <w:jc w:val="right"/>
              <w:rPr>
                <w:rFonts w:ascii="Arial" w:hAnsi="Arial" w:cs="Arial"/>
                <w:bCs/>
                <w:sz w:val="18"/>
                <w:szCs w:val="18"/>
                <w:lang w:val="en-GB"/>
              </w:rPr>
            </w:pPr>
          </w:p>
        </w:tc>
        <w:tc>
          <w:tcPr>
            <w:tcW w:w="1298" w:type="dxa"/>
          </w:tcPr>
          <w:p w14:paraId="4B17E2E5" w14:textId="7B7A2790"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 xml:space="preserve">  0.37%</w:t>
            </w:r>
          </w:p>
        </w:tc>
      </w:tr>
      <w:tr w:rsidR="003E01BA" w:rsidRPr="00986894" w14:paraId="27028C65" w14:textId="77777777" w:rsidTr="001454EC">
        <w:trPr>
          <w:tblHeader/>
        </w:trPr>
        <w:tc>
          <w:tcPr>
            <w:tcW w:w="4451" w:type="dxa"/>
          </w:tcPr>
          <w:p w14:paraId="315B1383" w14:textId="77777777" w:rsidR="003E01BA" w:rsidRPr="00986894" w:rsidRDefault="003E01BA" w:rsidP="00515CCA">
            <w:pPr>
              <w:keepLines/>
              <w:tabs>
                <w:tab w:val="left" w:pos="6155"/>
              </w:tabs>
              <w:contextualSpacing/>
              <w:rPr>
                <w:rFonts w:ascii="Arial" w:hAnsi="Arial" w:cs="Arial"/>
                <w:bCs/>
                <w:sz w:val="18"/>
                <w:szCs w:val="18"/>
                <w:lang w:val="en-GB"/>
              </w:rPr>
            </w:pPr>
            <w:r w:rsidRPr="00986894">
              <w:rPr>
                <w:rFonts w:ascii="Arial" w:hAnsi="Arial" w:cs="Arial"/>
                <w:bCs/>
                <w:sz w:val="18"/>
                <w:szCs w:val="18"/>
                <w:lang w:val="en-GB"/>
              </w:rPr>
              <w:t>GIC Private Limited</w:t>
            </w:r>
          </w:p>
        </w:tc>
        <w:tc>
          <w:tcPr>
            <w:tcW w:w="1118" w:type="dxa"/>
          </w:tcPr>
          <w:p w14:paraId="45B3D973" w14:textId="27C930A1"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Convertible preferred</w:t>
            </w:r>
          </w:p>
        </w:tc>
        <w:tc>
          <w:tcPr>
            <w:tcW w:w="1241" w:type="dxa"/>
          </w:tcPr>
          <w:p w14:paraId="0E08468F" w14:textId="5D4BF2F0" w:rsidR="003E01BA" w:rsidRPr="00986894" w:rsidRDefault="003E01BA" w:rsidP="00515CCA">
            <w:pPr>
              <w:keepLines/>
              <w:tabs>
                <w:tab w:val="left" w:pos="6155"/>
              </w:tabs>
              <w:contextualSpacing/>
              <w:jc w:val="right"/>
              <w:rPr>
                <w:rFonts w:ascii="Arial" w:hAnsi="Arial" w:cs="Arial"/>
                <w:bCs/>
                <w:sz w:val="18"/>
                <w:szCs w:val="18"/>
                <w:lang w:val="en-GB"/>
              </w:rPr>
            </w:pPr>
          </w:p>
        </w:tc>
        <w:tc>
          <w:tcPr>
            <w:tcW w:w="1242" w:type="dxa"/>
          </w:tcPr>
          <w:p w14:paraId="6E8797BD" w14:textId="77777777" w:rsidR="003E01BA" w:rsidRPr="00986894" w:rsidRDefault="003E01BA" w:rsidP="00515CCA">
            <w:pPr>
              <w:keepLines/>
              <w:tabs>
                <w:tab w:val="left" w:pos="6155"/>
              </w:tabs>
              <w:contextualSpacing/>
              <w:jc w:val="right"/>
              <w:rPr>
                <w:rFonts w:ascii="Arial" w:hAnsi="Arial" w:cs="Arial"/>
                <w:bCs/>
                <w:sz w:val="18"/>
                <w:szCs w:val="18"/>
                <w:lang w:val="en-GB"/>
              </w:rPr>
            </w:pPr>
          </w:p>
        </w:tc>
        <w:tc>
          <w:tcPr>
            <w:tcW w:w="1298" w:type="dxa"/>
          </w:tcPr>
          <w:p w14:paraId="62D52BEA" w14:textId="554786A9"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 xml:space="preserve">  0.35%</w:t>
            </w:r>
          </w:p>
        </w:tc>
      </w:tr>
      <w:tr w:rsidR="003E01BA" w:rsidRPr="00986894" w14:paraId="3BC5A9B5" w14:textId="77777777" w:rsidTr="001454EC">
        <w:trPr>
          <w:tblHeader/>
        </w:trPr>
        <w:tc>
          <w:tcPr>
            <w:tcW w:w="4451" w:type="dxa"/>
          </w:tcPr>
          <w:p w14:paraId="660CA993" w14:textId="22EF5ACD" w:rsidR="003E01BA" w:rsidRPr="00986894" w:rsidRDefault="003E01BA" w:rsidP="00515CCA">
            <w:pPr>
              <w:keepLines/>
              <w:tabs>
                <w:tab w:val="left" w:pos="6155"/>
              </w:tabs>
              <w:contextualSpacing/>
              <w:jc w:val="center"/>
              <w:rPr>
                <w:rFonts w:ascii="Arial" w:hAnsi="Arial" w:cs="Arial"/>
                <w:bCs/>
                <w:sz w:val="18"/>
                <w:szCs w:val="18"/>
                <w:lang w:val="en-GB"/>
              </w:rPr>
            </w:pPr>
            <w:r w:rsidRPr="00986894">
              <w:rPr>
                <w:rFonts w:ascii="Arial" w:hAnsi="Arial" w:cs="Arial"/>
                <w:bCs/>
                <w:sz w:val="18"/>
                <w:szCs w:val="18"/>
                <w:lang w:val="en-GB"/>
              </w:rPr>
              <w:t>Total</w:t>
            </w:r>
          </w:p>
        </w:tc>
        <w:tc>
          <w:tcPr>
            <w:tcW w:w="1118" w:type="dxa"/>
          </w:tcPr>
          <w:p w14:paraId="51EB7FFA" w14:textId="0DBC9561" w:rsidR="003E01BA" w:rsidRPr="00986894" w:rsidRDefault="003E01BA" w:rsidP="00515CCA">
            <w:pPr>
              <w:keepLines/>
              <w:tabs>
                <w:tab w:val="left" w:pos="6155"/>
              </w:tabs>
              <w:contextualSpacing/>
              <w:jc w:val="center"/>
              <w:rPr>
                <w:rFonts w:ascii="Arial" w:hAnsi="Arial" w:cs="Arial"/>
                <w:bCs/>
                <w:sz w:val="18"/>
                <w:szCs w:val="18"/>
                <w:lang w:val="en-GB"/>
              </w:rPr>
            </w:pPr>
          </w:p>
        </w:tc>
        <w:tc>
          <w:tcPr>
            <w:tcW w:w="1241" w:type="dxa"/>
          </w:tcPr>
          <w:p w14:paraId="0ED26950" w14:textId="1FA9D8B6"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80.88%</w:t>
            </w:r>
          </w:p>
        </w:tc>
        <w:tc>
          <w:tcPr>
            <w:tcW w:w="1242" w:type="dxa"/>
          </w:tcPr>
          <w:p w14:paraId="391ECDAC" w14:textId="139B2A5F"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76.68%</w:t>
            </w:r>
          </w:p>
        </w:tc>
        <w:tc>
          <w:tcPr>
            <w:tcW w:w="1298" w:type="dxa"/>
          </w:tcPr>
          <w:p w14:paraId="6DC50E62" w14:textId="4E80C461" w:rsidR="003E01BA" w:rsidRPr="00986894" w:rsidRDefault="003E01BA" w:rsidP="00515CCA">
            <w:pPr>
              <w:keepLines/>
              <w:tabs>
                <w:tab w:val="left" w:pos="6155"/>
              </w:tabs>
              <w:contextualSpacing/>
              <w:jc w:val="right"/>
              <w:rPr>
                <w:rFonts w:ascii="Arial" w:hAnsi="Arial" w:cs="Arial"/>
                <w:bCs/>
                <w:sz w:val="18"/>
                <w:szCs w:val="18"/>
                <w:lang w:val="en-GB"/>
              </w:rPr>
            </w:pPr>
            <w:r w:rsidRPr="00986894">
              <w:rPr>
                <w:rFonts w:ascii="Arial" w:hAnsi="Arial" w:cs="Arial"/>
                <w:bCs/>
                <w:sz w:val="18"/>
                <w:szCs w:val="18"/>
                <w:lang w:val="en-GB"/>
              </w:rPr>
              <w:t>87.6%</w:t>
            </w:r>
          </w:p>
        </w:tc>
      </w:tr>
    </w:tbl>
    <w:p w14:paraId="27D0D71C" w14:textId="2A5D198B" w:rsidR="00AC5735" w:rsidRPr="00621208" w:rsidRDefault="00D51BA7" w:rsidP="00515CCA">
      <w:pPr>
        <w:pStyle w:val="Footnote"/>
        <w:keepLines/>
        <w:rPr>
          <w:rFonts w:eastAsia="Calibri"/>
          <w:color w:val="000000" w:themeColor="text1"/>
        </w:rPr>
      </w:pPr>
      <w:r w:rsidRPr="00515CCA">
        <w:rPr>
          <w:color w:val="000000" w:themeColor="text1"/>
        </w:rPr>
        <w:t>Notes:</w:t>
      </w:r>
      <w:r w:rsidR="003E01BA" w:rsidRPr="00515CCA">
        <w:rPr>
          <w:color w:val="000000" w:themeColor="text1"/>
        </w:rPr>
        <w:t xml:space="preserve"> </w:t>
      </w:r>
      <w:r w:rsidR="00CE4508" w:rsidRPr="00515CCA">
        <w:rPr>
          <w:color w:val="000000" w:themeColor="text1"/>
        </w:rPr>
        <w:t>All shares were converted to Class B shares</w:t>
      </w:r>
      <w:r w:rsidRPr="00515CCA">
        <w:rPr>
          <w:color w:val="000000" w:themeColor="text1"/>
        </w:rPr>
        <w:t xml:space="preserve">; </w:t>
      </w:r>
      <w:r w:rsidR="00C41ECA" w:rsidRPr="00621208">
        <w:rPr>
          <w:rFonts w:eastAsia="Calibri"/>
          <w:color w:val="000000" w:themeColor="text1"/>
        </w:rPr>
        <w:t>h</w:t>
      </w:r>
      <w:r w:rsidR="00CE4508" w:rsidRPr="00621208">
        <w:rPr>
          <w:rFonts w:eastAsia="Calibri"/>
          <w:color w:val="000000" w:themeColor="text1"/>
        </w:rPr>
        <w:t xml:space="preserve">olders of Class A shares </w:t>
      </w:r>
      <w:r w:rsidRPr="00621208">
        <w:rPr>
          <w:rFonts w:eastAsia="Calibri"/>
          <w:color w:val="000000" w:themeColor="text1"/>
        </w:rPr>
        <w:t xml:space="preserve">had </w:t>
      </w:r>
      <w:r w:rsidR="00CE4508" w:rsidRPr="00621208">
        <w:rPr>
          <w:rFonts w:eastAsia="Calibri"/>
          <w:color w:val="000000" w:themeColor="text1"/>
        </w:rPr>
        <w:t xml:space="preserve">the same rights as </w:t>
      </w:r>
      <w:r w:rsidRPr="00621208">
        <w:rPr>
          <w:rFonts w:eastAsia="Calibri"/>
          <w:color w:val="000000" w:themeColor="text1"/>
        </w:rPr>
        <w:t xml:space="preserve">holders of </w:t>
      </w:r>
      <w:r w:rsidR="00CE4508" w:rsidRPr="00621208">
        <w:rPr>
          <w:rFonts w:eastAsia="Calibri"/>
          <w:color w:val="000000" w:themeColor="text1"/>
        </w:rPr>
        <w:t>Class B shares, except for voting</w:t>
      </w:r>
      <w:r w:rsidR="00CE4508" w:rsidRPr="00EE6190">
        <w:rPr>
          <w:rFonts w:eastAsia="Calibri"/>
          <w:color w:val="000000" w:themeColor="text1"/>
        </w:rPr>
        <w:t xml:space="preserve"> and conversion rights</w:t>
      </w:r>
      <w:r w:rsidRPr="00EE6190">
        <w:rPr>
          <w:rFonts w:eastAsia="Calibri"/>
          <w:color w:val="000000" w:themeColor="text1"/>
        </w:rPr>
        <w:t>;</w:t>
      </w:r>
      <w:r w:rsidR="00CE4508" w:rsidRPr="00621208">
        <w:rPr>
          <w:rFonts w:eastAsia="Calibri"/>
          <w:color w:val="000000" w:themeColor="text1"/>
        </w:rPr>
        <w:t xml:space="preserve"> Class A shares had one vote</w:t>
      </w:r>
      <w:r w:rsidRPr="00621208">
        <w:rPr>
          <w:rFonts w:eastAsia="Calibri"/>
          <w:color w:val="000000" w:themeColor="text1"/>
        </w:rPr>
        <w:t xml:space="preserve"> each,</w:t>
      </w:r>
      <w:r w:rsidR="00CE4508" w:rsidRPr="00621208">
        <w:rPr>
          <w:rFonts w:eastAsia="Calibri"/>
          <w:color w:val="000000" w:themeColor="text1"/>
        </w:rPr>
        <w:t xml:space="preserve"> while Class B shares had 10 votes each</w:t>
      </w:r>
      <w:r w:rsidRPr="00621208">
        <w:rPr>
          <w:rFonts w:eastAsia="Calibri"/>
          <w:color w:val="000000" w:themeColor="text1"/>
        </w:rPr>
        <w:t xml:space="preserve">; Class </w:t>
      </w:r>
      <w:r w:rsidR="00CE4508" w:rsidRPr="00621208">
        <w:rPr>
          <w:rFonts w:eastAsia="Calibri"/>
          <w:color w:val="000000" w:themeColor="text1"/>
        </w:rPr>
        <w:t>B share</w:t>
      </w:r>
      <w:r w:rsidRPr="00621208">
        <w:rPr>
          <w:rFonts w:eastAsia="Calibri"/>
          <w:color w:val="000000" w:themeColor="text1"/>
        </w:rPr>
        <w:t>s</w:t>
      </w:r>
      <w:r w:rsidR="00CE4508" w:rsidRPr="00621208">
        <w:rPr>
          <w:rFonts w:eastAsia="Calibri"/>
          <w:color w:val="000000" w:themeColor="text1"/>
        </w:rPr>
        <w:t xml:space="preserve"> </w:t>
      </w:r>
      <w:r w:rsidRPr="00621208">
        <w:rPr>
          <w:rFonts w:eastAsia="Calibri"/>
          <w:color w:val="000000" w:themeColor="text1"/>
        </w:rPr>
        <w:t xml:space="preserve">were </w:t>
      </w:r>
      <w:r w:rsidR="00CE4508" w:rsidRPr="00621208">
        <w:rPr>
          <w:rFonts w:eastAsia="Calibri"/>
          <w:color w:val="000000" w:themeColor="text1"/>
        </w:rPr>
        <w:t xml:space="preserve">convertible into </w:t>
      </w:r>
      <w:r w:rsidRPr="00621208">
        <w:rPr>
          <w:rFonts w:eastAsia="Calibri"/>
          <w:color w:val="000000" w:themeColor="text1"/>
        </w:rPr>
        <w:t xml:space="preserve">Class </w:t>
      </w:r>
      <w:r w:rsidR="00CE4508" w:rsidRPr="00621208">
        <w:rPr>
          <w:rFonts w:eastAsia="Calibri"/>
          <w:color w:val="000000" w:themeColor="text1"/>
        </w:rPr>
        <w:t xml:space="preserve">A shares, but </w:t>
      </w:r>
      <w:r w:rsidRPr="00621208">
        <w:rPr>
          <w:rFonts w:eastAsia="Calibri"/>
          <w:color w:val="000000" w:themeColor="text1"/>
        </w:rPr>
        <w:t xml:space="preserve">Class </w:t>
      </w:r>
      <w:r w:rsidR="00CE4508" w:rsidRPr="00621208">
        <w:rPr>
          <w:rFonts w:eastAsia="Calibri"/>
          <w:color w:val="000000" w:themeColor="text1"/>
        </w:rPr>
        <w:t xml:space="preserve">A shares </w:t>
      </w:r>
      <w:r w:rsidRPr="00621208">
        <w:rPr>
          <w:rFonts w:eastAsia="Calibri"/>
          <w:color w:val="000000" w:themeColor="text1"/>
        </w:rPr>
        <w:t xml:space="preserve">could </w:t>
      </w:r>
      <w:r w:rsidR="00CE4508" w:rsidRPr="00621208">
        <w:rPr>
          <w:rFonts w:eastAsia="Calibri"/>
          <w:color w:val="000000" w:themeColor="text1"/>
        </w:rPr>
        <w:t xml:space="preserve">not </w:t>
      </w:r>
      <w:r w:rsidRPr="00621208">
        <w:rPr>
          <w:rFonts w:eastAsia="Calibri"/>
          <w:color w:val="000000" w:themeColor="text1"/>
        </w:rPr>
        <w:t xml:space="preserve">be converted </w:t>
      </w:r>
      <w:r w:rsidR="00CE4508" w:rsidRPr="00621208">
        <w:rPr>
          <w:rFonts w:eastAsia="Calibri"/>
          <w:color w:val="000000" w:themeColor="text1"/>
        </w:rPr>
        <w:t xml:space="preserve">to </w:t>
      </w:r>
      <w:r w:rsidRPr="00621208">
        <w:rPr>
          <w:rFonts w:eastAsia="Calibri"/>
          <w:color w:val="000000" w:themeColor="text1"/>
        </w:rPr>
        <w:t xml:space="preserve">Class </w:t>
      </w:r>
      <w:r w:rsidR="00CE4508" w:rsidRPr="00621208">
        <w:rPr>
          <w:rFonts w:eastAsia="Calibri"/>
          <w:color w:val="000000" w:themeColor="text1"/>
        </w:rPr>
        <w:t>B shares</w:t>
      </w:r>
      <w:r w:rsidRPr="00621208">
        <w:rPr>
          <w:rFonts w:eastAsia="Calibri"/>
          <w:color w:val="000000" w:themeColor="text1"/>
        </w:rPr>
        <w:t>.</w:t>
      </w:r>
    </w:p>
    <w:p w14:paraId="11D90D8A" w14:textId="490C78DF" w:rsidR="00AC5735" w:rsidRPr="00621208" w:rsidRDefault="00AC5735" w:rsidP="00515CCA">
      <w:pPr>
        <w:keepLines/>
        <w:tabs>
          <w:tab w:val="left" w:pos="6155"/>
        </w:tabs>
        <w:contextualSpacing/>
        <w:jc w:val="both"/>
        <w:rPr>
          <w:rFonts w:ascii="Arial" w:hAnsi="Arial" w:cs="Arial"/>
          <w:bCs/>
          <w:color w:val="000000" w:themeColor="text1"/>
          <w:sz w:val="17"/>
          <w:szCs w:val="17"/>
          <w:lang w:val="en-GB"/>
        </w:rPr>
      </w:pPr>
      <w:r w:rsidRPr="00621208">
        <w:rPr>
          <w:rFonts w:ascii="Arial" w:hAnsi="Arial" w:cs="Arial"/>
          <w:color w:val="000000" w:themeColor="text1"/>
          <w:sz w:val="17"/>
          <w:szCs w:val="17"/>
          <w:lang w:val="en-GB"/>
        </w:rPr>
        <w:t xml:space="preserve">Source: Developed by </w:t>
      </w:r>
      <w:r w:rsidR="00D51BA7" w:rsidRPr="00621208">
        <w:rPr>
          <w:rFonts w:ascii="Arial" w:hAnsi="Arial" w:cs="Arial"/>
          <w:color w:val="000000" w:themeColor="text1"/>
          <w:sz w:val="17"/>
          <w:szCs w:val="17"/>
          <w:lang w:val="en-GB"/>
        </w:rPr>
        <w:t xml:space="preserve">case </w:t>
      </w:r>
      <w:r w:rsidRPr="00621208">
        <w:rPr>
          <w:rFonts w:ascii="Arial" w:hAnsi="Arial" w:cs="Arial"/>
          <w:color w:val="000000" w:themeColor="text1"/>
          <w:sz w:val="17"/>
          <w:szCs w:val="17"/>
          <w:lang w:val="en-GB"/>
        </w:rPr>
        <w:t>author</w:t>
      </w:r>
      <w:r w:rsidR="00D51BA7" w:rsidRPr="00621208">
        <w:rPr>
          <w:rFonts w:ascii="Arial" w:hAnsi="Arial" w:cs="Arial"/>
          <w:color w:val="000000" w:themeColor="text1"/>
          <w:sz w:val="17"/>
          <w:szCs w:val="17"/>
          <w:lang w:val="en-GB"/>
        </w:rPr>
        <w:t xml:space="preserve"> using </w:t>
      </w:r>
      <w:r w:rsidRPr="00621208">
        <w:rPr>
          <w:rFonts w:ascii="Arial" w:hAnsi="Arial" w:cs="Arial"/>
          <w:color w:val="000000" w:themeColor="text1"/>
          <w:sz w:val="17"/>
          <w:szCs w:val="17"/>
          <w:lang w:val="en-GB"/>
        </w:rPr>
        <w:t xml:space="preserve">data from </w:t>
      </w:r>
      <w:proofErr w:type="spellStart"/>
      <w:r w:rsidR="00EA294E" w:rsidRPr="00621208">
        <w:rPr>
          <w:rFonts w:ascii="Arial" w:hAnsi="Arial" w:cs="Arial"/>
          <w:color w:val="000000" w:themeColor="text1"/>
          <w:sz w:val="17"/>
          <w:szCs w:val="17"/>
          <w:lang w:val="en-GB"/>
        </w:rPr>
        <w:t>l</w:t>
      </w:r>
      <w:r w:rsidRPr="00621208">
        <w:rPr>
          <w:rFonts w:ascii="Arial" w:hAnsi="Arial" w:cs="Arial"/>
          <w:color w:val="000000" w:themeColor="text1"/>
          <w:sz w:val="17"/>
          <w:szCs w:val="17"/>
          <w:lang w:val="en-GB"/>
        </w:rPr>
        <w:t>uckin</w:t>
      </w:r>
      <w:proofErr w:type="spellEnd"/>
      <w:r w:rsidRPr="00621208">
        <w:rPr>
          <w:rFonts w:ascii="Arial" w:hAnsi="Arial" w:cs="Arial"/>
          <w:color w:val="000000" w:themeColor="text1"/>
          <w:sz w:val="17"/>
          <w:szCs w:val="17"/>
          <w:lang w:val="en-GB"/>
        </w:rPr>
        <w:t xml:space="preserve"> </w:t>
      </w:r>
      <w:proofErr w:type="spellStart"/>
      <w:r w:rsidR="001402C9" w:rsidRPr="00621208">
        <w:rPr>
          <w:rFonts w:ascii="Arial" w:hAnsi="Arial" w:cs="Arial"/>
          <w:color w:val="000000" w:themeColor="text1"/>
          <w:sz w:val="17"/>
          <w:szCs w:val="17"/>
          <w:lang w:val="en-GB"/>
        </w:rPr>
        <w:t>C</w:t>
      </w:r>
      <w:r w:rsidR="00EA294E" w:rsidRPr="00621208">
        <w:rPr>
          <w:rFonts w:ascii="Arial" w:hAnsi="Arial" w:cs="Arial"/>
          <w:color w:val="000000" w:themeColor="text1"/>
          <w:sz w:val="17"/>
          <w:szCs w:val="17"/>
          <w:lang w:val="en-GB"/>
        </w:rPr>
        <w:t>c</w:t>
      </w:r>
      <w:r w:rsidRPr="00621208">
        <w:rPr>
          <w:rFonts w:ascii="Arial" w:hAnsi="Arial" w:cs="Arial"/>
          <w:color w:val="000000" w:themeColor="text1"/>
          <w:sz w:val="17"/>
          <w:szCs w:val="17"/>
          <w:lang w:val="en-GB"/>
        </w:rPr>
        <w:t>ffee</w:t>
      </w:r>
      <w:proofErr w:type="spellEnd"/>
      <w:r w:rsidR="00D51BA7" w:rsidRPr="00621208">
        <w:rPr>
          <w:rFonts w:ascii="Arial" w:hAnsi="Arial" w:cs="Arial"/>
          <w:color w:val="000000" w:themeColor="text1"/>
          <w:sz w:val="17"/>
          <w:szCs w:val="17"/>
          <w:lang w:val="en-GB"/>
        </w:rPr>
        <w:t xml:space="preserve">, </w:t>
      </w:r>
      <w:r w:rsidRPr="00621208">
        <w:rPr>
          <w:rFonts w:ascii="Arial" w:hAnsi="Arial" w:cs="Arial"/>
          <w:i/>
          <w:color w:val="000000" w:themeColor="text1"/>
          <w:sz w:val="17"/>
          <w:szCs w:val="17"/>
          <w:lang w:val="en-GB"/>
        </w:rPr>
        <w:t>33,000,000 American Deposit</w:t>
      </w:r>
      <w:r w:rsidR="009A26D4" w:rsidRPr="00621208">
        <w:rPr>
          <w:rFonts w:ascii="Arial" w:hAnsi="Arial" w:cs="Arial"/>
          <w:i/>
          <w:color w:val="000000" w:themeColor="text1"/>
          <w:sz w:val="17"/>
          <w:szCs w:val="17"/>
          <w:lang w:val="en-GB"/>
        </w:rPr>
        <w:t>a</w:t>
      </w:r>
      <w:r w:rsidRPr="00621208">
        <w:rPr>
          <w:rFonts w:ascii="Arial" w:hAnsi="Arial" w:cs="Arial"/>
          <w:i/>
          <w:color w:val="000000" w:themeColor="text1"/>
          <w:sz w:val="17"/>
          <w:szCs w:val="17"/>
          <w:lang w:val="en-GB"/>
        </w:rPr>
        <w:t>ry Shares</w:t>
      </w:r>
      <w:r w:rsidR="001402C9" w:rsidRPr="00621208">
        <w:rPr>
          <w:rFonts w:ascii="Arial" w:hAnsi="Arial" w:cs="Arial"/>
          <w:i/>
          <w:color w:val="000000" w:themeColor="text1"/>
          <w:sz w:val="17"/>
          <w:szCs w:val="17"/>
          <w:lang w:val="en-GB"/>
        </w:rPr>
        <w:t xml:space="preserve">: </w:t>
      </w:r>
      <w:proofErr w:type="spellStart"/>
      <w:r w:rsidR="001402C9" w:rsidRPr="00621208">
        <w:rPr>
          <w:rFonts w:ascii="Arial" w:hAnsi="Arial" w:cs="Arial"/>
          <w:i/>
          <w:color w:val="000000" w:themeColor="text1"/>
          <w:sz w:val="17"/>
          <w:szCs w:val="17"/>
          <w:lang w:val="en-GB"/>
        </w:rPr>
        <w:t>Luckin</w:t>
      </w:r>
      <w:proofErr w:type="spellEnd"/>
      <w:r w:rsidR="001402C9" w:rsidRPr="00621208">
        <w:rPr>
          <w:rFonts w:ascii="Arial" w:hAnsi="Arial" w:cs="Arial"/>
          <w:i/>
          <w:color w:val="000000" w:themeColor="text1"/>
          <w:sz w:val="17"/>
          <w:szCs w:val="17"/>
          <w:lang w:val="en-GB"/>
        </w:rPr>
        <w:t xml:space="preserve"> Coffee Inc. Representing 264,000,000 Class A Ordinary Shares</w:t>
      </w:r>
      <w:r w:rsidR="001402C9" w:rsidRPr="00621208">
        <w:rPr>
          <w:rFonts w:ascii="Arial" w:hAnsi="Arial" w:cs="Arial"/>
          <w:color w:val="000000" w:themeColor="text1"/>
          <w:sz w:val="17"/>
          <w:szCs w:val="17"/>
          <w:lang w:val="en-GB"/>
        </w:rPr>
        <w:t>,</w:t>
      </w:r>
      <w:r w:rsidRPr="00621208">
        <w:rPr>
          <w:rFonts w:ascii="Arial" w:hAnsi="Arial" w:cs="Arial"/>
          <w:color w:val="000000" w:themeColor="text1"/>
          <w:sz w:val="17"/>
          <w:szCs w:val="17"/>
          <w:lang w:val="en-GB"/>
        </w:rPr>
        <w:t xml:space="preserve"> May 16, 2019, accessed August 5, 2020, </w:t>
      </w:r>
      <w:hyperlink r:id="rId23" w:history="1">
        <w:r w:rsidRPr="00621208">
          <w:rPr>
            <w:rStyle w:val="Hyperlink"/>
            <w:rFonts w:ascii="Arial" w:hAnsi="Arial" w:cs="Arial"/>
            <w:color w:val="000000" w:themeColor="text1"/>
            <w:sz w:val="17"/>
            <w:szCs w:val="17"/>
            <w:u w:val="none"/>
            <w:lang w:val="en-GB"/>
          </w:rPr>
          <w:t>https://investor.luckincoffee.com/static-files/62ae7fff-d256-461e-9012-a47bfdc3a686</w:t>
        </w:r>
      </w:hyperlink>
      <w:r w:rsidRPr="00621208">
        <w:rPr>
          <w:rFonts w:ascii="Arial" w:hAnsi="Arial" w:cs="Arial"/>
          <w:color w:val="000000" w:themeColor="text1"/>
          <w:sz w:val="17"/>
          <w:szCs w:val="17"/>
          <w:lang w:val="en-GB"/>
        </w:rPr>
        <w:t xml:space="preserve">; </w:t>
      </w:r>
      <w:proofErr w:type="spellStart"/>
      <w:r w:rsidR="00C62FF9">
        <w:rPr>
          <w:rFonts w:ascii="Arial" w:hAnsi="Arial" w:cs="Arial"/>
          <w:color w:val="000000" w:themeColor="text1"/>
          <w:sz w:val="17"/>
          <w:szCs w:val="17"/>
          <w:lang w:val="en-GB"/>
        </w:rPr>
        <w:t>L</w:t>
      </w:r>
      <w:r w:rsidRPr="00621208">
        <w:rPr>
          <w:rFonts w:ascii="Arial" w:hAnsi="Arial" w:cs="Arial"/>
          <w:color w:val="000000" w:themeColor="text1"/>
          <w:sz w:val="17"/>
          <w:szCs w:val="17"/>
          <w:lang w:val="en-GB"/>
        </w:rPr>
        <w:t>uckin</w:t>
      </w:r>
      <w:proofErr w:type="spellEnd"/>
      <w:r w:rsidRPr="00621208">
        <w:rPr>
          <w:rFonts w:ascii="Arial" w:hAnsi="Arial" w:cs="Arial"/>
          <w:color w:val="000000" w:themeColor="text1"/>
          <w:sz w:val="17"/>
          <w:szCs w:val="17"/>
          <w:lang w:val="en-GB"/>
        </w:rPr>
        <w:t xml:space="preserve"> </w:t>
      </w:r>
      <w:r w:rsidR="00C62FF9">
        <w:rPr>
          <w:rFonts w:ascii="Arial" w:hAnsi="Arial" w:cs="Arial"/>
          <w:color w:val="000000" w:themeColor="text1"/>
          <w:sz w:val="17"/>
          <w:szCs w:val="17"/>
          <w:lang w:val="en-GB"/>
        </w:rPr>
        <w:t>C</w:t>
      </w:r>
      <w:r w:rsidRPr="00621208">
        <w:rPr>
          <w:rFonts w:ascii="Arial" w:hAnsi="Arial" w:cs="Arial"/>
          <w:color w:val="000000" w:themeColor="text1"/>
          <w:sz w:val="17"/>
          <w:szCs w:val="17"/>
          <w:lang w:val="en-GB"/>
        </w:rPr>
        <w:t>offee</w:t>
      </w:r>
      <w:r w:rsidR="00D51BA7" w:rsidRPr="00621208">
        <w:rPr>
          <w:rFonts w:ascii="Arial" w:hAnsi="Arial" w:cs="Arial"/>
          <w:color w:val="000000" w:themeColor="text1"/>
          <w:sz w:val="17"/>
          <w:szCs w:val="17"/>
          <w:lang w:val="en-GB"/>
        </w:rPr>
        <w:t>,</w:t>
      </w:r>
      <w:r w:rsidRPr="00621208">
        <w:rPr>
          <w:rFonts w:ascii="Arial" w:hAnsi="Arial" w:cs="Arial"/>
          <w:color w:val="000000" w:themeColor="text1"/>
          <w:sz w:val="17"/>
          <w:szCs w:val="17"/>
          <w:lang w:val="en-GB"/>
        </w:rPr>
        <w:t xml:space="preserve"> </w:t>
      </w:r>
      <w:r w:rsidR="00D51BA7" w:rsidRPr="00621208">
        <w:rPr>
          <w:rFonts w:ascii="Arial" w:hAnsi="Arial" w:cs="Arial"/>
          <w:i/>
          <w:color w:val="000000" w:themeColor="text1"/>
          <w:sz w:val="17"/>
          <w:szCs w:val="17"/>
          <w:lang w:val="en-GB"/>
        </w:rPr>
        <w:t>13</w:t>
      </w:r>
      <w:r w:rsidRPr="00621208">
        <w:rPr>
          <w:rFonts w:ascii="Arial" w:hAnsi="Arial" w:cs="Arial"/>
          <w:i/>
          <w:color w:val="000000" w:themeColor="text1"/>
          <w:sz w:val="17"/>
          <w:szCs w:val="17"/>
          <w:lang w:val="en-GB"/>
        </w:rPr>
        <w:t>,800,000 American Deposit</w:t>
      </w:r>
      <w:r w:rsidR="00BF1F86" w:rsidRPr="00EE6190">
        <w:rPr>
          <w:rFonts w:ascii="Arial" w:hAnsi="Arial" w:cs="Arial"/>
          <w:i/>
          <w:color w:val="000000" w:themeColor="text1"/>
          <w:sz w:val="17"/>
          <w:szCs w:val="17"/>
          <w:lang w:val="en-GB"/>
        </w:rPr>
        <w:t>a</w:t>
      </w:r>
      <w:r w:rsidRPr="00EE6190">
        <w:rPr>
          <w:rFonts w:ascii="Arial" w:hAnsi="Arial" w:cs="Arial"/>
          <w:i/>
          <w:color w:val="000000" w:themeColor="text1"/>
          <w:sz w:val="17"/>
          <w:szCs w:val="17"/>
          <w:lang w:val="en-GB"/>
        </w:rPr>
        <w:t>ry Shares</w:t>
      </w:r>
      <w:r w:rsidR="001402C9" w:rsidRPr="00621208">
        <w:rPr>
          <w:rFonts w:ascii="Arial" w:hAnsi="Arial" w:cs="Arial"/>
          <w:i/>
          <w:color w:val="000000" w:themeColor="text1"/>
          <w:sz w:val="17"/>
          <w:szCs w:val="17"/>
          <w:lang w:val="en-GB"/>
        </w:rPr>
        <w:t xml:space="preserve">: </w:t>
      </w:r>
      <w:proofErr w:type="spellStart"/>
      <w:r w:rsidR="001402C9" w:rsidRPr="00621208">
        <w:rPr>
          <w:rFonts w:ascii="Arial" w:hAnsi="Arial" w:cs="Arial"/>
          <w:i/>
          <w:color w:val="000000" w:themeColor="text1"/>
          <w:sz w:val="17"/>
          <w:szCs w:val="17"/>
          <w:lang w:val="en-GB"/>
        </w:rPr>
        <w:t>Luckin</w:t>
      </w:r>
      <w:proofErr w:type="spellEnd"/>
      <w:r w:rsidR="001402C9" w:rsidRPr="00621208">
        <w:rPr>
          <w:rFonts w:ascii="Arial" w:hAnsi="Arial" w:cs="Arial"/>
          <w:i/>
          <w:color w:val="000000" w:themeColor="text1"/>
          <w:sz w:val="17"/>
          <w:szCs w:val="17"/>
          <w:lang w:val="en-GB"/>
        </w:rPr>
        <w:t xml:space="preserve"> Coffee Inc. Representing 110,400,000 Class A Ordinary Shares</w:t>
      </w:r>
      <w:r w:rsidR="001402C9" w:rsidRPr="00621208">
        <w:rPr>
          <w:rFonts w:ascii="Arial" w:hAnsi="Arial" w:cs="Arial"/>
          <w:color w:val="000000" w:themeColor="text1"/>
          <w:sz w:val="17"/>
          <w:szCs w:val="17"/>
          <w:lang w:val="en-GB"/>
        </w:rPr>
        <w:t>,</w:t>
      </w:r>
      <w:r w:rsidRPr="00621208">
        <w:rPr>
          <w:rFonts w:ascii="Arial" w:hAnsi="Arial" w:cs="Arial"/>
          <w:color w:val="000000" w:themeColor="text1"/>
          <w:sz w:val="17"/>
          <w:szCs w:val="17"/>
          <w:lang w:val="en-GB"/>
        </w:rPr>
        <w:t xml:space="preserve"> January 9, 2020, accessed August 3, 2020, https://investor.luckincoffee.com/static-files/8fc12b81-9b27-46ee-a117-63ce9364fc43</w:t>
      </w:r>
      <w:r w:rsidR="00D51BA7" w:rsidRPr="00621208">
        <w:rPr>
          <w:rFonts w:ascii="Arial" w:hAnsi="Arial" w:cs="Arial"/>
          <w:color w:val="000000" w:themeColor="text1"/>
          <w:sz w:val="17"/>
          <w:szCs w:val="17"/>
          <w:lang w:val="en-GB"/>
        </w:rPr>
        <w:t>.</w:t>
      </w:r>
    </w:p>
    <w:p w14:paraId="67829500" w14:textId="179B1A63" w:rsidR="009D56D1" w:rsidRPr="00986894" w:rsidRDefault="009D56D1" w:rsidP="00374240">
      <w:pPr>
        <w:pStyle w:val="Footnote"/>
      </w:pPr>
    </w:p>
    <w:p w14:paraId="34500555" w14:textId="7CE95EA6" w:rsidR="009D56D1" w:rsidRPr="00986894" w:rsidRDefault="009D56D1" w:rsidP="00374240">
      <w:pPr>
        <w:pStyle w:val="Footnote"/>
      </w:pPr>
    </w:p>
    <w:p w14:paraId="33E80A81" w14:textId="5F2527FA" w:rsidR="00511AC9" w:rsidRPr="00986894" w:rsidRDefault="00511AC9" w:rsidP="00515CCA">
      <w:pPr>
        <w:pStyle w:val="ExhibitHeading"/>
      </w:pPr>
      <w:bookmarkStart w:id="25" w:name="_Hlk48051802"/>
      <w:r w:rsidRPr="00986894">
        <w:t xml:space="preserve">EXHIBIT </w:t>
      </w:r>
      <w:r w:rsidR="00AC5735" w:rsidRPr="00986894">
        <w:t>10</w:t>
      </w:r>
      <w:r w:rsidRPr="00986894">
        <w:t xml:space="preserve">: </w:t>
      </w:r>
      <w:r w:rsidR="00C76C82" w:rsidRPr="00986894">
        <w:t xml:space="preserve">LUCKIN COFFEE INC.—PERCENTAGE </w:t>
      </w:r>
      <w:r w:rsidRPr="00986894">
        <w:t>BOARD OF DIRECTORS AND TENURE</w:t>
      </w:r>
    </w:p>
    <w:p w14:paraId="67E7C78F" w14:textId="77777777" w:rsidR="00511AC9" w:rsidRPr="00986894" w:rsidRDefault="00511AC9" w:rsidP="00374240">
      <w:pPr>
        <w:pStyle w:val="Footnote"/>
      </w:pPr>
    </w:p>
    <w:tbl>
      <w:tblPr>
        <w:tblStyle w:val="TableGrid"/>
        <w:tblW w:w="9356" w:type="dxa"/>
        <w:tblInd w:w="-5" w:type="dxa"/>
        <w:tblLook w:val="04A0" w:firstRow="1" w:lastRow="0" w:firstColumn="1" w:lastColumn="0" w:noHBand="0" w:noVBand="1"/>
        <w:tblCaption w:val="Exhibit 10"/>
        <w:tblDescription w:val="Percentage board of directors and tenure"/>
      </w:tblPr>
      <w:tblGrid>
        <w:gridCol w:w="1350"/>
        <w:gridCol w:w="3510"/>
        <w:gridCol w:w="2578"/>
        <w:gridCol w:w="1001"/>
        <w:gridCol w:w="917"/>
      </w:tblGrid>
      <w:tr w:rsidR="00511AC9" w:rsidRPr="00986894" w14:paraId="60A916FA" w14:textId="77777777" w:rsidTr="001454EC">
        <w:trPr>
          <w:tblHeader/>
        </w:trPr>
        <w:tc>
          <w:tcPr>
            <w:tcW w:w="1350" w:type="dxa"/>
          </w:tcPr>
          <w:p w14:paraId="41DFAAD7" w14:textId="77777777" w:rsidR="00511AC9" w:rsidRPr="00986894" w:rsidRDefault="00511AC9" w:rsidP="002F650D">
            <w:pPr>
              <w:pStyle w:val="Footnote"/>
              <w:jc w:val="center"/>
              <w:rPr>
                <w:b/>
                <w:bCs/>
              </w:rPr>
            </w:pPr>
            <w:r w:rsidRPr="00986894">
              <w:rPr>
                <w:b/>
                <w:bCs/>
              </w:rPr>
              <w:t>NAME</w:t>
            </w:r>
          </w:p>
        </w:tc>
        <w:tc>
          <w:tcPr>
            <w:tcW w:w="3510" w:type="dxa"/>
          </w:tcPr>
          <w:p w14:paraId="3CA9D78B" w14:textId="77777777" w:rsidR="00511AC9" w:rsidRPr="00986894" w:rsidRDefault="00511AC9" w:rsidP="00621208">
            <w:pPr>
              <w:pStyle w:val="Footnote"/>
              <w:jc w:val="center"/>
              <w:rPr>
                <w:b/>
                <w:bCs/>
              </w:rPr>
            </w:pPr>
            <w:r w:rsidRPr="00986894">
              <w:rPr>
                <w:b/>
                <w:bCs/>
              </w:rPr>
              <w:t>BACKGROUND/AFFILIATION</w:t>
            </w:r>
          </w:p>
        </w:tc>
        <w:tc>
          <w:tcPr>
            <w:tcW w:w="2578" w:type="dxa"/>
          </w:tcPr>
          <w:p w14:paraId="5ABEB661" w14:textId="264AEBB3" w:rsidR="00511AC9" w:rsidRPr="00986894" w:rsidRDefault="00511AC9" w:rsidP="00EE6190">
            <w:pPr>
              <w:pStyle w:val="Footnote"/>
              <w:jc w:val="center"/>
              <w:rPr>
                <w:b/>
                <w:bCs/>
              </w:rPr>
            </w:pPr>
            <w:r w:rsidRPr="00986894">
              <w:rPr>
                <w:b/>
                <w:bCs/>
              </w:rPr>
              <w:t>POSITIONS HELD</w:t>
            </w:r>
            <w:r w:rsidR="00F41C6F">
              <w:rPr>
                <w:b/>
                <w:bCs/>
              </w:rPr>
              <w:t xml:space="preserve"> in </w:t>
            </w:r>
            <w:proofErr w:type="spellStart"/>
            <w:r w:rsidR="00F41C6F">
              <w:rPr>
                <w:b/>
                <w:bCs/>
              </w:rPr>
              <w:t>Luckin</w:t>
            </w:r>
            <w:proofErr w:type="spellEnd"/>
            <w:r w:rsidR="00F41C6F">
              <w:rPr>
                <w:b/>
                <w:bCs/>
              </w:rPr>
              <w:t xml:space="preserve"> Cof</w:t>
            </w:r>
            <w:r w:rsidR="00B40860">
              <w:rPr>
                <w:b/>
                <w:bCs/>
              </w:rPr>
              <w:t>f</w:t>
            </w:r>
            <w:r w:rsidR="00F41C6F">
              <w:rPr>
                <w:b/>
                <w:bCs/>
              </w:rPr>
              <w:t>ee</w:t>
            </w:r>
          </w:p>
        </w:tc>
        <w:tc>
          <w:tcPr>
            <w:tcW w:w="1001" w:type="dxa"/>
          </w:tcPr>
          <w:p w14:paraId="61677AA2" w14:textId="77777777" w:rsidR="00511AC9" w:rsidRPr="00986894" w:rsidRDefault="00511AC9">
            <w:pPr>
              <w:pStyle w:val="Footnote"/>
              <w:jc w:val="center"/>
              <w:rPr>
                <w:b/>
                <w:bCs/>
              </w:rPr>
            </w:pPr>
            <w:r w:rsidRPr="00986894">
              <w:rPr>
                <w:b/>
                <w:bCs/>
              </w:rPr>
              <w:t>START DATE</w:t>
            </w:r>
          </w:p>
        </w:tc>
        <w:tc>
          <w:tcPr>
            <w:tcW w:w="917" w:type="dxa"/>
          </w:tcPr>
          <w:p w14:paraId="59D8790F" w14:textId="77777777" w:rsidR="00511AC9" w:rsidRPr="00986894" w:rsidRDefault="00511AC9">
            <w:pPr>
              <w:pStyle w:val="Footnote"/>
              <w:jc w:val="center"/>
              <w:rPr>
                <w:b/>
                <w:bCs/>
              </w:rPr>
            </w:pPr>
            <w:r w:rsidRPr="00986894">
              <w:rPr>
                <w:b/>
                <w:bCs/>
              </w:rPr>
              <w:t>END DATE</w:t>
            </w:r>
          </w:p>
        </w:tc>
      </w:tr>
      <w:tr w:rsidR="00511AC9" w:rsidRPr="00986894" w14:paraId="75574A4B" w14:textId="77777777" w:rsidTr="001454EC">
        <w:trPr>
          <w:tblHeader/>
        </w:trPr>
        <w:tc>
          <w:tcPr>
            <w:tcW w:w="1350" w:type="dxa"/>
          </w:tcPr>
          <w:p w14:paraId="51E36F8D" w14:textId="2C4EABC0" w:rsidR="00511AC9" w:rsidRPr="00986894" w:rsidRDefault="00511AC9" w:rsidP="00374240">
            <w:pPr>
              <w:pStyle w:val="Footnote"/>
              <w:jc w:val="left"/>
            </w:pPr>
            <w:r w:rsidRPr="00986894">
              <w:t xml:space="preserve">Charles </w:t>
            </w:r>
            <w:proofErr w:type="spellStart"/>
            <w:r w:rsidRPr="00986894">
              <w:t>Zhengyao</w:t>
            </w:r>
            <w:proofErr w:type="spellEnd"/>
            <w:r w:rsidRPr="00986894">
              <w:t xml:space="preserve"> Lu</w:t>
            </w:r>
          </w:p>
        </w:tc>
        <w:tc>
          <w:tcPr>
            <w:tcW w:w="3510" w:type="dxa"/>
          </w:tcPr>
          <w:p w14:paraId="1D3B624B" w14:textId="2636D678" w:rsidR="00511AC9" w:rsidRPr="00986894" w:rsidRDefault="003451BA" w:rsidP="002F650D">
            <w:pPr>
              <w:pStyle w:val="Footnote"/>
              <w:jc w:val="left"/>
            </w:pPr>
            <w:r w:rsidRPr="00986894">
              <w:t xml:space="preserve">Co-founder and </w:t>
            </w:r>
            <w:r w:rsidR="00976E47" w:rsidRPr="00986894">
              <w:t>C</w:t>
            </w:r>
            <w:r w:rsidRPr="00986894">
              <w:t>hairperson, Car Inc.</w:t>
            </w:r>
            <w:r w:rsidR="00511AC9" w:rsidRPr="00986894">
              <w:t xml:space="preserve"> </w:t>
            </w:r>
            <w:r w:rsidRPr="00986894">
              <w:t xml:space="preserve">and </w:t>
            </w:r>
            <w:proofErr w:type="spellStart"/>
            <w:r w:rsidR="00511AC9" w:rsidRPr="00986894">
              <w:t>UCar</w:t>
            </w:r>
            <w:proofErr w:type="spellEnd"/>
            <w:r w:rsidRPr="00986894">
              <w:t xml:space="preserve"> (</w:t>
            </w:r>
            <w:proofErr w:type="spellStart"/>
            <w:r w:rsidR="00511AC9" w:rsidRPr="00986894">
              <w:t>UCar</w:t>
            </w:r>
            <w:proofErr w:type="spellEnd"/>
            <w:r w:rsidR="00511AC9" w:rsidRPr="00986894">
              <w:t xml:space="preserve"> </w:t>
            </w:r>
            <w:r w:rsidRPr="00986894">
              <w:t xml:space="preserve">was a </w:t>
            </w:r>
            <w:r w:rsidR="00511AC9" w:rsidRPr="00986894">
              <w:t xml:space="preserve">major stockholder of XHKG-listed </w:t>
            </w:r>
            <w:r w:rsidRPr="00986894">
              <w:t>Car Inc.)</w:t>
            </w:r>
          </w:p>
        </w:tc>
        <w:tc>
          <w:tcPr>
            <w:tcW w:w="2578" w:type="dxa"/>
          </w:tcPr>
          <w:p w14:paraId="0A36AA92" w14:textId="2A014691" w:rsidR="00511AC9" w:rsidRPr="00986894" w:rsidRDefault="00511AC9" w:rsidP="00621208">
            <w:pPr>
              <w:pStyle w:val="Footnote"/>
              <w:jc w:val="left"/>
            </w:pPr>
            <w:r w:rsidRPr="00986894">
              <w:t xml:space="preserve">Co-founder </w:t>
            </w:r>
            <w:r w:rsidR="003451BA" w:rsidRPr="00986894">
              <w:t xml:space="preserve">and </w:t>
            </w:r>
            <w:r w:rsidRPr="00986894">
              <w:t>Chair</w:t>
            </w:r>
            <w:r w:rsidR="003451BA" w:rsidRPr="00986894">
              <w:t>person</w:t>
            </w:r>
          </w:p>
        </w:tc>
        <w:tc>
          <w:tcPr>
            <w:tcW w:w="1001" w:type="dxa"/>
          </w:tcPr>
          <w:p w14:paraId="6E3A55EA" w14:textId="1E42652B" w:rsidR="00611C9E" w:rsidRPr="00986894" w:rsidRDefault="003A4BDD" w:rsidP="00EE6190">
            <w:pPr>
              <w:pStyle w:val="Footnote"/>
              <w:jc w:val="right"/>
            </w:pPr>
            <w:r w:rsidRPr="00986894">
              <w:t xml:space="preserve">June </w:t>
            </w:r>
            <w:r w:rsidR="00611C9E" w:rsidRPr="00986894">
              <w:t>2018</w:t>
            </w:r>
          </w:p>
        </w:tc>
        <w:tc>
          <w:tcPr>
            <w:tcW w:w="917" w:type="dxa"/>
          </w:tcPr>
          <w:p w14:paraId="21CA9F8B" w14:textId="602EDFB1" w:rsidR="00511AC9" w:rsidRPr="00986894" w:rsidRDefault="003A4BDD">
            <w:pPr>
              <w:pStyle w:val="Footnote"/>
              <w:jc w:val="right"/>
            </w:pPr>
            <w:r w:rsidRPr="00986894">
              <w:t xml:space="preserve">July 5, </w:t>
            </w:r>
            <w:r w:rsidR="00511AC9" w:rsidRPr="00986894">
              <w:t>2020</w:t>
            </w:r>
          </w:p>
        </w:tc>
      </w:tr>
      <w:tr w:rsidR="00511AC9" w:rsidRPr="00986894" w14:paraId="152182C8" w14:textId="77777777" w:rsidTr="001454EC">
        <w:trPr>
          <w:tblHeader/>
        </w:trPr>
        <w:tc>
          <w:tcPr>
            <w:tcW w:w="1350" w:type="dxa"/>
          </w:tcPr>
          <w:p w14:paraId="30CA254B" w14:textId="50935B79" w:rsidR="00511AC9" w:rsidRPr="00986894" w:rsidRDefault="00511AC9" w:rsidP="00374240">
            <w:pPr>
              <w:pStyle w:val="Footnote"/>
              <w:jc w:val="left"/>
            </w:pPr>
            <w:r w:rsidRPr="00986894">
              <w:t xml:space="preserve">Jenny </w:t>
            </w:r>
            <w:proofErr w:type="spellStart"/>
            <w:r w:rsidRPr="00986894">
              <w:t>Zhiya</w:t>
            </w:r>
            <w:proofErr w:type="spellEnd"/>
            <w:r w:rsidRPr="00986894">
              <w:t xml:space="preserve"> Qian</w:t>
            </w:r>
          </w:p>
        </w:tc>
        <w:tc>
          <w:tcPr>
            <w:tcW w:w="3510" w:type="dxa"/>
          </w:tcPr>
          <w:p w14:paraId="56058670" w14:textId="0272E1D8" w:rsidR="00511AC9" w:rsidRPr="00986894" w:rsidRDefault="00511AC9" w:rsidP="002F650D">
            <w:pPr>
              <w:pStyle w:val="Footnote"/>
              <w:jc w:val="left"/>
            </w:pPr>
            <w:r w:rsidRPr="00986894">
              <w:t>Director</w:t>
            </w:r>
            <w:r w:rsidR="00976E47" w:rsidRPr="00986894">
              <w:t xml:space="preserve"> and </w:t>
            </w:r>
            <w:r w:rsidRPr="00986894">
              <w:t xml:space="preserve">COO, </w:t>
            </w:r>
            <w:proofErr w:type="spellStart"/>
            <w:r w:rsidRPr="00986894">
              <w:t>UCar</w:t>
            </w:r>
            <w:proofErr w:type="spellEnd"/>
          </w:p>
          <w:p w14:paraId="2D034883" w14:textId="5596F604" w:rsidR="00511AC9" w:rsidRPr="00986894" w:rsidRDefault="00511AC9" w:rsidP="00621208">
            <w:pPr>
              <w:pStyle w:val="Footnote"/>
              <w:jc w:val="left"/>
            </w:pPr>
            <w:r w:rsidRPr="00986894">
              <w:t xml:space="preserve">EVP/COO, </w:t>
            </w:r>
            <w:r w:rsidR="00976E47" w:rsidRPr="00986894">
              <w:t>Car Inc.</w:t>
            </w:r>
          </w:p>
        </w:tc>
        <w:tc>
          <w:tcPr>
            <w:tcW w:w="2578" w:type="dxa"/>
          </w:tcPr>
          <w:p w14:paraId="72018A8D" w14:textId="431C8A3C" w:rsidR="00511AC9" w:rsidRPr="00986894" w:rsidRDefault="00511AC9" w:rsidP="00EE6190">
            <w:pPr>
              <w:pStyle w:val="Footnote"/>
              <w:jc w:val="left"/>
            </w:pPr>
            <w:r w:rsidRPr="00986894">
              <w:t>Co-founder, Director</w:t>
            </w:r>
            <w:r w:rsidR="00976E47" w:rsidRPr="00986894">
              <w:t>, and</w:t>
            </w:r>
            <w:r w:rsidRPr="00986894">
              <w:t xml:space="preserve"> CEO</w:t>
            </w:r>
          </w:p>
        </w:tc>
        <w:tc>
          <w:tcPr>
            <w:tcW w:w="1001" w:type="dxa"/>
          </w:tcPr>
          <w:p w14:paraId="402D2F92" w14:textId="63F9F346" w:rsidR="00611C9E" w:rsidRPr="00986894" w:rsidRDefault="003A4BDD">
            <w:pPr>
              <w:pStyle w:val="Footnote"/>
              <w:jc w:val="right"/>
            </w:pPr>
            <w:r w:rsidRPr="00986894">
              <w:t xml:space="preserve">August </w:t>
            </w:r>
            <w:r w:rsidR="00611C9E" w:rsidRPr="00986894">
              <w:t>2017</w:t>
            </w:r>
          </w:p>
        </w:tc>
        <w:tc>
          <w:tcPr>
            <w:tcW w:w="917" w:type="dxa"/>
          </w:tcPr>
          <w:p w14:paraId="6C9B192B" w14:textId="531E2A8D" w:rsidR="00511AC9" w:rsidRPr="00986894" w:rsidRDefault="003A4BDD">
            <w:pPr>
              <w:pStyle w:val="Footnote"/>
              <w:jc w:val="right"/>
            </w:pPr>
            <w:r w:rsidRPr="00986894">
              <w:t>May 11,</w:t>
            </w:r>
            <w:r w:rsidR="00511AC9" w:rsidRPr="00986894">
              <w:t xml:space="preserve"> 2020</w:t>
            </w:r>
          </w:p>
        </w:tc>
      </w:tr>
      <w:tr w:rsidR="00511AC9" w:rsidRPr="00986894" w14:paraId="4891A005" w14:textId="77777777" w:rsidTr="001454EC">
        <w:trPr>
          <w:tblHeader/>
        </w:trPr>
        <w:tc>
          <w:tcPr>
            <w:tcW w:w="1350" w:type="dxa"/>
          </w:tcPr>
          <w:p w14:paraId="41A2E562" w14:textId="2EBFACF4" w:rsidR="00511AC9" w:rsidRPr="00986894" w:rsidRDefault="00511AC9" w:rsidP="00374240">
            <w:pPr>
              <w:pStyle w:val="Footnote"/>
              <w:jc w:val="left"/>
            </w:pPr>
            <w:r w:rsidRPr="00986894">
              <w:t>Jian Liu</w:t>
            </w:r>
          </w:p>
        </w:tc>
        <w:tc>
          <w:tcPr>
            <w:tcW w:w="3510" w:type="dxa"/>
          </w:tcPr>
          <w:p w14:paraId="2146B952" w14:textId="5E2411D8" w:rsidR="00511AC9" w:rsidRPr="00986894" w:rsidRDefault="00511AC9" w:rsidP="002F650D">
            <w:pPr>
              <w:pStyle w:val="Footnote"/>
              <w:jc w:val="left"/>
            </w:pPr>
            <w:r w:rsidRPr="00986894">
              <w:t xml:space="preserve">Head of Yield Management, </w:t>
            </w:r>
            <w:r w:rsidR="00976E47" w:rsidRPr="00986894">
              <w:t xml:space="preserve">Car Inc. and </w:t>
            </w:r>
            <w:proofErr w:type="spellStart"/>
            <w:r w:rsidRPr="00986894">
              <w:t>UCar</w:t>
            </w:r>
            <w:proofErr w:type="spellEnd"/>
          </w:p>
        </w:tc>
        <w:tc>
          <w:tcPr>
            <w:tcW w:w="2578" w:type="dxa"/>
          </w:tcPr>
          <w:p w14:paraId="314034AA" w14:textId="40EADEF8" w:rsidR="00511AC9" w:rsidRPr="00986894" w:rsidRDefault="00511AC9" w:rsidP="00621208">
            <w:pPr>
              <w:pStyle w:val="Footnote"/>
              <w:jc w:val="left"/>
            </w:pPr>
            <w:r w:rsidRPr="00986894">
              <w:t xml:space="preserve">Director </w:t>
            </w:r>
            <w:r w:rsidR="00976E47" w:rsidRPr="00986894">
              <w:t xml:space="preserve">and </w:t>
            </w:r>
            <w:r w:rsidRPr="00986894">
              <w:t>COO</w:t>
            </w:r>
          </w:p>
        </w:tc>
        <w:tc>
          <w:tcPr>
            <w:tcW w:w="1001" w:type="dxa"/>
          </w:tcPr>
          <w:p w14:paraId="0731283E" w14:textId="7FDD1F73" w:rsidR="00611C9E" w:rsidRPr="00986894" w:rsidRDefault="003A4BDD" w:rsidP="00EE6190">
            <w:pPr>
              <w:pStyle w:val="Footnote"/>
              <w:jc w:val="right"/>
            </w:pPr>
            <w:r w:rsidRPr="00986894">
              <w:t xml:space="preserve">February </w:t>
            </w:r>
            <w:r w:rsidR="00611C9E" w:rsidRPr="00986894">
              <w:t>2019</w:t>
            </w:r>
          </w:p>
        </w:tc>
        <w:tc>
          <w:tcPr>
            <w:tcW w:w="917" w:type="dxa"/>
          </w:tcPr>
          <w:p w14:paraId="7B495D6A" w14:textId="337E0255" w:rsidR="00511AC9" w:rsidRPr="00986894" w:rsidRDefault="003A4BDD">
            <w:pPr>
              <w:pStyle w:val="Footnote"/>
              <w:jc w:val="right"/>
            </w:pPr>
            <w:r w:rsidRPr="00986894">
              <w:t xml:space="preserve">May 11, </w:t>
            </w:r>
            <w:r w:rsidR="00511AC9" w:rsidRPr="00986894">
              <w:t>2020</w:t>
            </w:r>
          </w:p>
        </w:tc>
      </w:tr>
      <w:tr w:rsidR="00511AC9" w:rsidRPr="00986894" w14:paraId="22DFD7D5" w14:textId="77777777" w:rsidTr="001454EC">
        <w:trPr>
          <w:tblHeader/>
        </w:trPr>
        <w:tc>
          <w:tcPr>
            <w:tcW w:w="1350" w:type="dxa"/>
          </w:tcPr>
          <w:p w14:paraId="15B4CB0B" w14:textId="7C793339" w:rsidR="00511AC9" w:rsidRPr="00986894" w:rsidRDefault="00511AC9" w:rsidP="00374240">
            <w:pPr>
              <w:pStyle w:val="Footnote"/>
              <w:jc w:val="left"/>
            </w:pPr>
            <w:proofErr w:type="spellStart"/>
            <w:r w:rsidRPr="00986894">
              <w:t>Jinyi</w:t>
            </w:r>
            <w:proofErr w:type="spellEnd"/>
            <w:r w:rsidRPr="00986894">
              <w:t xml:space="preserve"> Guo</w:t>
            </w:r>
          </w:p>
        </w:tc>
        <w:tc>
          <w:tcPr>
            <w:tcW w:w="3510" w:type="dxa"/>
          </w:tcPr>
          <w:p w14:paraId="53DE15B3" w14:textId="31570C54" w:rsidR="00511AC9" w:rsidRPr="00986894" w:rsidRDefault="00511AC9" w:rsidP="002F650D">
            <w:pPr>
              <w:pStyle w:val="Footnote"/>
              <w:jc w:val="left"/>
            </w:pPr>
            <w:r w:rsidRPr="00986894">
              <w:t xml:space="preserve">Assistant to the </w:t>
            </w:r>
            <w:r w:rsidR="00976E47" w:rsidRPr="00986894">
              <w:t>Chairperson</w:t>
            </w:r>
            <w:r w:rsidRPr="00986894">
              <w:t xml:space="preserve">, </w:t>
            </w:r>
            <w:proofErr w:type="spellStart"/>
            <w:r w:rsidRPr="00986894">
              <w:t>UCar</w:t>
            </w:r>
            <w:proofErr w:type="spellEnd"/>
            <w:r w:rsidRPr="00986894">
              <w:t>; Research Assistant</w:t>
            </w:r>
            <w:r w:rsidR="00976E47" w:rsidRPr="00986894">
              <w:t xml:space="preserve">, </w:t>
            </w:r>
            <w:r w:rsidRPr="00986894">
              <w:t>China Academy of Transportation S</w:t>
            </w:r>
            <w:r w:rsidR="005C7FFE" w:rsidRPr="00986894">
              <w:t>ervices</w:t>
            </w:r>
          </w:p>
        </w:tc>
        <w:tc>
          <w:tcPr>
            <w:tcW w:w="2578" w:type="dxa"/>
          </w:tcPr>
          <w:p w14:paraId="09F3506B" w14:textId="630334D8" w:rsidR="00511AC9" w:rsidRPr="00986894" w:rsidRDefault="00511AC9" w:rsidP="00621208">
            <w:pPr>
              <w:pStyle w:val="Footnote"/>
              <w:jc w:val="left"/>
            </w:pPr>
            <w:r w:rsidRPr="00986894">
              <w:t xml:space="preserve">Director </w:t>
            </w:r>
            <w:r w:rsidR="00976E47" w:rsidRPr="00986894">
              <w:t xml:space="preserve">and </w:t>
            </w:r>
            <w:r w:rsidRPr="00986894">
              <w:t>SVP</w:t>
            </w:r>
            <w:r w:rsidR="00976E47" w:rsidRPr="00986894">
              <w:t xml:space="preserve">, </w:t>
            </w:r>
            <w:r w:rsidRPr="00986894">
              <w:t xml:space="preserve">Director </w:t>
            </w:r>
            <w:r w:rsidR="00976E47" w:rsidRPr="00986894">
              <w:t xml:space="preserve">and </w:t>
            </w:r>
            <w:r w:rsidRPr="00986894">
              <w:t>Acting CEO</w:t>
            </w:r>
            <w:r w:rsidR="00976E47" w:rsidRPr="00986894">
              <w:t xml:space="preserve">, Chairperson and </w:t>
            </w:r>
            <w:r w:rsidRPr="00986894">
              <w:t>CEO</w:t>
            </w:r>
          </w:p>
        </w:tc>
        <w:tc>
          <w:tcPr>
            <w:tcW w:w="1001" w:type="dxa"/>
          </w:tcPr>
          <w:p w14:paraId="5660CAEC" w14:textId="235A9C21" w:rsidR="00611C9E" w:rsidRPr="00986894" w:rsidRDefault="003A4BDD" w:rsidP="00EE6190">
            <w:pPr>
              <w:pStyle w:val="Footnote"/>
              <w:jc w:val="right"/>
            </w:pPr>
            <w:r w:rsidRPr="00986894">
              <w:t xml:space="preserve">June </w:t>
            </w:r>
            <w:r w:rsidR="00611C9E" w:rsidRPr="00986894">
              <w:t>2018</w:t>
            </w:r>
          </w:p>
        </w:tc>
        <w:tc>
          <w:tcPr>
            <w:tcW w:w="917" w:type="dxa"/>
          </w:tcPr>
          <w:p w14:paraId="5A55A676" w14:textId="77777777" w:rsidR="00511AC9" w:rsidRPr="00986894" w:rsidRDefault="00511AC9">
            <w:pPr>
              <w:pStyle w:val="Footnote"/>
              <w:jc w:val="right"/>
            </w:pPr>
          </w:p>
        </w:tc>
      </w:tr>
      <w:tr w:rsidR="00511AC9" w:rsidRPr="00986894" w14:paraId="0035EE09" w14:textId="77777777" w:rsidTr="001454EC">
        <w:trPr>
          <w:tblHeader/>
        </w:trPr>
        <w:tc>
          <w:tcPr>
            <w:tcW w:w="1350" w:type="dxa"/>
          </w:tcPr>
          <w:p w14:paraId="0067CD7D" w14:textId="134FDF37" w:rsidR="00511AC9" w:rsidRPr="00986894" w:rsidRDefault="00511AC9" w:rsidP="00374240">
            <w:pPr>
              <w:pStyle w:val="Footnote"/>
              <w:jc w:val="left"/>
            </w:pPr>
            <w:r w:rsidRPr="00986894">
              <w:t>David Hui Li</w:t>
            </w:r>
          </w:p>
        </w:tc>
        <w:tc>
          <w:tcPr>
            <w:tcW w:w="3510" w:type="dxa"/>
          </w:tcPr>
          <w:p w14:paraId="2F9B5635" w14:textId="021E7811" w:rsidR="00976E47" w:rsidRPr="00986894" w:rsidRDefault="00511AC9" w:rsidP="002F650D">
            <w:pPr>
              <w:pStyle w:val="Footnote"/>
              <w:jc w:val="left"/>
            </w:pPr>
            <w:r w:rsidRPr="00986894">
              <w:t xml:space="preserve">CEO </w:t>
            </w:r>
            <w:r w:rsidR="00976E47" w:rsidRPr="00986894">
              <w:t xml:space="preserve">and </w:t>
            </w:r>
            <w:r w:rsidRPr="00986894">
              <w:t>Founder, Centurium Capital</w:t>
            </w:r>
            <w:r w:rsidR="00976E47" w:rsidRPr="00986894">
              <w:t xml:space="preserve"> Partners</w:t>
            </w:r>
            <w:r w:rsidRPr="00986894">
              <w:t xml:space="preserve"> </w:t>
            </w:r>
          </w:p>
          <w:p w14:paraId="2942F659" w14:textId="0E6FAC16" w:rsidR="00511AC9" w:rsidRPr="00986894" w:rsidRDefault="00511AC9" w:rsidP="00621208">
            <w:pPr>
              <w:pStyle w:val="Footnote"/>
              <w:jc w:val="left"/>
            </w:pPr>
            <w:r w:rsidRPr="00986894">
              <w:t>Managing Director, Warbu</w:t>
            </w:r>
            <w:r w:rsidR="00976E47" w:rsidRPr="00986894">
              <w:t>r</w:t>
            </w:r>
            <w:r w:rsidRPr="00986894">
              <w:t>g Pincus Asia LLC</w:t>
            </w:r>
          </w:p>
        </w:tc>
        <w:tc>
          <w:tcPr>
            <w:tcW w:w="2578" w:type="dxa"/>
          </w:tcPr>
          <w:p w14:paraId="08F1882F" w14:textId="77777777" w:rsidR="00511AC9" w:rsidRPr="00986894" w:rsidRDefault="00511AC9" w:rsidP="00EE6190">
            <w:pPr>
              <w:pStyle w:val="Footnote"/>
              <w:jc w:val="left"/>
            </w:pPr>
            <w:r w:rsidRPr="00986894">
              <w:t>Director</w:t>
            </w:r>
          </w:p>
        </w:tc>
        <w:tc>
          <w:tcPr>
            <w:tcW w:w="1001" w:type="dxa"/>
          </w:tcPr>
          <w:p w14:paraId="35021864" w14:textId="3B3C14D8" w:rsidR="00611C9E" w:rsidRPr="00986894" w:rsidRDefault="003A4BDD">
            <w:pPr>
              <w:pStyle w:val="Footnote"/>
              <w:jc w:val="right"/>
            </w:pPr>
            <w:r w:rsidRPr="00986894">
              <w:t xml:space="preserve">June </w:t>
            </w:r>
            <w:r w:rsidR="00611C9E" w:rsidRPr="00986894">
              <w:t>2018</w:t>
            </w:r>
          </w:p>
        </w:tc>
        <w:tc>
          <w:tcPr>
            <w:tcW w:w="917" w:type="dxa"/>
          </w:tcPr>
          <w:p w14:paraId="2531BD3F" w14:textId="22FC5737" w:rsidR="00511AC9" w:rsidRPr="00986894" w:rsidRDefault="003A4BDD" w:rsidP="00621208">
            <w:pPr>
              <w:pStyle w:val="Footnote"/>
              <w:jc w:val="right"/>
            </w:pPr>
            <w:r w:rsidRPr="00986894">
              <w:t xml:space="preserve">July 5, </w:t>
            </w:r>
            <w:r w:rsidR="00511AC9" w:rsidRPr="00986894">
              <w:t>2020</w:t>
            </w:r>
          </w:p>
        </w:tc>
      </w:tr>
      <w:tr w:rsidR="00511AC9" w:rsidRPr="00986894" w14:paraId="5B8DC25B" w14:textId="77777777" w:rsidTr="001454EC">
        <w:trPr>
          <w:tblHeader/>
        </w:trPr>
        <w:tc>
          <w:tcPr>
            <w:tcW w:w="1350" w:type="dxa"/>
          </w:tcPr>
          <w:p w14:paraId="2FF98212" w14:textId="0C5AF1F2" w:rsidR="00511AC9" w:rsidRPr="00986894" w:rsidRDefault="00511AC9" w:rsidP="00374240">
            <w:pPr>
              <w:pStyle w:val="Footnote"/>
              <w:jc w:val="left"/>
            </w:pPr>
            <w:proofErr w:type="spellStart"/>
            <w:r w:rsidRPr="00986894">
              <w:t>Erhai</w:t>
            </w:r>
            <w:proofErr w:type="spellEnd"/>
            <w:r w:rsidRPr="00986894">
              <w:t xml:space="preserve"> Liu</w:t>
            </w:r>
          </w:p>
        </w:tc>
        <w:tc>
          <w:tcPr>
            <w:tcW w:w="3510" w:type="dxa"/>
          </w:tcPr>
          <w:p w14:paraId="2D58ED20" w14:textId="64BF941F" w:rsidR="00976E47" w:rsidRPr="00986894" w:rsidRDefault="00511AC9" w:rsidP="002F650D">
            <w:pPr>
              <w:pStyle w:val="Footnote"/>
              <w:jc w:val="left"/>
            </w:pPr>
            <w:r w:rsidRPr="00986894">
              <w:t>Managing Partner, Joy Capital</w:t>
            </w:r>
          </w:p>
          <w:p w14:paraId="11FFCC3A" w14:textId="478DBDA4" w:rsidR="00511AC9" w:rsidRPr="00986894" w:rsidRDefault="00511AC9" w:rsidP="00621208">
            <w:pPr>
              <w:pStyle w:val="Footnote"/>
              <w:jc w:val="left"/>
            </w:pPr>
            <w:r w:rsidRPr="00986894">
              <w:t>Managing Director, Legend Capital</w:t>
            </w:r>
          </w:p>
        </w:tc>
        <w:tc>
          <w:tcPr>
            <w:tcW w:w="2578" w:type="dxa"/>
          </w:tcPr>
          <w:p w14:paraId="1D4A8D36" w14:textId="77777777" w:rsidR="00511AC9" w:rsidRPr="00986894" w:rsidRDefault="00511AC9" w:rsidP="00621208">
            <w:pPr>
              <w:pStyle w:val="Footnote"/>
              <w:jc w:val="left"/>
            </w:pPr>
            <w:r w:rsidRPr="00986894">
              <w:t>Director</w:t>
            </w:r>
          </w:p>
        </w:tc>
        <w:tc>
          <w:tcPr>
            <w:tcW w:w="1001" w:type="dxa"/>
          </w:tcPr>
          <w:p w14:paraId="501816AD" w14:textId="4610929E" w:rsidR="00611C9E" w:rsidRPr="00986894" w:rsidRDefault="003A4BDD" w:rsidP="00621208">
            <w:pPr>
              <w:pStyle w:val="Footnote"/>
              <w:jc w:val="right"/>
            </w:pPr>
            <w:r w:rsidRPr="00986894">
              <w:t xml:space="preserve">November </w:t>
            </w:r>
            <w:r w:rsidR="00611C9E" w:rsidRPr="00986894">
              <w:t>2018</w:t>
            </w:r>
          </w:p>
        </w:tc>
        <w:tc>
          <w:tcPr>
            <w:tcW w:w="917" w:type="dxa"/>
          </w:tcPr>
          <w:p w14:paraId="4DD4109A" w14:textId="5123D5F1" w:rsidR="00511AC9" w:rsidRPr="00986894" w:rsidRDefault="003A4BDD" w:rsidP="00621208">
            <w:pPr>
              <w:pStyle w:val="Footnote"/>
              <w:jc w:val="right"/>
            </w:pPr>
            <w:r w:rsidRPr="00986894">
              <w:t>July 5,</w:t>
            </w:r>
            <w:r w:rsidR="00511AC9" w:rsidRPr="00986894">
              <w:t xml:space="preserve"> 2020</w:t>
            </w:r>
          </w:p>
        </w:tc>
      </w:tr>
      <w:tr w:rsidR="00511AC9" w:rsidRPr="00986894" w14:paraId="1260DA27" w14:textId="77777777" w:rsidTr="001454EC">
        <w:trPr>
          <w:tblHeader/>
        </w:trPr>
        <w:tc>
          <w:tcPr>
            <w:tcW w:w="1350" w:type="dxa"/>
          </w:tcPr>
          <w:p w14:paraId="6865F1CD" w14:textId="01F75E99" w:rsidR="00511AC9" w:rsidRPr="00986894" w:rsidRDefault="00511AC9" w:rsidP="00374240">
            <w:pPr>
              <w:pStyle w:val="Footnote"/>
              <w:jc w:val="left"/>
            </w:pPr>
            <w:r w:rsidRPr="00986894">
              <w:t>Thomas Meier</w:t>
            </w:r>
          </w:p>
        </w:tc>
        <w:tc>
          <w:tcPr>
            <w:tcW w:w="3510" w:type="dxa"/>
          </w:tcPr>
          <w:p w14:paraId="32D21E42" w14:textId="36998ACE" w:rsidR="00976E47" w:rsidRPr="00986894" w:rsidRDefault="00511AC9" w:rsidP="002F650D">
            <w:pPr>
              <w:pStyle w:val="Footnote"/>
              <w:jc w:val="left"/>
            </w:pPr>
            <w:r w:rsidRPr="00986894">
              <w:t xml:space="preserve">CEO, </w:t>
            </w:r>
            <w:proofErr w:type="spellStart"/>
            <w:r w:rsidRPr="00986894">
              <w:t>Ricola</w:t>
            </w:r>
            <w:proofErr w:type="spellEnd"/>
            <w:r w:rsidRPr="00986894">
              <w:t xml:space="preserve"> Group</w:t>
            </w:r>
          </w:p>
          <w:p w14:paraId="29FA3006" w14:textId="372A0DD0" w:rsidR="00511AC9" w:rsidRPr="00986894" w:rsidRDefault="00511AC9" w:rsidP="00621208">
            <w:pPr>
              <w:pStyle w:val="Footnote"/>
              <w:jc w:val="left"/>
            </w:pPr>
            <w:r w:rsidRPr="00986894">
              <w:t>CEO</w:t>
            </w:r>
            <w:r w:rsidR="00976E47" w:rsidRPr="00986894">
              <w:t>,</w:t>
            </w:r>
            <w:r w:rsidRPr="00986894">
              <w:t xml:space="preserve"> Franke Coffee Systems</w:t>
            </w:r>
          </w:p>
        </w:tc>
        <w:tc>
          <w:tcPr>
            <w:tcW w:w="2578" w:type="dxa"/>
          </w:tcPr>
          <w:p w14:paraId="7E1114E4" w14:textId="14B477CA" w:rsidR="00511AC9" w:rsidRPr="00986894" w:rsidRDefault="00511AC9" w:rsidP="00621208">
            <w:pPr>
              <w:pStyle w:val="Footnote"/>
              <w:jc w:val="left"/>
            </w:pPr>
            <w:r w:rsidRPr="00986894">
              <w:t xml:space="preserve">Independent </w:t>
            </w:r>
            <w:r w:rsidR="003A4BDD" w:rsidRPr="00986894">
              <w:t>Director</w:t>
            </w:r>
          </w:p>
        </w:tc>
        <w:tc>
          <w:tcPr>
            <w:tcW w:w="1001" w:type="dxa"/>
          </w:tcPr>
          <w:p w14:paraId="705B704D" w14:textId="0742D103" w:rsidR="00511AC9" w:rsidRPr="00986894" w:rsidRDefault="003A4BDD" w:rsidP="00621208">
            <w:pPr>
              <w:pStyle w:val="Footnote"/>
              <w:jc w:val="right"/>
            </w:pPr>
            <w:r w:rsidRPr="00986894">
              <w:t xml:space="preserve">May </w:t>
            </w:r>
            <w:r w:rsidR="009F0BE0" w:rsidRPr="00986894">
              <w:t>2019</w:t>
            </w:r>
          </w:p>
        </w:tc>
        <w:tc>
          <w:tcPr>
            <w:tcW w:w="917" w:type="dxa"/>
          </w:tcPr>
          <w:p w14:paraId="603CAA5F" w14:textId="790EDF85" w:rsidR="00511AC9" w:rsidRPr="00986894" w:rsidRDefault="003A4BDD" w:rsidP="00621208">
            <w:pPr>
              <w:pStyle w:val="Footnote"/>
              <w:jc w:val="right"/>
            </w:pPr>
            <w:r w:rsidRPr="00986894">
              <w:t xml:space="preserve">April 21, </w:t>
            </w:r>
            <w:r w:rsidR="00511AC9" w:rsidRPr="00986894">
              <w:t>2020</w:t>
            </w:r>
          </w:p>
        </w:tc>
      </w:tr>
      <w:tr w:rsidR="00511AC9" w:rsidRPr="00986894" w14:paraId="5F1DE8F1" w14:textId="77777777" w:rsidTr="001454EC">
        <w:trPr>
          <w:tblHeader/>
        </w:trPr>
        <w:tc>
          <w:tcPr>
            <w:tcW w:w="1350" w:type="dxa"/>
          </w:tcPr>
          <w:p w14:paraId="289DC344" w14:textId="4DC9F280" w:rsidR="00511AC9" w:rsidRPr="00986894" w:rsidRDefault="00511AC9" w:rsidP="00374240">
            <w:pPr>
              <w:pStyle w:val="Footnote"/>
              <w:jc w:val="left"/>
            </w:pPr>
            <w:r w:rsidRPr="00986894">
              <w:t>Sean Shao</w:t>
            </w:r>
          </w:p>
        </w:tc>
        <w:tc>
          <w:tcPr>
            <w:tcW w:w="3510" w:type="dxa"/>
          </w:tcPr>
          <w:p w14:paraId="4758CAEA" w14:textId="01B69097" w:rsidR="00511AC9" w:rsidRPr="00986894" w:rsidRDefault="00511AC9" w:rsidP="002F650D">
            <w:pPr>
              <w:pStyle w:val="Footnote"/>
              <w:jc w:val="left"/>
            </w:pPr>
            <w:r w:rsidRPr="00986894">
              <w:t>Independent Director, 21Vianet Group</w:t>
            </w:r>
            <w:r w:rsidR="00976E47" w:rsidRPr="00986894">
              <w:t xml:space="preserve"> Inc. </w:t>
            </w:r>
            <w:proofErr w:type="spellStart"/>
            <w:r w:rsidRPr="00986894">
              <w:t>Jumei</w:t>
            </w:r>
            <w:proofErr w:type="spellEnd"/>
            <w:r w:rsidRPr="00986894">
              <w:t xml:space="preserve"> International Holding</w:t>
            </w:r>
            <w:r w:rsidR="00976E47" w:rsidRPr="00986894">
              <w:t xml:space="preserve"> Ltd.</w:t>
            </w:r>
            <w:r w:rsidRPr="00986894">
              <w:t xml:space="preserve">, </w:t>
            </w:r>
            <w:proofErr w:type="spellStart"/>
            <w:r w:rsidRPr="00986894">
              <w:t>Agria</w:t>
            </w:r>
            <w:proofErr w:type="spellEnd"/>
            <w:r w:rsidRPr="00986894">
              <w:t xml:space="preserve"> Corporation</w:t>
            </w:r>
          </w:p>
        </w:tc>
        <w:tc>
          <w:tcPr>
            <w:tcW w:w="2578" w:type="dxa"/>
          </w:tcPr>
          <w:p w14:paraId="346D4A3A" w14:textId="7C1586B6" w:rsidR="00511AC9" w:rsidRPr="00986894" w:rsidRDefault="00511AC9" w:rsidP="00621208">
            <w:pPr>
              <w:pStyle w:val="Footnote"/>
              <w:jc w:val="left"/>
            </w:pPr>
            <w:r w:rsidRPr="00986894">
              <w:t xml:space="preserve">Independent </w:t>
            </w:r>
            <w:r w:rsidR="003A4BDD" w:rsidRPr="00986894">
              <w:t>Director, Special Investigation Committee Member</w:t>
            </w:r>
          </w:p>
        </w:tc>
        <w:tc>
          <w:tcPr>
            <w:tcW w:w="1001" w:type="dxa"/>
          </w:tcPr>
          <w:p w14:paraId="5FC55707" w14:textId="2CE4412C" w:rsidR="009F0BE0" w:rsidRPr="00986894" w:rsidRDefault="003A4BDD" w:rsidP="00621208">
            <w:pPr>
              <w:pStyle w:val="Footnote"/>
              <w:jc w:val="right"/>
            </w:pPr>
            <w:r w:rsidRPr="00986894">
              <w:t xml:space="preserve">May </w:t>
            </w:r>
            <w:r w:rsidR="009F0BE0" w:rsidRPr="00986894">
              <w:t>2019</w:t>
            </w:r>
          </w:p>
        </w:tc>
        <w:tc>
          <w:tcPr>
            <w:tcW w:w="917" w:type="dxa"/>
          </w:tcPr>
          <w:p w14:paraId="4FC54CBE" w14:textId="7D223627" w:rsidR="00511AC9" w:rsidRPr="00986894" w:rsidRDefault="00511AC9" w:rsidP="00621208">
            <w:pPr>
              <w:pStyle w:val="Footnote"/>
              <w:jc w:val="right"/>
            </w:pPr>
            <w:r w:rsidRPr="00986894">
              <w:t xml:space="preserve"> </w:t>
            </w:r>
            <w:r w:rsidR="003A4BDD" w:rsidRPr="00986894">
              <w:t xml:space="preserve">July 5, </w:t>
            </w:r>
            <w:r w:rsidRPr="00986894">
              <w:t>2020</w:t>
            </w:r>
          </w:p>
        </w:tc>
      </w:tr>
      <w:tr w:rsidR="00511AC9" w:rsidRPr="00986894" w14:paraId="0DC49B9D" w14:textId="77777777" w:rsidTr="001454EC">
        <w:trPr>
          <w:tblHeader/>
        </w:trPr>
        <w:tc>
          <w:tcPr>
            <w:tcW w:w="1350" w:type="dxa"/>
          </w:tcPr>
          <w:p w14:paraId="197E502D" w14:textId="17124F87" w:rsidR="00511AC9" w:rsidRPr="00986894" w:rsidRDefault="00511AC9" w:rsidP="00374240">
            <w:pPr>
              <w:pStyle w:val="Footnote"/>
              <w:jc w:val="left"/>
            </w:pPr>
            <w:r w:rsidRPr="00986894">
              <w:t>Wai Yuen Chong</w:t>
            </w:r>
          </w:p>
        </w:tc>
        <w:tc>
          <w:tcPr>
            <w:tcW w:w="3510" w:type="dxa"/>
          </w:tcPr>
          <w:p w14:paraId="1DD69409" w14:textId="25646283" w:rsidR="00511AC9" w:rsidRPr="00986894" w:rsidRDefault="00976E47" w:rsidP="002F650D">
            <w:pPr>
              <w:pStyle w:val="Footnote"/>
              <w:jc w:val="left"/>
            </w:pPr>
            <w:r w:rsidRPr="00986894">
              <w:t>M</w:t>
            </w:r>
            <w:r w:rsidR="00511AC9" w:rsidRPr="00986894">
              <w:t>anagement</w:t>
            </w:r>
            <w:r w:rsidRPr="00986894">
              <w:t xml:space="preserve"> (</w:t>
            </w:r>
            <w:r w:rsidR="003A4BDD" w:rsidRPr="00986894">
              <w:t>30</w:t>
            </w:r>
            <w:r w:rsidRPr="00986894">
              <w:t xml:space="preserve"> years)</w:t>
            </w:r>
            <w:r w:rsidR="00511AC9" w:rsidRPr="00986894">
              <w:t>, Charoen Pokphand Group</w:t>
            </w:r>
          </w:p>
        </w:tc>
        <w:tc>
          <w:tcPr>
            <w:tcW w:w="2578" w:type="dxa"/>
          </w:tcPr>
          <w:p w14:paraId="4BF9CDE6" w14:textId="2093682A" w:rsidR="00511AC9" w:rsidRPr="00986894" w:rsidRDefault="00511AC9" w:rsidP="00621208">
            <w:pPr>
              <w:pStyle w:val="Footnote"/>
              <w:jc w:val="left"/>
            </w:pPr>
            <w:r w:rsidRPr="00986894">
              <w:t xml:space="preserve">Independent </w:t>
            </w:r>
            <w:r w:rsidR="003A4BDD" w:rsidRPr="00986894">
              <w:t>Director, S</w:t>
            </w:r>
            <w:r w:rsidRPr="00986894">
              <w:t xml:space="preserve">pecial </w:t>
            </w:r>
            <w:r w:rsidR="003A4BDD" w:rsidRPr="00986894">
              <w:t>Investigation Committee Member</w:t>
            </w:r>
          </w:p>
        </w:tc>
        <w:tc>
          <w:tcPr>
            <w:tcW w:w="1001" w:type="dxa"/>
          </w:tcPr>
          <w:p w14:paraId="0723BDFF" w14:textId="778533A2" w:rsidR="00511AC9" w:rsidRPr="00986894" w:rsidRDefault="003A4BDD" w:rsidP="00621208">
            <w:pPr>
              <w:pStyle w:val="Footnote"/>
              <w:jc w:val="right"/>
            </w:pPr>
            <w:r w:rsidRPr="00986894">
              <w:t xml:space="preserve">March 27, </w:t>
            </w:r>
            <w:r w:rsidR="00511AC9" w:rsidRPr="00986894">
              <w:t>2020</w:t>
            </w:r>
          </w:p>
        </w:tc>
        <w:tc>
          <w:tcPr>
            <w:tcW w:w="917" w:type="dxa"/>
          </w:tcPr>
          <w:p w14:paraId="013C9FA1" w14:textId="77777777" w:rsidR="00511AC9" w:rsidRPr="00986894" w:rsidRDefault="00511AC9" w:rsidP="00621208">
            <w:pPr>
              <w:pStyle w:val="Footnote"/>
              <w:jc w:val="right"/>
            </w:pPr>
          </w:p>
        </w:tc>
      </w:tr>
    </w:tbl>
    <w:p w14:paraId="087D43E1" w14:textId="57519DD1" w:rsidR="00434F9E" w:rsidRPr="00986894" w:rsidRDefault="00434F9E" w:rsidP="00374240">
      <w:pPr>
        <w:pStyle w:val="ExhibitHeading"/>
      </w:pPr>
      <w:r w:rsidRPr="00986894">
        <w:lastRenderedPageBreak/>
        <w:t>Exhibit 10 (Continued)</w:t>
      </w:r>
    </w:p>
    <w:p w14:paraId="52EB6F04" w14:textId="77777777" w:rsidR="00434F9E" w:rsidRPr="00986894" w:rsidRDefault="00434F9E" w:rsidP="002F650D">
      <w:pPr>
        <w:pStyle w:val="Footnote"/>
      </w:pPr>
    </w:p>
    <w:tbl>
      <w:tblPr>
        <w:tblStyle w:val="TableGrid"/>
        <w:tblW w:w="9214" w:type="dxa"/>
        <w:tblInd w:w="137" w:type="dxa"/>
        <w:tblLook w:val="04A0" w:firstRow="1" w:lastRow="0" w:firstColumn="1" w:lastColumn="0" w:noHBand="0" w:noVBand="1"/>
        <w:tblCaption w:val="Exhibit 10 (Continued)"/>
        <w:tblDescription w:val="Continuation of Exhibit 10 table."/>
      </w:tblPr>
      <w:tblGrid>
        <w:gridCol w:w="1542"/>
        <w:gridCol w:w="3102"/>
        <w:gridCol w:w="2652"/>
        <w:gridCol w:w="1001"/>
        <w:gridCol w:w="917"/>
      </w:tblGrid>
      <w:tr w:rsidR="00434F9E" w:rsidRPr="00986894" w14:paraId="59E71959" w14:textId="77777777" w:rsidTr="001454EC">
        <w:trPr>
          <w:tblHeader/>
        </w:trPr>
        <w:tc>
          <w:tcPr>
            <w:tcW w:w="1542" w:type="dxa"/>
          </w:tcPr>
          <w:p w14:paraId="0DEF496D" w14:textId="280A61D6" w:rsidR="00434F9E" w:rsidRPr="00986894" w:rsidRDefault="00434F9E" w:rsidP="00621208">
            <w:pPr>
              <w:pStyle w:val="Footnote"/>
              <w:jc w:val="left"/>
            </w:pPr>
            <w:r w:rsidRPr="00986894">
              <w:rPr>
                <w:b/>
                <w:bCs/>
              </w:rPr>
              <w:t>NAME</w:t>
            </w:r>
          </w:p>
        </w:tc>
        <w:tc>
          <w:tcPr>
            <w:tcW w:w="3102" w:type="dxa"/>
          </w:tcPr>
          <w:p w14:paraId="2FE0848F" w14:textId="315824E9" w:rsidR="00434F9E" w:rsidRPr="00986894" w:rsidRDefault="00434F9E" w:rsidP="00621208">
            <w:pPr>
              <w:pStyle w:val="Footnote"/>
              <w:jc w:val="left"/>
            </w:pPr>
            <w:r w:rsidRPr="00986894">
              <w:rPr>
                <w:b/>
                <w:bCs/>
              </w:rPr>
              <w:t>BACKGROUND/AFFILIATION</w:t>
            </w:r>
          </w:p>
        </w:tc>
        <w:tc>
          <w:tcPr>
            <w:tcW w:w="2652" w:type="dxa"/>
          </w:tcPr>
          <w:p w14:paraId="534A30FF" w14:textId="0CE8D2C5" w:rsidR="00434F9E" w:rsidRPr="00986894" w:rsidRDefault="00434F9E" w:rsidP="00621208">
            <w:pPr>
              <w:pStyle w:val="Footnote"/>
              <w:jc w:val="left"/>
            </w:pPr>
            <w:r w:rsidRPr="00986894">
              <w:rPr>
                <w:b/>
                <w:bCs/>
              </w:rPr>
              <w:t>POSITIONS HELD</w:t>
            </w:r>
            <w:r w:rsidR="00892795">
              <w:rPr>
                <w:b/>
                <w:bCs/>
              </w:rPr>
              <w:t xml:space="preserve"> in </w:t>
            </w:r>
            <w:proofErr w:type="spellStart"/>
            <w:r w:rsidR="00892795">
              <w:rPr>
                <w:b/>
                <w:bCs/>
              </w:rPr>
              <w:t>Luckin</w:t>
            </w:r>
            <w:proofErr w:type="spellEnd"/>
            <w:r w:rsidR="00892795">
              <w:rPr>
                <w:b/>
                <w:bCs/>
              </w:rPr>
              <w:t xml:space="preserve"> Coffee</w:t>
            </w:r>
          </w:p>
        </w:tc>
        <w:tc>
          <w:tcPr>
            <w:tcW w:w="1001" w:type="dxa"/>
          </w:tcPr>
          <w:p w14:paraId="604698AD" w14:textId="3EB32638" w:rsidR="00434F9E" w:rsidRPr="00986894" w:rsidRDefault="00434F9E" w:rsidP="00621208">
            <w:pPr>
              <w:pStyle w:val="Footnote"/>
              <w:jc w:val="right"/>
            </w:pPr>
            <w:r w:rsidRPr="00986894">
              <w:rPr>
                <w:b/>
                <w:bCs/>
              </w:rPr>
              <w:t>START DATE</w:t>
            </w:r>
          </w:p>
        </w:tc>
        <w:tc>
          <w:tcPr>
            <w:tcW w:w="917" w:type="dxa"/>
          </w:tcPr>
          <w:p w14:paraId="0F5C1039" w14:textId="79CE1492" w:rsidR="00434F9E" w:rsidRPr="00986894" w:rsidRDefault="00434F9E" w:rsidP="00621208">
            <w:pPr>
              <w:pStyle w:val="Footnote"/>
              <w:jc w:val="right"/>
            </w:pPr>
            <w:r w:rsidRPr="00986894">
              <w:rPr>
                <w:b/>
                <w:bCs/>
              </w:rPr>
              <w:t>END DATE</w:t>
            </w:r>
          </w:p>
        </w:tc>
      </w:tr>
      <w:tr w:rsidR="00434F9E" w:rsidRPr="00986894" w14:paraId="5F0CBB48" w14:textId="77777777" w:rsidTr="001454EC">
        <w:trPr>
          <w:tblHeader/>
        </w:trPr>
        <w:tc>
          <w:tcPr>
            <w:tcW w:w="1542" w:type="dxa"/>
          </w:tcPr>
          <w:p w14:paraId="4A928B63" w14:textId="608DCE1B" w:rsidR="00434F9E" w:rsidRPr="00986894" w:rsidRDefault="00434F9E" w:rsidP="00374240">
            <w:pPr>
              <w:pStyle w:val="Footnote"/>
              <w:jc w:val="left"/>
            </w:pPr>
            <w:proofErr w:type="spellStart"/>
            <w:r w:rsidRPr="00986894">
              <w:t>Tianruo</w:t>
            </w:r>
            <w:proofErr w:type="spellEnd"/>
            <w:r w:rsidRPr="00986894">
              <w:t xml:space="preserve"> Po</w:t>
            </w:r>
          </w:p>
        </w:tc>
        <w:tc>
          <w:tcPr>
            <w:tcW w:w="3102" w:type="dxa"/>
          </w:tcPr>
          <w:p w14:paraId="72FA2087" w14:textId="408818ED" w:rsidR="00434F9E" w:rsidRPr="00986894" w:rsidRDefault="00A41A5C" w:rsidP="002F650D">
            <w:pPr>
              <w:pStyle w:val="Footnote"/>
              <w:jc w:val="left"/>
            </w:pPr>
            <w:r w:rsidRPr="00986894">
              <w:t>Finance (</w:t>
            </w:r>
            <w:r w:rsidR="00434F9E" w:rsidRPr="00986894">
              <w:t>20</w:t>
            </w:r>
            <w:r w:rsidRPr="00986894">
              <w:t xml:space="preserve"> </w:t>
            </w:r>
            <w:r w:rsidR="00434F9E" w:rsidRPr="00986894">
              <w:t>year</w:t>
            </w:r>
            <w:r w:rsidRPr="00986894">
              <w:t xml:space="preserve">s), </w:t>
            </w:r>
            <w:r w:rsidR="00434F9E" w:rsidRPr="00986894">
              <w:t>CFO</w:t>
            </w:r>
            <w:r w:rsidRPr="00986894">
              <w:t>,</w:t>
            </w:r>
            <w:r w:rsidR="00434F9E" w:rsidRPr="00986894">
              <w:t xml:space="preserve"> </w:t>
            </w:r>
            <w:proofErr w:type="spellStart"/>
            <w:r w:rsidR="00434F9E" w:rsidRPr="00986894">
              <w:t>Zhaopin</w:t>
            </w:r>
            <w:proofErr w:type="spellEnd"/>
            <w:r w:rsidR="00434F9E" w:rsidRPr="00986894">
              <w:t xml:space="preserve"> Ltd.</w:t>
            </w:r>
          </w:p>
        </w:tc>
        <w:tc>
          <w:tcPr>
            <w:tcW w:w="2652" w:type="dxa"/>
          </w:tcPr>
          <w:p w14:paraId="00BECF30" w14:textId="62EC6E71" w:rsidR="00434F9E" w:rsidRPr="00986894" w:rsidRDefault="00434F9E" w:rsidP="00621208">
            <w:pPr>
              <w:pStyle w:val="Footnote"/>
              <w:jc w:val="left"/>
            </w:pPr>
            <w:r w:rsidRPr="00986894">
              <w:t xml:space="preserve">Independent </w:t>
            </w:r>
            <w:r w:rsidR="00A41A5C" w:rsidRPr="00986894">
              <w:t>Director, Special Investigation Committee Member</w:t>
            </w:r>
          </w:p>
        </w:tc>
        <w:tc>
          <w:tcPr>
            <w:tcW w:w="1001" w:type="dxa"/>
          </w:tcPr>
          <w:p w14:paraId="484A5BAF" w14:textId="11B4CD32" w:rsidR="00434F9E" w:rsidRPr="00986894" w:rsidRDefault="00A41A5C" w:rsidP="00621208">
            <w:pPr>
              <w:pStyle w:val="Footnote"/>
              <w:jc w:val="right"/>
            </w:pPr>
            <w:r w:rsidRPr="00986894">
              <w:t xml:space="preserve">March 27, </w:t>
            </w:r>
            <w:r w:rsidR="00434F9E" w:rsidRPr="00986894">
              <w:t>2020</w:t>
            </w:r>
          </w:p>
        </w:tc>
        <w:tc>
          <w:tcPr>
            <w:tcW w:w="917" w:type="dxa"/>
          </w:tcPr>
          <w:p w14:paraId="52E61050" w14:textId="04971C98" w:rsidR="00434F9E" w:rsidRPr="00986894" w:rsidRDefault="00A41A5C" w:rsidP="00621208">
            <w:pPr>
              <w:pStyle w:val="Footnote"/>
              <w:jc w:val="right"/>
            </w:pPr>
            <w:r w:rsidRPr="00986894">
              <w:t xml:space="preserve">June 16, </w:t>
            </w:r>
            <w:r w:rsidR="00434F9E" w:rsidRPr="00986894">
              <w:t>2020</w:t>
            </w:r>
          </w:p>
        </w:tc>
      </w:tr>
      <w:tr w:rsidR="00434F9E" w:rsidRPr="00986894" w14:paraId="7F13DEDF" w14:textId="77777777" w:rsidTr="001454EC">
        <w:trPr>
          <w:tblHeader/>
        </w:trPr>
        <w:tc>
          <w:tcPr>
            <w:tcW w:w="1542" w:type="dxa"/>
          </w:tcPr>
          <w:p w14:paraId="06799A6B" w14:textId="2267F2DC" w:rsidR="00434F9E" w:rsidRPr="00986894" w:rsidRDefault="00434F9E" w:rsidP="00374240">
            <w:pPr>
              <w:pStyle w:val="Footnote"/>
              <w:jc w:val="left"/>
            </w:pPr>
            <w:proofErr w:type="spellStart"/>
            <w:r w:rsidRPr="00986894">
              <w:t>Wenbao</w:t>
            </w:r>
            <w:proofErr w:type="spellEnd"/>
            <w:r w:rsidRPr="00986894">
              <w:t xml:space="preserve"> Cao</w:t>
            </w:r>
          </w:p>
        </w:tc>
        <w:tc>
          <w:tcPr>
            <w:tcW w:w="3102" w:type="dxa"/>
          </w:tcPr>
          <w:p w14:paraId="0225A582" w14:textId="75D9AA73" w:rsidR="00434F9E" w:rsidRPr="00986894" w:rsidRDefault="00A41A5C" w:rsidP="002F650D">
            <w:pPr>
              <w:pStyle w:val="Footnote"/>
              <w:jc w:val="left"/>
            </w:pPr>
            <w:r w:rsidRPr="00986894">
              <w:t>McDonalds (</w:t>
            </w:r>
            <w:r w:rsidR="00434F9E" w:rsidRPr="00986894">
              <w:t>23</w:t>
            </w:r>
            <w:r w:rsidRPr="00986894">
              <w:t xml:space="preserve"> </w:t>
            </w:r>
            <w:r w:rsidR="00434F9E" w:rsidRPr="00986894">
              <w:t>year</w:t>
            </w:r>
            <w:r w:rsidRPr="00986894">
              <w:t>s)</w:t>
            </w:r>
          </w:p>
        </w:tc>
        <w:tc>
          <w:tcPr>
            <w:tcW w:w="2652" w:type="dxa"/>
          </w:tcPr>
          <w:p w14:paraId="794B2D43" w14:textId="7DED9136" w:rsidR="00434F9E" w:rsidRPr="00986894" w:rsidRDefault="00434F9E" w:rsidP="00621208">
            <w:pPr>
              <w:pStyle w:val="Footnote"/>
              <w:jc w:val="left"/>
            </w:pPr>
            <w:r w:rsidRPr="00986894">
              <w:t>SVP</w:t>
            </w:r>
            <w:r w:rsidR="00A41A5C" w:rsidRPr="00986894">
              <w:t xml:space="preserve">, </w:t>
            </w:r>
            <w:r w:rsidRPr="00986894">
              <w:t>Director</w:t>
            </w:r>
          </w:p>
        </w:tc>
        <w:tc>
          <w:tcPr>
            <w:tcW w:w="1001" w:type="dxa"/>
          </w:tcPr>
          <w:p w14:paraId="2B4D4A6B" w14:textId="17871264" w:rsidR="00434F9E" w:rsidRPr="00986894" w:rsidRDefault="00A41A5C" w:rsidP="00621208">
            <w:pPr>
              <w:pStyle w:val="Footnote"/>
              <w:jc w:val="right"/>
            </w:pPr>
            <w:r w:rsidRPr="00986894">
              <w:t xml:space="preserve">May 11, </w:t>
            </w:r>
            <w:r w:rsidR="00434F9E" w:rsidRPr="00986894">
              <w:t>2020</w:t>
            </w:r>
          </w:p>
        </w:tc>
        <w:tc>
          <w:tcPr>
            <w:tcW w:w="917" w:type="dxa"/>
          </w:tcPr>
          <w:p w14:paraId="4F2CA71D" w14:textId="77777777" w:rsidR="00434F9E" w:rsidRPr="00986894" w:rsidRDefault="00434F9E" w:rsidP="00621208">
            <w:pPr>
              <w:pStyle w:val="Footnote"/>
              <w:jc w:val="right"/>
            </w:pPr>
          </w:p>
        </w:tc>
      </w:tr>
      <w:tr w:rsidR="00434F9E" w:rsidRPr="00986894" w14:paraId="6C809EF5" w14:textId="77777777" w:rsidTr="001454EC">
        <w:trPr>
          <w:tblHeader/>
        </w:trPr>
        <w:tc>
          <w:tcPr>
            <w:tcW w:w="1542" w:type="dxa"/>
          </w:tcPr>
          <w:p w14:paraId="3859FAF6" w14:textId="2DC3093F" w:rsidR="00434F9E" w:rsidRPr="00986894" w:rsidRDefault="00434F9E" w:rsidP="00374240">
            <w:pPr>
              <w:pStyle w:val="Footnote"/>
              <w:jc w:val="left"/>
            </w:pPr>
            <w:r w:rsidRPr="00986894">
              <w:t>Gang Wu</w:t>
            </w:r>
          </w:p>
        </w:tc>
        <w:tc>
          <w:tcPr>
            <w:tcW w:w="3102" w:type="dxa"/>
          </w:tcPr>
          <w:p w14:paraId="6EFD8336" w14:textId="177852D4" w:rsidR="00434F9E" w:rsidRPr="00986894" w:rsidRDefault="00A41A5C" w:rsidP="002F650D">
            <w:pPr>
              <w:pStyle w:val="Footnote"/>
              <w:jc w:val="left"/>
            </w:pPr>
            <w:r w:rsidRPr="00986894">
              <w:t>Airline industry (</w:t>
            </w:r>
            <w:r w:rsidR="00434F9E" w:rsidRPr="00986894">
              <w:t>26</w:t>
            </w:r>
            <w:r w:rsidRPr="00986894">
              <w:t xml:space="preserve"> </w:t>
            </w:r>
            <w:r w:rsidR="00434F9E" w:rsidRPr="00986894">
              <w:t>year</w:t>
            </w:r>
            <w:r w:rsidRPr="00986894">
              <w:t>s)</w:t>
            </w:r>
          </w:p>
        </w:tc>
        <w:tc>
          <w:tcPr>
            <w:tcW w:w="2652" w:type="dxa"/>
          </w:tcPr>
          <w:p w14:paraId="0E9F9246" w14:textId="77777777" w:rsidR="00434F9E" w:rsidRPr="00986894" w:rsidRDefault="00434F9E" w:rsidP="00621208">
            <w:pPr>
              <w:pStyle w:val="Footnote"/>
              <w:jc w:val="left"/>
            </w:pPr>
            <w:r w:rsidRPr="00986894">
              <w:t>VP Strategic Partnerships; Director</w:t>
            </w:r>
          </w:p>
        </w:tc>
        <w:tc>
          <w:tcPr>
            <w:tcW w:w="1001" w:type="dxa"/>
          </w:tcPr>
          <w:p w14:paraId="1F2E0128" w14:textId="7AA9B5A1" w:rsidR="00434F9E" w:rsidRPr="00986894" w:rsidRDefault="00A41A5C" w:rsidP="00621208">
            <w:pPr>
              <w:pStyle w:val="Footnote"/>
              <w:jc w:val="right"/>
            </w:pPr>
            <w:r w:rsidRPr="00986894">
              <w:t xml:space="preserve">May 11, </w:t>
            </w:r>
            <w:r w:rsidR="00434F9E" w:rsidRPr="00986894">
              <w:t>2020</w:t>
            </w:r>
          </w:p>
        </w:tc>
        <w:tc>
          <w:tcPr>
            <w:tcW w:w="917" w:type="dxa"/>
          </w:tcPr>
          <w:p w14:paraId="42EF2C3B" w14:textId="77777777" w:rsidR="00434F9E" w:rsidRPr="00986894" w:rsidRDefault="00434F9E" w:rsidP="00621208">
            <w:pPr>
              <w:pStyle w:val="Footnote"/>
              <w:jc w:val="right"/>
            </w:pPr>
          </w:p>
        </w:tc>
      </w:tr>
      <w:tr w:rsidR="00434F9E" w:rsidRPr="00986894" w14:paraId="42461A38" w14:textId="77777777" w:rsidTr="001454EC">
        <w:trPr>
          <w:tblHeader/>
        </w:trPr>
        <w:tc>
          <w:tcPr>
            <w:tcW w:w="1542" w:type="dxa"/>
          </w:tcPr>
          <w:p w14:paraId="1D5F20CE" w14:textId="0E8CC1FD" w:rsidR="00434F9E" w:rsidRPr="00986894" w:rsidRDefault="00434F9E" w:rsidP="00374240">
            <w:pPr>
              <w:pStyle w:val="Footnote"/>
              <w:jc w:val="left"/>
            </w:pPr>
            <w:r w:rsidRPr="00986894">
              <w:t>Ying Zeng</w:t>
            </w:r>
          </w:p>
        </w:tc>
        <w:tc>
          <w:tcPr>
            <w:tcW w:w="3102" w:type="dxa"/>
          </w:tcPr>
          <w:p w14:paraId="12BF96E3" w14:textId="437383FC" w:rsidR="00A41A5C" w:rsidRPr="00986894" w:rsidRDefault="00A41A5C" w:rsidP="002F650D">
            <w:pPr>
              <w:pStyle w:val="Footnote"/>
              <w:jc w:val="left"/>
            </w:pPr>
            <w:r w:rsidRPr="00986894">
              <w:t>B</w:t>
            </w:r>
            <w:r w:rsidR="00434F9E" w:rsidRPr="00986894">
              <w:t>usiness and law</w:t>
            </w:r>
            <w:r w:rsidRPr="00986894">
              <w:t xml:space="preserve"> (25 years) </w:t>
            </w:r>
          </w:p>
          <w:p w14:paraId="657A45CB" w14:textId="35703DE9" w:rsidR="00434F9E" w:rsidRPr="00986894" w:rsidRDefault="00A41A5C" w:rsidP="00621208">
            <w:pPr>
              <w:pStyle w:val="Footnote"/>
              <w:jc w:val="left"/>
            </w:pPr>
            <w:r w:rsidRPr="00986894">
              <w:t>P</w:t>
            </w:r>
            <w:r w:rsidR="00434F9E" w:rsidRPr="00986894">
              <w:t>artner</w:t>
            </w:r>
            <w:r w:rsidRPr="00986894">
              <w:t>,</w:t>
            </w:r>
            <w:r w:rsidR="00434F9E" w:rsidRPr="00986894">
              <w:t xml:space="preserve"> Orrick Herrington &amp; Sutcliffe</w:t>
            </w:r>
            <w:r w:rsidRPr="00986894">
              <w:t xml:space="preserve"> LLP</w:t>
            </w:r>
          </w:p>
        </w:tc>
        <w:tc>
          <w:tcPr>
            <w:tcW w:w="2652" w:type="dxa"/>
          </w:tcPr>
          <w:p w14:paraId="1ED4571D" w14:textId="35B74C50" w:rsidR="00434F9E" w:rsidRPr="00986894" w:rsidRDefault="00434F9E" w:rsidP="00621208">
            <w:pPr>
              <w:pStyle w:val="Footnote"/>
              <w:jc w:val="left"/>
            </w:pPr>
            <w:r w:rsidRPr="00986894">
              <w:t xml:space="preserve">Independent </w:t>
            </w:r>
            <w:r w:rsidR="00A41A5C" w:rsidRPr="00986894">
              <w:t>Director</w:t>
            </w:r>
          </w:p>
        </w:tc>
        <w:tc>
          <w:tcPr>
            <w:tcW w:w="1001" w:type="dxa"/>
          </w:tcPr>
          <w:p w14:paraId="5A502BE1" w14:textId="7EFDFB24" w:rsidR="00434F9E" w:rsidRPr="00986894" w:rsidRDefault="00A41A5C" w:rsidP="00621208">
            <w:pPr>
              <w:pStyle w:val="Footnote"/>
              <w:jc w:val="right"/>
            </w:pPr>
            <w:r w:rsidRPr="00986894">
              <w:t xml:space="preserve">July 5, </w:t>
            </w:r>
            <w:r w:rsidR="00434F9E" w:rsidRPr="00986894">
              <w:t>2020</w:t>
            </w:r>
          </w:p>
        </w:tc>
        <w:tc>
          <w:tcPr>
            <w:tcW w:w="917" w:type="dxa"/>
          </w:tcPr>
          <w:p w14:paraId="16AB3CBF" w14:textId="17EFBAAE" w:rsidR="00434F9E" w:rsidRPr="00986894" w:rsidRDefault="00A41A5C" w:rsidP="00621208">
            <w:pPr>
              <w:pStyle w:val="Footnote"/>
              <w:jc w:val="right"/>
            </w:pPr>
            <w:r w:rsidRPr="00986894">
              <w:t xml:space="preserve">August 3, </w:t>
            </w:r>
            <w:r w:rsidR="00434F9E" w:rsidRPr="00986894">
              <w:t>2020</w:t>
            </w:r>
          </w:p>
        </w:tc>
      </w:tr>
      <w:tr w:rsidR="00434F9E" w:rsidRPr="00986894" w14:paraId="5D83FE18" w14:textId="77777777" w:rsidTr="001454EC">
        <w:trPr>
          <w:tblHeader/>
        </w:trPr>
        <w:tc>
          <w:tcPr>
            <w:tcW w:w="1542" w:type="dxa"/>
          </w:tcPr>
          <w:p w14:paraId="16689DFA" w14:textId="418A6AE7" w:rsidR="00434F9E" w:rsidRPr="00986894" w:rsidRDefault="00434F9E" w:rsidP="00374240">
            <w:pPr>
              <w:pStyle w:val="Footnote"/>
              <w:jc w:val="left"/>
            </w:pPr>
            <w:proofErr w:type="spellStart"/>
            <w:r w:rsidRPr="00986894">
              <w:t>Jie</w:t>
            </w:r>
            <w:proofErr w:type="spellEnd"/>
            <w:r w:rsidRPr="00986894">
              <w:t xml:space="preserve"> Yang</w:t>
            </w:r>
          </w:p>
        </w:tc>
        <w:tc>
          <w:tcPr>
            <w:tcW w:w="3102" w:type="dxa"/>
          </w:tcPr>
          <w:p w14:paraId="46814C2C" w14:textId="6A80BC24" w:rsidR="00434F9E" w:rsidRPr="00986894" w:rsidRDefault="00A41A5C" w:rsidP="002F650D">
            <w:pPr>
              <w:pStyle w:val="Footnote"/>
              <w:jc w:val="left"/>
            </w:pPr>
            <w:r w:rsidRPr="00986894">
              <w:t>M</w:t>
            </w:r>
            <w:r w:rsidR="00434F9E" w:rsidRPr="00986894">
              <w:t xml:space="preserve">anagement </w:t>
            </w:r>
            <w:r w:rsidRPr="00986894">
              <w:t>(20 years)</w:t>
            </w:r>
            <w:r w:rsidR="00434F9E" w:rsidRPr="00986894">
              <w:t>, China University of Political Science and Law</w:t>
            </w:r>
          </w:p>
        </w:tc>
        <w:tc>
          <w:tcPr>
            <w:tcW w:w="2652" w:type="dxa"/>
          </w:tcPr>
          <w:p w14:paraId="69541158" w14:textId="51515A68" w:rsidR="00434F9E" w:rsidRPr="00986894" w:rsidRDefault="00434F9E" w:rsidP="00621208">
            <w:pPr>
              <w:pStyle w:val="Footnote"/>
              <w:jc w:val="left"/>
            </w:pPr>
            <w:r w:rsidRPr="00986894">
              <w:t xml:space="preserve">Independent </w:t>
            </w:r>
            <w:r w:rsidR="00A41A5C" w:rsidRPr="00986894">
              <w:t>Director</w:t>
            </w:r>
          </w:p>
        </w:tc>
        <w:tc>
          <w:tcPr>
            <w:tcW w:w="1001" w:type="dxa"/>
          </w:tcPr>
          <w:p w14:paraId="45629F67" w14:textId="383530EB" w:rsidR="00434F9E" w:rsidRPr="00986894" w:rsidRDefault="00A41A5C" w:rsidP="00621208">
            <w:pPr>
              <w:pStyle w:val="Footnote"/>
              <w:jc w:val="right"/>
            </w:pPr>
            <w:r w:rsidRPr="00986894">
              <w:t xml:space="preserve">July 5, </w:t>
            </w:r>
            <w:r w:rsidR="00434F9E" w:rsidRPr="00986894">
              <w:t>2020</w:t>
            </w:r>
          </w:p>
        </w:tc>
        <w:tc>
          <w:tcPr>
            <w:tcW w:w="917" w:type="dxa"/>
          </w:tcPr>
          <w:p w14:paraId="12EB074E" w14:textId="07BBEB99" w:rsidR="00434F9E" w:rsidRPr="00986894" w:rsidRDefault="00A41A5C" w:rsidP="00621208">
            <w:pPr>
              <w:pStyle w:val="Footnote"/>
              <w:jc w:val="right"/>
            </w:pPr>
            <w:r w:rsidRPr="00986894">
              <w:t xml:space="preserve">August 3, </w:t>
            </w:r>
            <w:r w:rsidR="00434F9E" w:rsidRPr="00986894">
              <w:t>2020</w:t>
            </w:r>
          </w:p>
        </w:tc>
      </w:tr>
      <w:tr w:rsidR="00434F9E" w:rsidRPr="00986894" w14:paraId="33392AAC" w14:textId="77777777" w:rsidTr="001454EC">
        <w:trPr>
          <w:tblHeader/>
        </w:trPr>
        <w:tc>
          <w:tcPr>
            <w:tcW w:w="1542" w:type="dxa"/>
          </w:tcPr>
          <w:p w14:paraId="2BB7D8DA" w14:textId="085C4C24" w:rsidR="00434F9E" w:rsidRPr="00986894" w:rsidRDefault="00434F9E" w:rsidP="00374240">
            <w:pPr>
              <w:pStyle w:val="Footnote"/>
              <w:jc w:val="left"/>
            </w:pPr>
            <w:r w:rsidRPr="00986894">
              <w:t>Yang Cha</w:t>
            </w:r>
          </w:p>
        </w:tc>
        <w:tc>
          <w:tcPr>
            <w:tcW w:w="3102" w:type="dxa"/>
          </w:tcPr>
          <w:p w14:paraId="4379F0AD" w14:textId="21644126" w:rsidR="00A41A5C" w:rsidRPr="00986894" w:rsidRDefault="00A41A5C" w:rsidP="002F650D">
            <w:pPr>
              <w:pStyle w:val="Footnote"/>
              <w:jc w:val="left"/>
            </w:pPr>
            <w:r w:rsidRPr="00986894">
              <w:t>Law (</w:t>
            </w:r>
            <w:r w:rsidR="00434F9E" w:rsidRPr="00986894">
              <w:t>20</w:t>
            </w:r>
            <w:r w:rsidRPr="00986894">
              <w:t xml:space="preserve"> </w:t>
            </w:r>
            <w:r w:rsidR="00434F9E" w:rsidRPr="00986894">
              <w:t>year</w:t>
            </w:r>
            <w:r w:rsidRPr="00986894">
              <w:t>s)</w:t>
            </w:r>
            <w:r w:rsidR="00434F9E" w:rsidRPr="00986894">
              <w:t xml:space="preserve"> </w:t>
            </w:r>
          </w:p>
          <w:p w14:paraId="4706FFE2" w14:textId="68EF1D70" w:rsidR="00434F9E" w:rsidRPr="00986894" w:rsidRDefault="00A41A5C" w:rsidP="00621208">
            <w:pPr>
              <w:pStyle w:val="Footnote"/>
              <w:jc w:val="left"/>
            </w:pPr>
            <w:r w:rsidRPr="00986894">
              <w:t>P</w:t>
            </w:r>
            <w:r w:rsidR="00434F9E" w:rsidRPr="00986894">
              <w:t>resident</w:t>
            </w:r>
            <w:r w:rsidRPr="00986894">
              <w:t>,</w:t>
            </w:r>
            <w:r w:rsidR="00434F9E" w:rsidRPr="00986894">
              <w:t xml:space="preserve"> Tsinghua Education Foundation</w:t>
            </w:r>
          </w:p>
        </w:tc>
        <w:tc>
          <w:tcPr>
            <w:tcW w:w="2652" w:type="dxa"/>
          </w:tcPr>
          <w:p w14:paraId="72934F06" w14:textId="3C6CB51D" w:rsidR="00434F9E" w:rsidRPr="00986894" w:rsidRDefault="00434F9E" w:rsidP="00621208">
            <w:pPr>
              <w:pStyle w:val="Footnote"/>
              <w:jc w:val="left"/>
            </w:pPr>
            <w:r w:rsidRPr="00986894">
              <w:t xml:space="preserve">Independent </w:t>
            </w:r>
            <w:r w:rsidR="00A41A5C" w:rsidRPr="00986894">
              <w:t xml:space="preserve">Director </w:t>
            </w:r>
          </w:p>
        </w:tc>
        <w:tc>
          <w:tcPr>
            <w:tcW w:w="1001" w:type="dxa"/>
          </w:tcPr>
          <w:p w14:paraId="26BE1C8F" w14:textId="7DC4FD6D" w:rsidR="00434F9E" w:rsidRPr="00986894" w:rsidRDefault="00A41A5C" w:rsidP="00621208">
            <w:pPr>
              <w:pStyle w:val="Footnote"/>
              <w:jc w:val="right"/>
            </w:pPr>
            <w:r w:rsidRPr="00986894">
              <w:t xml:space="preserve">July 12, </w:t>
            </w:r>
            <w:r w:rsidR="00434F9E" w:rsidRPr="00986894">
              <w:t>2020</w:t>
            </w:r>
          </w:p>
        </w:tc>
        <w:tc>
          <w:tcPr>
            <w:tcW w:w="917" w:type="dxa"/>
          </w:tcPr>
          <w:p w14:paraId="665A59F0" w14:textId="77777777" w:rsidR="00434F9E" w:rsidRPr="00986894" w:rsidRDefault="00434F9E" w:rsidP="00621208">
            <w:pPr>
              <w:pStyle w:val="Footnote"/>
              <w:jc w:val="right"/>
            </w:pPr>
          </w:p>
        </w:tc>
      </w:tr>
      <w:tr w:rsidR="00434F9E" w:rsidRPr="00986894" w14:paraId="758A4060" w14:textId="77777777" w:rsidTr="001454EC">
        <w:trPr>
          <w:tblHeader/>
        </w:trPr>
        <w:tc>
          <w:tcPr>
            <w:tcW w:w="1542" w:type="dxa"/>
          </w:tcPr>
          <w:p w14:paraId="3326E433" w14:textId="77777777" w:rsidR="00434F9E" w:rsidRPr="00986894" w:rsidRDefault="00434F9E" w:rsidP="00374240">
            <w:pPr>
              <w:pStyle w:val="Footnote"/>
              <w:jc w:val="left"/>
            </w:pPr>
            <w:r w:rsidRPr="00986894">
              <w:t>Feng Liu</w:t>
            </w:r>
          </w:p>
        </w:tc>
        <w:tc>
          <w:tcPr>
            <w:tcW w:w="3102" w:type="dxa"/>
          </w:tcPr>
          <w:p w14:paraId="760D3897" w14:textId="4DC54844" w:rsidR="00434F9E" w:rsidRPr="00986894" w:rsidRDefault="00434F9E" w:rsidP="002F650D">
            <w:pPr>
              <w:pStyle w:val="Footnote"/>
              <w:jc w:val="left"/>
            </w:pPr>
            <w:r w:rsidRPr="00986894">
              <w:t>Accounting professor</w:t>
            </w:r>
            <w:r w:rsidR="00A41A5C" w:rsidRPr="00986894">
              <w:t>,</w:t>
            </w:r>
            <w:r w:rsidRPr="00986894">
              <w:t xml:space="preserve"> Xiamen University</w:t>
            </w:r>
          </w:p>
        </w:tc>
        <w:tc>
          <w:tcPr>
            <w:tcW w:w="2652" w:type="dxa"/>
          </w:tcPr>
          <w:p w14:paraId="7440DE4E" w14:textId="3B516097" w:rsidR="00434F9E" w:rsidRPr="00986894" w:rsidRDefault="00434F9E" w:rsidP="00621208">
            <w:pPr>
              <w:pStyle w:val="Footnote"/>
              <w:jc w:val="left"/>
            </w:pPr>
            <w:r w:rsidRPr="00986894">
              <w:t xml:space="preserve">Independent </w:t>
            </w:r>
            <w:r w:rsidR="00A41A5C" w:rsidRPr="00986894">
              <w:t>Director</w:t>
            </w:r>
          </w:p>
        </w:tc>
        <w:tc>
          <w:tcPr>
            <w:tcW w:w="1001" w:type="dxa"/>
          </w:tcPr>
          <w:p w14:paraId="69BD4180" w14:textId="6EB9E44B" w:rsidR="00434F9E" w:rsidRPr="00986894" w:rsidRDefault="00A41A5C" w:rsidP="00621208">
            <w:pPr>
              <w:pStyle w:val="Footnote"/>
              <w:jc w:val="right"/>
            </w:pPr>
            <w:r w:rsidRPr="00986894">
              <w:t xml:space="preserve">July 12, </w:t>
            </w:r>
            <w:r w:rsidR="00434F9E" w:rsidRPr="00986894">
              <w:t>2020</w:t>
            </w:r>
          </w:p>
        </w:tc>
        <w:tc>
          <w:tcPr>
            <w:tcW w:w="917" w:type="dxa"/>
          </w:tcPr>
          <w:p w14:paraId="1C86AC3C" w14:textId="77777777" w:rsidR="00434F9E" w:rsidRPr="00986894" w:rsidRDefault="00434F9E" w:rsidP="00621208">
            <w:pPr>
              <w:pStyle w:val="Footnote"/>
              <w:jc w:val="right"/>
            </w:pPr>
          </w:p>
        </w:tc>
      </w:tr>
    </w:tbl>
    <w:p w14:paraId="53D4A71F" w14:textId="77777777" w:rsidR="00511AC9" w:rsidRPr="00986894" w:rsidRDefault="00511AC9" w:rsidP="00374240">
      <w:pPr>
        <w:pStyle w:val="Footnote"/>
      </w:pPr>
    </w:p>
    <w:p w14:paraId="698945A4" w14:textId="16117F5F" w:rsidR="005E66B2" w:rsidRPr="00986894" w:rsidRDefault="005E66B2" w:rsidP="002F650D">
      <w:pPr>
        <w:pStyle w:val="Footnote"/>
        <w:rPr>
          <w:spacing w:val="-4"/>
        </w:rPr>
      </w:pPr>
      <w:r w:rsidRPr="00986894">
        <w:rPr>
          <w:spacing w:val="-4"/>
        </w:rPr>
        <w:t>Notes: XHKG = Hong Kong Stock Exchange</w:t>
      </w:r>
      <w:r w:rsidR="00E54AF1" w:rsidRPr="00986894">
        <w:rPr>
          <w:spacing w:val="-4"/>
        </w:rPr>
        <w:t>s and Clearing Ltd.</w:t>
      </w:r>
      <w:r w:rsidRPr="00986894">
        <w:rPr>
          <w:spacing w:val="-4"/>
        </w:rPr>
        <w:t>; EVP = executive vice president; COO = chief operating officer; CEO = chief executive officer; SVP = senior vice president.</w:t>
      </w:r>
    </w:p>
    <w:p w14:paraId="201C4108" w14:textId="1C2DD93D" w:rsidR="00511AC9" w:rsidRPr="00986894" w:rsidRDefault="00511AC9" w:rsidP="00621208">
      <w:pPr>
        <w:pStyle w:val="Footnote"/>
        <w:rPr>
          <w:color w:val="000000" w:themeColor="text1"/>
          <w:spacing w:val="-4"/>
        </w:rPr>
      </w:pPr>
      <w:r w:rsidRPr="00986894">
        <w:rPr>
          <w:spacing w:val="-4"/>
        </w:rPr>
        <w:t xml:space="preserve">Source: Developed by </w:t>
      </w:r>
      <w:r w:rsidR="00A41A5C" w:rsidRPr="00986894">
        <w:rPr>
          <w:spacing w:val="-4"/>
        </w:rPr>
        <w:t xml:space="preserve">case </w:t>
      </w:r>
      <w:r w:rsidRPr="00986894">
        <w:rPr>
          <w:spacing w:val="-4"/>
        </w:rPr>
        <w:t>author</w:t>
      </w:r>
      <w:r w:rsidR="00A41A5C" w:rsidRPr="00986894">
        <w:rPr>
          <w:spacing w:val="-4"/>
        </w:rPr>
        <w:t xml:space="preserve"> with </w:t>
      </w:r>
      <w:r w:rsidRPr="00986894">
        <w:rPr>
          <w:spacing w:val="-4"/>
        </w:rPr>
        <w:t xml:space="preserve">data from </w:t>
      </w:r>
      <w:bookmarkEnd w:id="25"/>
      <w:proofErr w:type="spellStart"/>
      <w:r w:rsidR="00C62FF9" w:rsidRPr="00986894">
        <w:rPr>
          <w:color w:val="000000" w:themeColor="text1"/>
          <w:spacing w:val="-4"/>
        </w:rPr>
        <w:t>Luckin</w:t>
      </w:r>
      <w:proofErr w:type="spellEnd"/>
      <w:r w:rsidR="00C62FF9" w:rsidRPr="00986894">
        <w:rPr>
          <w:color w:val="000000" w:themeColor="text1"/>
          <w:spacing w:val="-4"/>
        </w:rPr>
        <w:t xml:space="preserve"> Coffee</w:t>
      </w:r>
      <w:r w:rsidRPr="00986894">
        <w:rPr>
          <w:spacing w:val="-4"/>
        </w:rPr>
        <w:t xml:space="preserve">, </w:t>
      </w:r>
      <w:r w:rsidR="00E23DBC" w:rsidRPr="00DE0D51">
        <w:rPr>
          <w:i/>
          <w:spacing w:val="-4"/>
        </w:rPr>
        <w:t xml:space="preserve">33,000,000 American Depositary Shares: </w:t>
      </w:r>
      <w:proofErr w:type="spellStart"/>
      <w:r w:rsidRPr="00DE0D51">
        <w:rPr>
          <w:i/>
          <w:spacing w:val="-4"/>
        </w:rPr>
        <w:t>Luckin</w:t>
      </w:r>
      <w:proofErr w:type="spellEnd"/>
      <w:r w:rsidRPr="00DE0D51">
        <w:rPr>
          <w:i/>
          <w:spacing w:val="-4"/>
        </w:rPr>
        <w:t xml:space="preserve"> Coffee Inc. </w:t>
      </w:r>
      <w:r w:rsidR="00D8617C" w:rsidRPr="00DE0D51">
        <w:rPr>
          <w:i/>
          <w:spacing w:val="-4"/>
        </w:rPr>
        <w:t>Representing 264,000,000 Class A Ordinary</w:t>
      </w:r>
      <w:r w:rsidR="00A41A5C" w:rsidRPr="00DE0D51">
        <w:rPr>
          <w:i/>
          <w:spacing w:val="-4"/>
        </w:rPr>
        <w:t xml:space="preserve"> Shares</w:t>
      </w:r>
      <w:r w:rsidRPr="00986894">
        <w:rPr>
          <w:spacing w:val="-4"/>
        </w:rPr>
        <w:t>,</w:t>
      </w:r>
      <w:r w:rsidR="00E23DBC">
        <w:rPr>
          <w:spacing w:val="-4"/>
        </w:rPr>
        <w:t xml:space="preserve"> </w:t>
      </w:r>
      <w:r w:rsidRPr="00986894">
        <w:rPr>
          <w:spacing w:val="-4"/>
        </w:rPr>
        <w:t>May 16</w:t>
      </w:r>
      <w:r w:rsidRPr="00986894">
        <w:rPr>
          <w:color w:val="000000" w:themeColor="text1"/>
          <w:spacing w:val="-4"/>
        </w:rPr>
        <w:t xml:space="preserve">, 2019, accessed August 5, 2020, </w:t>
      </w:r>
      <w:hyperlink r:id="rId24" w:history="1">
        <w:r w:rsidRPr="00986894">
          <w:rPr>
            <w:rStyle w:val="Hyperlink"/>
            <w:color w:val="000000" w:themeColor="text1"/>
            <w:spacing w:val="-4"/>
            <w:u w:val="none"/>
          </w:rPr>
          <w:t>https://investor.luckincoffee.com/static-files/62ae7fff-d256-461e-9012-a47bfdc3a686</w:t>
        </w:r>
      </w:hyperlink>
      <w:r w:rsidRPr="00986894">
        <w:rPr>
          <w:color w:val="000000" w:themeColor="text1"/>
          <w:spacing w:val="-4"/>
        </w:rPr>
        <w:t xml:space="preserve">; </w:t>
      </w:r>
      <w:r w:rsidR="00A41A5C" w:rsidRPr="00986894">
        <w:rPr>
          <w:color w:val="000000" w:themeColor="text1"/>
          <w:spacing w:val="-4"/>
        </w:rPr>
        <w:t>“</w:t>
      </w:r>
      <w:proofErr w:type="spellStart"/>
      <w:r w:rsidRPr="00986894">
        <w:rPr>
          <w:color w:val="000000" w:themeColor="text1"/>
          <w:spacing w:val="-4"/>
        </w:rPr>
        <w:t>Luckin</w:t>
      </w:r>
      <w:proofErr w:type="spellEnd"/>
      <w:r w:rsidRPr="00986894">
        <w:rPr>
          <w:color w:val="000000" w:themeColor="text1"/>
          <w:spacing w:val="-4"/>
        </w:rPr>
        <w:t xml:space="preserve"> Coffee Announces Appointments of Two Independent Directors,” </w:t>
      </w:r>
      <w:proofErr w:type="spellStart"/>
      <w:r w:rsidR="00C62FF9" w:rsidRPr="00986894">
        <w:rPr>
          <w:color w:val="000000" w:themeColor="text1"/>
          <w:spacing w:val="-4"/>
        </w:rPr>
        <w:t>Luckin</w:t>
      </w:r>
      <w:proofErr w:type="spellEnd"/>
      <w:r w:rsidR="00C62FF9" w:rsidRPr="00986894">
        <w:rPr>
          <w:color w:val="000000" w:themeColor="text1"/>
          <w:spacing w:val="-4"/>
        </w:rPr>
        <w:t xml:space="preserve"> Coffee</w:t>
      </w:r>
      <w:r w:rsidR="00E23DBC">
        <w:rPr>
          <w:color w:val="000000" w:themeColor="text1"/>
          <w:spacing w:val="-4"/>
        </w:rPr>
        <w:t xml:space="preserve"> (</w:t>
      </w:r>
      <w:r w:rsidR="005E1622" w:rsidRPr="00986894">
        <w:rPr>
          <w:color w:val="000000" w:themeColor="text1"/>
          <w:spacing w:val="-4"/>
        </w:rPr>
        <w:t>press release</w:t>
      </w:r>
      <w:r w:rsidR="00E23DBC">
        <w:rPr>
          <w:color w:val="000000" w:themeColor="text1"/>
          <w:spacing w:val="-4"/>
        </w:rPr>
        <w:t>)</w:t>
      </w:r>
      <w:r w:rsidR="005E1622" w:rsidRPr="00986894">
        <w:rPr>
          <w:color w:val="000000" w:themeColor="text1"/>
          <w:spacing w:val="-4"/>
        </w:rPr>
        <w:t>,</w:t>
      </w:r>
      <w:r w:rsidR="00E23DBC">
        <w:rPr>
          <w:color w:val="000000" w:themeColor="text1"/>
          <w:spacing w:val="-4"/>
        </w:rPr>
        <w:t xml:space="preserve"> </w:t>
      </w:r>
      <w:r w:rsidRPr="00986894">
        <w:rPr>
          <w:color w:val="000000" w:themeColor="text1"/>
          <w:spacing w:val="-4"/>
        </w:rPr>
        <w:t xml:space="preserve">March 27, 2020, accessed August 5, 2020, </w:t>
      </w:r>
      <w:hyperlink r:id="rId25" w:history="1">
        <w:r w:rsidRPr="00986894">
          <w:rPr>
            <w:rStyle w:val="Hyperlink"/>
            <w:color w:val="000000" w:themeColor="text1"/>
            <w:spacing w:val="-4"/>
            <w:u w:val="none"/>
          </w:rPr>
          <w:t>https://investor.luckincoffee.com/news-releases/news-release-details/luckin-coffee-announces-appointments-two-independent-directors</w:t>
        </w:r>
      </w:hyperlink>
      <w:r w:rsidRPr="00986894">
        <w:rPr>
          <w:color w:val="000000" w:themeColor="text1"/>
          <w:spacing w:val="-4"/>
        </w:rPr>
        <w:t>; ”</w:t>
      </w:r>
      <w:proofErr w:type="spellStart"/>
      <w:r w:rsidRPr="00986894">
        <w:rPr>
          <w:color w:val="000000" w:themeColor="text1"/>
          <w:spacing w:val="-4"/>
        </w:rPr>
        <w:t>Luckin</w:t>
      </w:r>
      <w:proofErr w:type="spellEnd"/>
      <w:r w:rsidRPr="00986894">
        <w:rPr>
          <w:color w:val="000000" w:themeColor="text1"/>
          <w:spacing w:val="-4"/>
        </w:rPr>
        <w:t xml:space="preserve"> Coffee Received Notification from </w:t>
      </w:r>
      <w:r w:rsidR="006F547B" w:rsidRPr="00986894">
        <w:rPr>
          <w:color w:val="000000" w:themeColor="text1"/>
          <w:spacing w:val="-4"/>
        </w:rPr>
        <w:t xml:space="preserve">Mr. </w:t>
      </w:r>
      <w:r w:rsidRPr="00986894">
        <w:rPr>
          <w:color w:val="000000" w:themeColor="text1"/>
          <w:spacing w:val="-4"/>
        </w:rPr>
        <w:t>Thomas P</w:t>
      </w:r>
      <w:r w:rsidR="00E23DBC">
        <w:rPr>
          <w:color w:val="000000" w:themeColor="text1"/>
          <w:spacing w:val="-4"/>
        </w:rPr>
        <w:t>.</w:t>
      </w:r>
      <w:r w:rsidRPr="00986894">
        <w:rPr>
          <w:color w:val="000000" w:themeColor="text1"/>
          <w:spacing w:val="-4"/>
        </w:rPr>
        <w:t xml:space="preserve"> Meier of His Resignation as Independent Director,” </w:t>
      </w:r>
      <w:proofErr w:type="spellStart"/>
      <w:r w:rsidR="00C62FF9" w:rsidRPr="00986894">
        <w:rPr>
          <w:color w:val="000000" w:themeColor="text1"/>
          <w:spacing w:val="-4"/>
        </w:rPr>
        <w:t>Luckin</w:t>
      </w:r>
      <w:proofErr w:type="spellEnd"/>
      <w:r w:rsidR="00C62FF9" w:rsidRPr="00986894">
        <w:rPr>
          <w:color w:val="000000" w:themeColor="text1"/>
          <w:spacing w:val="-4"/>
        </w:rPr>
        <w:t xml:space="preserve"> Coffee </w:t>
      </w:r>
      <w:r w:rsidR="00E23DBC">
        <w:rPr>
          <w:color w:val="000000" w:themeColor="text1"/>
          <w:spacing w:val="-4"/>
        </w:rPr>
        <w:t>(</w:t>
      </w:r>
      <w:r w:rsidR="005E1622" w:rsidRPr="00986894">
        <w:rPr>
          <w:color w:val="000000" w:themeColor="text1"/>
          <w:spacing w:val="-4"/>
        </w:rPr>
        <w:t>press release</w:t>
      </w:r>
      <w:r w:rsidR="00E23DBC">
        <w:rPr>
          <w:color w:val="000000" w:themeColor="text1"/>
          <w:spacing w:val="-4"/>
        </w:rPr>
        <w:t>)</w:t>
      </w:r>
      <w:r w:rsidR="005E1622" w:rsidRPr="00986894">
        <w:rPr>
          <w:color w:val="000000" w:themeColor="text1"/>
          <w:spacing w:val="-4"/>
        </w:rPr>
        <w:t>,</w:t>
      </w:r>
      <w:r w:rsidR="00E23DBC">
        <w:rPr>
          <w:color w:val="000000" w:themeColor="text1"/>
          <w:spacing w:val="-4"/>
        </w:rPr>
        <w:t xml:space="preserve"> </w:t>
      </w:r>
      <w:r w:rsidRPr="00986894">
        <w:rPr>
          <w:color w:val="000000" w:themeColor="text1"/>
          <w:spacing w:val="-4"/>
        </w:rPr>
        <w:t xml:space="preserve">April 23, 2020, accessed August 5, 2020, </w:t>
      </w:r>
      <w:hyperlink r:id="rId26" w:history="1">
        <w:r w:rsidRPr="00986894">
          <w:rPr>
            <w:rStyle w:val="Hyperlink"/>
            <w:color w:val="000000" w:themeColor="text1"/>
            <w:spacing w:val="-4"/>
            <w:u w:val="none"/>
          </w:rPr>
          <w:t>https://investor.luckincoffee.com/news-releases/news-release-details/luckin-coffee-received-notification-mr-thomas-p-meier-his</w:t>
        </w:r>
      </w:hyperlink>
      <w:r w:rsidRPr="00986894">
        <w:rPr>
          <w:color w:val="000000" w:themeColor="text1"/>
          <w:spacing w:val="-4"/>
        </w:rPr>
        <w:t xml:space="preserve">; </w:t>
      </w:r>
      <w:r w:rsidR="006F547B" w:rsidRPr="00986894">
        <w:rPr>
          <w:color w:val="000000" w:themeColor="text1"/>
          <w:spacing w:val="-4"/>
        </w:rPr>
        <w:t>“</w:t>
      </w:r>
      <w:proofErr w:type="spellStart"/>
      <w:r w:rsidRPr="00986894">
        <w:rPr>
          <w:color w:val="000000" w:themeColor="text1"/>
          <w:spacing w:val="-4"/>
        </w:rPr>
        <w:t>Luckin</w:t>
      </w:r>
      <w:proofErr w:type="spellEnd"/>
      <w:r w:rsidRPr="00986894">
        <w:rPr>
          <w:color w:val="000000" w:themeColor="text1"/>
          <w:spacing w:val="-4"/>
        </w:rPr>
        <w:t xml:space="preserve"> Coffee Announces Changes to Board of Directors and Senior Management,” </w:t>
      </w:r>
      <w:proofErr w:type="spellStart"/>
      <w:r w:rsidR="00C62FF9" w:rsidRPr="00986894">
        <w:rPr>
          <w:color w:val="000000" w:themeColor="text1"/>
          <w:spacing w:val="-4"/>
        </w:rPr>
        <w:t>Luckin</w:t>
      </w:r>
      <w:proofErr w:type="spellEnd"/>
      <w:r w:rsidR="00C62FF9" w:rsidRPr="00986894">
        <w:rPr>
          <w:color w:val="000000" w:themeColor="text1"/>
          <w:spacing w:val="-4"/>
        </w:rPr>
        <w:t xml:space="preserve"> Coffee </w:t>
      </w:r>
      <w:r w:rsidR="0050172D">
        <w:rPr>
          <w:color w:val="000000" w:themeColor="text1"/>
          <w:spacing w:val="-4"/>
        </w:rPr>
        <w:t>(</w:t>
      </w:r>
      <w:r w:rsidR="005E1622" w:rsidRPr="00986894">
        <w:rPr>
          <w:color w:val="000000" w:themeColor="text1"/>
          <w:spacing w:val="-4"/>
        </w:rPr>
        <w:t>press release</w:t>
      </w:r>
      <w:r w:rsidR="0050172D">
        <w:rPr>
          <w:color w:val="000000" w:themeColor="text1"/>
          <w:spacing w:val="-4"/>
        </w:rPr>
        <w:t>)</w:t>
      </w:r>
      <w:r w:rsidR="005E1622" w:rsidRPr="00986894">
        <w:rPr>
          <w:color w:val="000000" w:themeColor="text1"/>
          <w:spacing w:val="-4"/>
        </w:rPr>
        <w:t>,</w:t>
      </w:r>
      <w:r w:rsidR="0050172D">
        <w:rPr>
          <w:color w:val="000000" w:themeColor="text1"/>
          <w:spacing w:val="-4"/>
        </w:rPr>
        <w:t xml:space="preserve"> </w:t>
      </w:r>
      <w:r w:rsidRPr="00986894">
        <w:rPr>
          <w:color w:val="000000" w:themeColor="text1"/>
          <w:spacing w:val="-4"/>
        </w:rPr>
        <w:t xml:space="preserve">May 12, 2020, accessed August 5, 2020, </w:t>
      </w:r>
      <w:hyperlink r:id="rId27" w:history="1">
        <w:r w:rsidRPr="00986894">
          <w:rPr>
            <w:rStyle w:val="Hyperlink"/>
            <w:color w:val="000000" w:themeColor="text1"/>
            <w:spacing w:val="-4"/>
            <w:u w:val="none"/>
          </w:rPr>
          <w:t>https://investor.luckincoffee.com/news-releases/news-release-details/luckin-coffee-announces-changes-board-directors-and-senior</w:t>
        </w:r>
      </w:hyperlink>
      <w:r w:rsidRPr="00986894">
        <w:rPr>
          <w:color w:val="000000" w:themeColor="text1"/>
          <w:spacing w:val="-4"/>
        </w:rPr>
        <w:t>;</w:t>
      </w:r>
      <w:r w:rsidR="003D40B5" w:rsidRPr="00986894">
        <w:rPr>
          <w:color w:val="000000" w:themeColor="text1"/>
          <w:spacing w:val="-4"/>
        </w:rPr>
        <w:t xml:space="preserve"> </w:t>
      </w:r>
      <w:r w:rsidRPr="00986894">
        <w:rPr>
          <w:color w:val="000000" w:themeColor="text1"/>
          <w:spacing w:val="-4"/>
        </w:rPr>
        <w:t>”</w:t>
      </w:r>
      <w:proofErr w:type="spellStart"/>
      <w:r w:rsidRPr="00986894">
        <w:rPr>
          <w:color w:val="000000" w:themeColor="text1"/>
          <w:spacing w:val="-4"/>
        </w:rPr>
        <w:t>Luckin</w:t>
      </w:r>
      <w:proofErr w:type="spellEnd"/>
      <w:r w:rsidRPr="00986894">
        <w:rPr>
          <w:color w:val="000000" w:themeColor="text1"/>
          <w:spacing w:val="-4"/>
        </w:rPr>
        <w:t xml:space="preserve"> Coffee R</w:t>
      </w:r>
      <w:r w:rsidR="003D40B5" w:rsidRPr="00986894">
        <w:rPr>
          <w:color w:val="000000" w:themeColor="text1"/>
          <w:spacing w:val="-4"/>
        </w:rPr>
        <w:t>e</w:t>
      </w:r>
      <w:r w:rsidRPr="00986894">
        <w:rPr>
          <w:color w:val="000000" w:themeColor="text1"/>
          <w:spacing w:val="-4"/>
        </w:rPr>
        <w:t>cei</w:t>
      </w:r>
      <w:r w:rsidR="003D40B5" w:rsidRPr="00986894">
        <w:rPr>
          <w:color w:val="000000" w:themeColor="text1"/>
          <w:spacing w:val="-4"/>
        </w:rPr>
        <w:t>v</w:t>
      </w:r>
      <w:r w:rsidRPr="00986894">
        <w:rPr>
          <w:color w:val="000000" w:themeColor="text1"/>
          <w:spacing w:val="-4"/>
        </w:rPr>
        <w:t xml:space="preserve">ed Notification from Mr. </w:t>
      </w:r>
      <w:proofErr w:type="spellStart"/>
      <w:r w:rsidRPr="00986894">
        <w:rPr>
          <w:color w:val="000000" w:themeColor="text1"/>
          <w:spacing w:val="-4"/>
        </w:rPr>
        <w:t>Tianruo</w:t>
      </w:r>
      <w:proofErr w:type="spellEnd"/>
      <w:r w:rsidRPr="00986894">
        <w:rPr>
          <w:color w:val="000000" w:themeColor="text1"/>
          <w:spacing w:val="-4"/>
        </w:rPr>
        <w:t xml:space="preserve"> </w:t>
      </w:r>
      <w:r w:rsidR="006F547B" w:rsidRPr="00986894">
        <w:rPr>
          <w:color w:val="000000" w:themeColor="text1"/>
          <w:spacing w:val="-4"/>
        </w:rPr>
        <w:t xml:space="preserve">Pu </w:t>
      </w:r>
      <w:r w:rsidRPr="00986894">
        <w:rPr>
          <w:color w:val="000000" w:themeColor="text1"/>
          <w:spacing w:val="-4"/>
        </w:rPr>
        <w:t xml:space="preserve">of His Resignation as </w:t>
      </w:r>
      <w:r w:rsidR="006F547B" w:rsidRPr="00986894">
        <w:rPr>
          <w:color w:val="000000" w:themeColor="text1"/>
          <w:spacing w:val="-4"/>
        </w:rPr>
        <w:t xml:space="preserve">an </w:t>
      </w:r>
      <w:r w:rsidRPr="00986894">
        <w:rPr>
          <w:color w:val="000000" w:themeColor="text1"/>
          <w:spacing w:val="-4"/>
        </w:rPr>
        <w:t xml:space="preserve">Independent Director,” </w:t>
      </w:r>
      <w:proofErr w:type="spellStart"/>
      <w:r w:rsidR="00C62FF9" w:rsidRPr="00986894">
        <w:rPr>
          <w:color w:val="000000" w:themeColor="text1"/>
          <w:spacing w:val="-4"/>
        </w:rPr>
        <w:t>Luckin</w:t>
      </w:r>
      <w:proofErr w:type="spellEnd"/>
      <w:r w:rsidR="00C62FF9" w:rsidRPr="00986894">
        <w:rPr>
          <w:color w:val="000000" w:themeColor="text1"/>
          <w:spacing w:val="-4"/>
        </w:rPr>
        <w:t xml:space="preserve"> Coffee </w:t>
      </w:r>
      <w:r w:rsidR="0050172D">
        <w:rPr>
          <w:color w:val="000000" w:themeColor="text1"/>
          <w:spacing w:val="-4"/>
        </w:rPr>
        <w:t>(</w:t>
      </w:r>
      <w:r w:rsidR="005E1622" w:rsidRPr="00986894">
        <w:rPr>
          <w:color w:val="000000" w:themeColor="text1"/>
          <w:spacing w:val="-4"/>
        </w:rPr>
        <w:t>press release</w:t>
      </w:r>
      <w:r w:rsidR="0050172D">
        <w:rPr>
          <w:color w:val="000000" w:themeColor="text1"/>
          <w:spacing w:val="-4"/>
        </w:rPr>
        <w:t>)</w:t>
      </w:r>
      <w:r w:rsidR="005E1622" w:rsidRPr="00986894">
        <w:rPr>
          <w:color w:val="000000" w:themeColor="text1"/>
          <w:spacing w:val="-4"/>
        </w:rPr>
        <w:t>,</w:t>
      </w:r>
      <w:r w:rsidRPr="00986894">
        <w:rPr>
          <w:color w:val="000000" w:themeColor="text1"/>
          <w:spacing w:val="-4"/>
        </w:rPr>
        <w:t xml:space="preserve"> June 19, 2020, accessed August 5, 2020, </w:t>
      </w:r>
      <w:hyperlink r:id="rId28" w:history="1">
        <w:r w:rsidRPr="00986894">
          <w:rPr>
            <w:rStyle w:val="Hyperlink"/>
            <w:color w:val="000000" w:themeColor="text1"/>
            <w:spacing w:val="-4"/>
            <w:u w:val="none"/>
          </w:rPr>
          <w:t>https://investor.luckincoffee.com/news-releases/news-release-details/luckin-coffee-received-notification-mr-tianruo-pu-his</w:t>
        </w:r>
      </w:hyperlink>
      <w:r w:rsidRPr="00986894">
        <w:rPr>
          <w:color w:val="000000" w:themeColor="text1"/>
          <w:spacing w:val="-4"/>
        </w:rPr>
        <w:t xml:space="preserve">; </w:t>
      </w:r>
      <w:r w:rsidR="006F547B" w:rsidRPr="00986894">
        <w:rPr>
          <w:color w:val="000000" w:themeColor="text1"/>
          <w:spacing w:val="-4"/>
        </w:rPr>
        <w:t>“</w:t>
      </w:r>
      <w:proofErr w:type="spellStart"/>
      <w:r w:rsidRPr="00986894">
        <w:rPr>
          <w:color w:val="000000" w:themeColor="text1"/>
          <w:spacing w:val="-4"/>
        </w:rPr>
        <w:t>Luckin</w:t>
      </w:r>
      <w:proofErr w:type="spellEnd"/>
      <w:r w:rsidRPr="00986894">
        <w:rPr>
          <w:color w:val="000000" w:themeColor="text1"/>
          <w:spacing w:val="-4"/>
        </w:rPr>
        <w:t xml:space="preserve"> Coffee Announces Changes to Board of Directors and the Appointment of a New Chairman,” </w:t>
      </w:r>
      <w:proofErr w:type="spellStart"/>
      <w:r w:rsidR="00C62FF9" w:rsidRPr="00986894">
        <w:rPr>
          <w:color w:val="000000" w:themeColor="text1"/>
          <w:spacing w:val="-4"/>
        </w:rPr>
        <w:t>Luckin</w:t>
      </w:r>
      <w:proofErr w:type="spellEnd"/>
      <w:r w:rsidR="00C62FF9" w:rsidRPr="00986894">
        <w:rPr>
          <w:color w:val="000000" w:themeColor="text1"/>
          <w:spacing w:val="-4"/>
        </w:rPr>
        <w:t xml:space="preserve"> Coffee </w:t>
      </w:r>
      <w:r w:rsidR="0050172D">
        <w:rPr>
          <w:color w:val="000000" w:themeColor="text1"/>
          <w:spacing w:val="-4"/>
        </w:rPr>
        <w:t>(</w:t>
      </w:r>
      <w:r w:rsidR="005E1622" w:rsidRPr="00986894">
        <w:rPr>
          <w:color w:val="000000" w:themeColor="text1"/>
          <w:spacing w:val="-4"/>
        </w:rPr>
        <w:t>press release</w:t>
      </w:r>
      <w:r w:rsidR="0050172D">
        <w:rPr>
          <w:color w:val="000000" w:themeColor="text1"/>
          <w:spacing w:val="-4"/>
        </w:rPr>
        <w:t>)</w:t>
      </w:r>
      <w:r w:rsidR="005E1622" w:rsidRPr="00986894">
        <w:rPr>
          <w:color w:val="000000" w:themeColor="text1"/>
          <w:spacing w:val="-4"/>
        </w:rPr>
        <w:t>,</w:t>
      </w:r>
      <w:r w:rsidRPr="00986894">
        <w:rPr>
          <w:color w:val="000000" w:themeColor="text1"/>
          <w:spacing w:val="-4"/>
        </w:rPr>
        <w:t xml:space="preserve"> July 13, 2020, accessed August 5, 2020, </w:t>
      </w:r>
      <w:hyperlink r:id="rId29" w:history="1">
        <w:r w:rsidRPr="00986894">
          <w:rPr>
            <w:rStyle w:val="Hyperlink"/>
            <w:color w:val="000000" w:themeColor="text1"/>
            <w:spacing w:val="-4"/>
            <w:u w:val="none"/>
          </w:rPr>
          <w:t>https://investor.luckincoffee.com/news-releases/news-release-details/luckin-coffee-announces-changes-board-directors-and-appointment</w:t>
        </w:r>
      </w:hyperlink>
      <w:r w:rsidRPr="00986894">
        <w:rPr>
          <w:color w:val="000000" w:themeColor="text1"/>
          <w:spacing w:val="-4"/>
        </w:rPr>
        <w:t xml:space="preserve">; </w:t>
      </w:r>
      <w:r w:rsidR="006F547B" w:rsidRPr="00986894">
        <w:rPr>
          <w:color w:val="000000" w:themeColor="text1"/>
          <w:spacing w:val="-4"/>
        </w:rPr>
        <w:t>“</w:t>
      </w:r>
      <w:proofErr w:type="spellStart"/>
      <w:r w:rsidRPr="00986894">
        <w:rPr>
          <w:color w:val="000000" w:themeColor="text1"/>
          <w:spacing w:val="-4"/>
        </w:rPr>
        <w:t>Luckin</w:t>
      </w:r>
      <w:proofErr w:type="spellEnd"/>
      <w:r w:rsidRPr="00986894">
        <w:rPr>
          <w:color w:val="000000" w:themeColor="text1"/>
          <w:spacing w:val="-4"/>
        </w:rPr>
        <w:t xml:space="preserve"> Coffee Received Notifications from Ms. </w:t>
      </w:r>
      <w:proofErr w:type="spellStart"/>
      <w:r w:rsidRPr="00986894">
        <w:rPr>
          <w:color w:val="000000" w:themeColor="text1"/>
          <w:spacing w:val="-4"/>
        </w:rPr>
        <w:t>Jie</w:t>
      </w:r>
      <w:proofErr w:type="spellEnd"/>
      <w:r w:rsidRPr="00986894">
        <w:rPr>
          <w:color w:val="000000" w:themeColor="text1"/>
          <w:spacing w:val="-4"/>
        </w:rPr>
        <w:t xml:space="preserve"> Yang and Ms. Ying Zeng of </w:t>
      </w:r>
      <w:r w:rsidR="006F547B" w:rsidRPr="00986894">
        <w:rPr>
          <w:color w:val="000000" w:themeColor="text1"/>
          <w:spacing w:val="-4"/>
        </w:rPr>
        <w:t>t</w:t>
      </w:r>
      <w:r w:rsidRPr="00986894">
        <w:rPr>
          <w:color w:val="000000" w:themeColor="text1"/>
          <w:spacing w:val="-4"/>
        </w:rPr>
        <w:t xml:space="preserve">heir Resignations from the Board, Effective Immediately,” </w:t>
      </w:r>
      <w:proofErr w:type="spellStart"/>
      <w:r w:rsidR="00C62FF9" w:rsidRPr="00986894">
        <w:rPr>
          <w:color w:val="000000" w:themeColor="text1"/>
          <w:spacing w:val="-4"/>
        </w:rPr>
        <w:t>Luckin</w:t>
      </w:r>
      <w:proofErr w:type="spellEnd"/>
      <w:r w:rsidR="00C62FF9" w:rsidRPr="00986894">
        <w:rPr>
          <w:color w:val="000000" w:themeColor="text1"/>
          <w:spacing w:val="-4"/>
        </w:rPr>
        <w:t xml:space="preserve"> Coffee </w:t>
      </w:r>
      <w:r w:rsidR="0050172D">
        <w:rPr>
          <w:color w:val="000000" w:themeColor="text1"/>
          <w:spacing w:val="-4"/>
        </w:rPr>
        <w:t>(</w:t>
      </w:r>
      <w:r w:rsidR="005E1622" w:rsidRPr="00986894">
        <w:rPr>
          <w:color w:val="000000" w:themeColor="text1"/>
          <w:spacing w:val="-4"/>
        </w:rPr>
        <w:t>press release</w:t>
      </w:r>
      <w:r w:rsidR="0050172D">
        <w:rPr>
          <w:color w:val="000000" w:themeColor="text1"/>
          <w:spacing w:val="-4"/>
        </w:rPr>
        <w:t>)</w:t>
      </w:r>
      <w:r w:rsidR="005E1622" w:rsidRPr="00986894">
        <w:rPr>
          <w:color w:val="000000" w:themeColor="text1"/>
          <w:spacing w:val="-4"/>
        </w:rPr>
        <w:t>,</w:t>
      </w:r>
      <w:r w:rsidR="00A557AE" w:rsidRPr="00986894">
        <w:rPr>
          <w:color w:val="000000" w:themeColor="text1"/>
          <w:spacing w:val="-4"/>
        </w:rPr>
        <w:t xml:space="preserve"> August 3</w:t>
      </w:r>
      <w:r w:rsidRPr="00986894">
        <w:rPr>
          <w:color w:val="000000" w:themeColor="text1"/>
          <w:spacing w:val="-4"/>
        </w:rPr>
        <w:t xml:space="preserve">, 2020, accessed August 5, 2020, </w:t>
      </w:r>
      <w:r w:rsidR="00A557AE" w:rsidRPr="00986894">
        <w:rPr>
          <w:color w:val="000000" w:themeColor="text1"/>
          <w:spacing w:val="-4"/>
        </w:rPr>
        <w:t>https://investor.luckincoffee.com/news-releases/news-release-details/luckin-coffee-received-notifications-ms-jie-yang-and-ms-ying</w:t>
      </w:r>
      <w:r w:rsidR="006F547B" w:rsidRPr="00986894">
        <w:rPr>
          <w:color w:val="000000" w:themeColor="text1"/>
          <w:spacing w:val="-4"/>
        </w:rPr>
        <w:t>.</w:t>
      </w:r>
    </w:p>
    <w:p w14:paraId="76F7918A" w14:textId="77777777" w:rsidR="00511AC9" w:rsidRPr="00986894" w:rsidRDefault="00511AC9" w:rsidP="00621208">
      <w:pPr>
        <w:pStyle w:val="Footnote"/>
        <w:rPr>
          <w:color w:val="000000" w:themeColor="text1"/>
        </w:rPr>
      </w:pPr>
    </w:p>
    <w:p w14:paraId="12975FD5" w14:textId="686A4D19" w:rsidR="001B0F01" w:rsidRPr="00986894" w:rsidRDefault="001B0F01" w:rsidP="00621208">
      <w:pPr>
        <w:spacing w:after="200" w:line="276" w:lineRule="auto"/>
        <w:rPr>
          <w:rFonts w:ascii="Arial" w:hAnsi="Arial" w:cs="Arial"/>
          <w:sz w:val="17"/>
          <w:szCs w:val="17"/>
          <w:lang w:val="en-GB"/>
        </w:rPr>
      </w:pPr>
      <w:r w:rsidRPr="00986894">
        <w:rPr>
          <w:rFonts w:ascii="Arial" w:hAnsi="Arial" w:cs="Arial"/>
          <w:sz w:val="17"/>
          <w:szCs w:val="17"/>
          <w:lang w:val="en-GB"/>
        </w:rPr>
        <w:br w:type="page"/>
      </w:r>
    </w:p>
    <w:p w14:paraId="24100B37" w14:textId="5D6ED189" w:rsidR="00B9644C" w:rsidRPr="00986894" w:rsidRDefault="00B9644C" w:rsidP="00621208">
      <w:pPr>
        <w:pStyle w:val="ExhibitHeading"/>
      </w:pPr>
      <w:r w:rsidRPr="00986894">
        <w:lastRenderedPageBreak/>
        <w:t>EXHIBIT</w:t>
      </w:r>
      <w:r w:rsidR="002F5BA6">
        <w:t xml:space="preserve"> </w:t>
      </w:r>
      <w:r w:rsidRPr="00986894">
        <w:t xml:space="preserve">11: </w:t>
      </w:r>
      <w:r w:rsidR="00C76C82" w:rsidRPr="00986894">
        <w:t xml:space="preserve">LUCKIN COFFEE INC.—PERCENTAGE </w:t>
      </w:r>
      <w:r w:rsidRPr="00986894">
        <w:t>COrporate valuation</w:t>
      </w:r>
    </w:p>
    <w:p w14:paraId="168B0849" w14:textId="77777777" w:rsidR="00B9644C" w:rsidRPr="00986894" w:rsidRDefault="00B9644C" w:rsidP="00621208">
      <w:pPr>
        <w:pStyle w:val="ExhibitHeading"/>
      </w:pPr>
      <w:r w:rsidRPr="00986894">
        <w:t>(in US$ billion)</w:t>
      </w:r>
    </w:p>
    <w:p w14:paraId="6EC9A10C" w14:textId="77777777" w:rsidR="00B9644C" w:rsidRPr="00986894" w:rsidRDefault="00B9644C" w:rsidP="00621208">
      <w:pPr>
        <w:pStyle w:val="Footnote"/>
      </w:pPr>
    </w:p>
    <w:p w14:paraId="483442F8" w14:textId="77777777" w:rsidR="00B9644C" w:rsidRPr="00986894" w:rsidRDefault="00B9644C" w:rsidP="00621208">
      <w:pPr>
        <w:pStyle w:val="Footnote"/>
      </w:pPr>
      <w:r w:rsidRPr="00986894">
        <w:rPr>
          <w:noProof/>
          <w:lang w:val="en-CA" w:eastAsia="en-CA"/>
        </w:rPr>
        <w:drawing>
          <wp:inline distT="0" distB="0" distL="0" distR="0" wp14:anchorId="6B70186D" wp14:editId="00085874">
            <wp:extent cx="5778500" cy="1574800"/>
            <wp:effectExtent l="0" t="0" r="12700" b="6350"/>
            <wp:docPr id="3" name="Chart 3" descr="Graph depicting the percentage corporation valuation of Luckin Coffee Inc. in US billion.">
              <a:extLst xmlns:a="http://schemas.openxmlformats.org/drawingml/2006/main">
                <a:ext uri="{FF2B5EF4-FFF2-40B4-BE49-F238E27FC236}">
                  <a16:creationId xmlns:a16="http://schemas.microsoft.com/office/drawing/2014/main" id="{18534663-F9A0-4582-AA10-AAF5C9120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CF0ABC" w14:textId="77777777" w:rsidR="001B0F01" w:rsidRPr="00986894" w:rsidRDefault="001B0F01" w:rsidP="00621208">
      <w:pPr>
        <w:pStyle w:val="Footnote"/>
        <w:rPr>
          <w:spacing w:val="-4"/>
        </w:rPr>
      </w:pPr>
    </w:p>
    <w:p w14:paraId="17F9F671" w14:textId="2B7D1A80" w:rsidR="00B9644C" w:rsidRPr="00986894" w:rsidRDefault="00B9644C" w:rsidP="00621208">
      <w:pPr>
        <w:pStyle w:val="Footnote"/>
        <w:rPr>
          <w:spacing w:val="-4"/>
        </w:rPr>
      </w:pPr>
      <w:r w:rsidRPr="00986894">
        <w:rPr>
          <w:spacing w:val="-4"/>
        </w:rPr>
        <w:t xml:space="preserve">Source: Developed by </w:t>
      </w:r>
      <w:r w:rsidR="006F547B" w:rsidRPr="00986894">
        <w:rPr>
          <w:spacing w:val="-4"/>
        </w:rPr>
        <w:t xml:space="preserve">case </w:t>
      </w:r>
      <w:r w:rsidRPr="00986894">
        <w:rPr>
          <w:spacing w:val="-4"/>
        </w:rPr>
        <w:t>author</w:t>
      </w:r>
      <w:r w:rsidR="006F547B" w:rsidRPr="00986894">
        <w:rPr>
          <w:spacing w:val="-4"/>
        </w:rPr>
        <w:t xml:space="preserve"> with </w:t>
      </w:r>
      <w:r w:rsidRPr="00986894">
        <w:rPr>
          <w:spacing w:val="-4"/>
        </w:rPr>
        <w:t>data from</w:t>
      </w:r>
      <w:r w:rsidR="00163522" w:rsidRPr="00986894">
        <w:rPr>
          <w:spacing w:val="-4"/>
        </w:rPr>
        <w:t xml:space="preserve"> Alex Fang, “China’s </w:t>
      </w:r>
      <w:proofErr w:type="spellStart"/>
      <w:r w:rsidR="00163522" w:rsidRPr="00986894">
        <w:rPr>
          <w:spacing w:val="-4"/>
        </w:rPr>
        <w:t>Luckin</w:t>
      </w:r>
      <w:proofErr w:type="spellEnd"/>
      <w:r w:rsidR="00163522" w:rsidRPr="00986894">
        <w:rPr>
          <w:spacing w:val="-4"/>
        </w:rPr>
        <w:t xml:space="preserve"> Coffee Adds $150M to War Chest Aided by BlackRock,” </w:t>
      </w:r>
      <w:r w:rsidR="00163522" w:rsidRPr="00986894">
        <w:rPr>
          <w:i/>
          <w:spacing w:val="-4"/>
        </w:rPr>
        <w:t>Nikkei Asian,</w:t>
      </w:r>
      <w:r w:rsidR="00163522" w:rsidRPr="00986894">
        <w:rPr>
          <w:spacing w:val="-4"/>
        </w:rPr>
        <w:t xml:space="preserve"> April 19, 2019, accessed June 5,</w:t>
      </w:r>
      <w:r w:rsidR="00163522" w:rsidRPr="00986894">
        <w:rPr>
          <w:color w:val="000000" w:themeColor="text1"/>
          <w:spacing w:val="-4"/>
        </w:rPr>
        <w:t xml:space="preserve"> 2020, </w:t>
      </w:r>
      <w:hyperlink r:id="rId31" w:history="1">
        <w:r w:rsidR="00163522" w:rsidRPr="00986894">
          <w:rPr>
            <w:rStyle w:val="Hyperlink"/>
            <w:color w:val="000000" w:themeColor="text1"/>
            <w:spacing w:val="-4"/>
            <w:u w:val="none"/>
          </w:rPr>
          <w:t>https://asia.nikkei.com/Business/Startups/China-s-Luckin-Coffee-adds-150m-to-war-chest-aided-by-BlackRock</w:t>
        </w:r>
      </w:hyperlink>
      <w:r w:rsidR="00163522" w:rsidRPr="00986894">
        <w:rPr>
          <w:color w:val="000000" w:themeColor="text1"/>
          <w:spacing w:val="-4"/>
        </w:rPr>
        <w:t xml:space="preserve">; </w:t>
      </w:r>
      <w:r w:rsidR="00780EDD" w:rsidRPr="00986894">
        <w:rPr>
          <w:color w:val="000000" w:themeColor="text1"/>
          <w:spacing w:val="-4"/>
        </w:rPr>
        <w:t xml:space="preserve">Alex Fang, “China’s </w:t>
      </w:r>
      <w:proofErr w:type="spellStart"/>
      <w:r w:rsidR="00780EDD" w:rsidRPr="00986894">
        <w:rPr>
          <w:color w:val="000000" w:themeColor="text1"/>
          <w:spacing w:val="-4"/>
        </w:rPr>
        <w:t>Luckin</w:t>
      </w:r>
      <w:proofErr w:type="spellEnd"/>
      <w:r w:rsidR="00780EDD" w:rsidRPr="00986894">
        <w:rPr>
          <w:color w:val="000000" w:themeColor="text1"/>
          <w:spacing w:val="-4"/>
        </w:rPr>
        <w:t xml:space="preserve"> Coffee Faked $310m in Sales, in In-House Probe Finds,” </w:t>
      </w:r>
      <w:r w:rsidR="00780EDD" w:rsidRPr="00986894">
        <w:rPr>
          <w:i/>
          <w:color w:val="000000" w:themeColor="text1"/>
          <w:spacing w:val="-4"/>
        </w:rPr>
        <w:t>Nikkei Asian</w:t>
      </w:r>
      <w:r w:rsidR="00780EDD" w:rsidRPr="00986894">
        <w:rPr>
          <w:color w:val="000000" w:themeColor="text1"/>
          <w:spacing w:val="-4"/>
        </w:rPr>
        <w:t xml:space="preserve">, April 3, 2020, accessed June 5, 2020, </w:t>
      </w:r>
      <w:hyperlink r:id="rId32" w:history="1">
        <w:r w:rsidR="00780EDD" w:rsidRPr="00986894">
          <w:rPr>
            <w:rStyle w:val="Hyperlink"/>
            <w:color w:val="000000" w:themeColor="text1"/>
            <w:spacing w:val="-4"/>
            <w:u w:val="none"/>
          </w:rPr>
          <w:t>https://asia.nikkei.com/Business/Markets/China-s-Luckin-Coffee-faked-310m-in-sales-in-house-probe-finds</w:t>
        </w:r>
      </w:hyperlink>
      <w:r w:rsidR="00780EDD" w:rsidRPr="00986894">
        <w:rPr>
          <w:color w:val="000000" w:themeColor="text1"/>
          <w:spacing w:val="-4"/>
        </w:rPr>
        <w:t xml:space="preserve">; </w:t>
      </w:r>
      <w:r w:rsidR="00163522" w:rsidRPr="00986894">
        <w:rPr>
          <w:color w:val="000000" w:themeColor="text1"/>
          <w:spacing w:val="-4"/>
        </w:rPr>
        <w:t>Alyssa Perez, “</w:t>
      </w:r>
      <w:proofErr w:type="spellStart"/>
      <w:r w:rsidR="00163522" w:rsidRPr="00986894">
        <w:rPr>
          <w:color w:val="000000" w:themeColor="text1"/>
          <w:spacing w:val="-4"/>
        </w:rPr>
        <w:t>Luckin</w:t>
      </w:r>
      <w:proofErr w:type="spellEnd"/>
      <w:r w:rsidR="00163522" w:rsidRPr="00986894">
        <w:rPr>
          <w:color w:val="000000" w:themeColor="text1"/>
          <w:spacing w:val="-4"/>
        </w:rPr>
        <w:t xml:space="preserve"> Coffee</w:t>
      </w:r>
      <w:r w:rsidR="006B0899">
        <w:rPr>
          <w:color w:val="000000" w:themeColor="text1"/>
          <w:spacing w:val="-4"/>
        </w:rPr>
        <w:t xml:space="preserve"> vs. Starbucks</w:t>
      </w:r>
      <w:r w:rsidR="00163522" w:rsidRPr="00986894">
        <w:rPr>
          <w:color w:val="000000" w:themeColor="text1"/>
          <w:spacing w:val="-4"/>
        </w:rPr>
        <w:t xml:space="preserve">: China’s Newest Unicorn is Challenging Starbucks Market Stranglehold,” </w:t>
      </w:r>
      <w:r w:rsidR="00163522" w:rsidRPr="00952FE3">
        <w:rPr>
          <w:iCs/>
          <w:color w:val="000000" w:themeColor="text1"/>
          <w:spacing w:val="-4"/>
        </w:rPr>
        <w:t>Radii ,</w:t>
      </w:r>
      <w:r w:rsidR="00163522" w:rsidRPr="00986894">
        <w:rPr>
          <w:color w:val="000000" w:themeColor="text1"/>
          <w:spacing w:val="-4"/>
        </w:rPr>
        <w:t xml:space="preserve"> July 26, 2018, accessed June 5, 2020, </w:t>
      </w:r>
      <w:hyperlink r:id="rId33" w:history="1">
        <w:r w:rsidR="00163522" w:rsidRPr="00986894">
          <w:rPr>
            <w:rStyle w:val="Hyperlink"/>
            <w:color w:val="000000" w:themeColor="text1"/>
            <w:spacing w:val="-4"/>
            <w:u w:val="none"/>
          </w:rPr>
          <w:t>https://radiichina.com/luckin-coffee-chinas-newest-unicorn-is-challenging-starbucks-market-stranglehold/</w:t>
        </w:r>
      </w:hyperlink>
      <w:r w:rsidR="00163522" w:rsidRPr="00986894">
        <w:rPr>
          <w:color w:val="000000" w:themeColor="text1"/>
          <w:spacing w:val="-4"/>
        </w:rPr>
        <w:t xml:space="preserve">; </w:t>
      </w:r>
      <w:r w:rsidR="00780EDD" w:rsidRPr="00986894">
        <w:rPr>
          <w:color w:val="000000" w:themeColor="text1"/>
          <w:spacing w:val="-4"/>
        </w:rPr>
        <w:t xml:space="preserve">Ryder </w:t>
      </w:r>
      <w:proofErr w:type="spellStart"/>
      <w:r w:rsidR="00780EDD" w:rsidRPr="00986894">
        <w:rPr>
          <w:color w:val="000000" w:themeColor="text1"/>
          <w:spacing w:val="-4"/>
        </w:rPr>
        <w:t>Seamons</w:t>
      </w:r>
      <w:proofErr w:type="spellEnd"/>
      <w:r w:rsidR="00780EDD" w:rsidRPr="00986894">
        <w:rPr>
          <w:color w:val="000000" w:themeColor="text1"/>
          <w:spacing w:val="-4"/>
        </w:rPr>
        <w:t>, “Investing in Chinese Companies is Un-</w:t>
      </w:r>
      <w:proofErr w:type="spellStart"/>
      <w:r w:rsidR="00780EDD" w:rsidRPr="00986894">
        <w:rPr>
          <w:color w:val="000000" w:themeColor="text1"/>
          <w:spacing w:val="-4"/>
        </w:rPr>
        <w:t>Luckin</w:t>
      </w:r>
      <w:proofErr w:type="spellEnd"/>
      <w:r w:rsidR="00780EDD" w:rsidRPr="00986894">
        <w:rPr>
          <w:color w:val="000000" w:themeColor="text1"/>
          <w:spacing w:val="-4"/>
        </w:rPr>
        <w:t xml:space="preserve">,” </w:t>
      </w:r>
      <w:r w:rsidR="00780EDD" w:rsidRPr="00986894">
        <w:rPr>
          <w:i/>
          <w:iCs/>
          <w:color w:val="000000" w:themeColor="text1"/>
          <w:spacing w:val="-4"/>
        </w:rPr>
        <w:t>China Law Blog,</w:t>
      </w:r>
      <w:r w:rsidR="00780EDD" w:rsidRPr="00986894">
        <w:rPr>
          <w:color w:val="000000" w:themeColor="text1"/>
          <w:spacing w:val="-4"/>
        </w:rPr>
        <w:t xml:space="preserve"> July 11, 2020, accessed August 3, 2020, </w:t>
      </w:r>
      <w:hyperlink r:id="rId34" w:history="1">
        <w:r w:rsidR="00780EDD" w:rsidRPr="00986894">
          <w:rPr>
            <w:rStyle w:val="Hyperlink"/>
            <w:color w:val="000000" w:themeColor="text1"/>
            <w:spacing w:val="-4"/>
            <w:u w:val="none"/>
          </w:rPr>
          <w:t>www.chinalawblog.com/2020/07/investing-in-chinese-companies-is-un-luckin.html</w:t>
        </w:r>
      </w:hyperlink>
      <w:r w:rsidR="00780EDD" w:rsidRPr="00986894">
        <w:rPr>
          <w:color w:val="000000" w:themeColor="text1"/>
          <w:spacing w:val="-4"/>
        </w:rPr>
        <w:t xml:space="preserve">; </w:t>
      </w:r>
      <w:bookmarkStart w:id="26" w:name="_Hlk49267080"/>
      <w:r w:rsidR="00163522" w:rsidRPr="00986894">
        <w:rPr>
          <w:color w:val="000000" w:themeColor="text1"/>
          <w:spacing w:val="-4"/>
        </w:rPr>
        <w:t xml:space="preserve">Julie Zhu and Zoey Zhang, “China Probes Alleged Fraud at </w:t>
      </w:r>
      <w:proofErr w:type="spellStart"/>
      <w:r w:rsidR="00163522" w:rsidRPr="00986894">
        <w:rPr>
          <w:color w:val="000000" w:themeColor="text1"/>
          <w:spacing w:val="-4"/>
        </w:rPr>
        <w:t>Luckin</w:t>
      </w:r>
      <w:proofErr w:type="spellEnd"/>
      <w:r w:rsidR="00163522" w:rsidRPr="00986894">
        <w:rPr>
          <w:color w:val="000000" w:themeColor="text1"/>
          <w:spacing w:val="-4"/>
        </w:rPr>
        <w:t xml:space="preserve"> Coffee, Banks Review IPO Work,” </w:t>
      </w:r>
      <w:r w:rsidR="00163522" w:rsidRPr="00952FE3">
        <w:rPr>
          <w:color w:val="000000" w:themeColor="text1"/>
          <w:spacing w:val="-4"/>
        </w:rPr>
        <w:t>Reuters</w:t>
      </w:r>
      <w:r w:rsidR="00163522" w:rsidRPr="00986894">
        <w:rPr>
          <w:color w:val="000000" w:themeColor="text1"/>
          <w:spacing w:val="-4"/>
        </w:rPr>
        <w:t>, April 3, 2020, accessed July 18, 2020, www.reuters.com/article/us-china-regulator-luckin/china-probes-alleged-fraud-at-luckin-coffee-banks-review-ipo-work-idUSKBN21L0R9</w:t>
      </w:r>
      <w:bookmarkEnd w:id="26"/>
      <w:r w:rsidR="006F547B" w:rsidRPr="00986894">
        <w:rPr>
          <w:color w:val="000000" w:themeColor="text1"/>
          <w:spacing w:val="-4"/>
        </w:rPr>
        <w:t>.</w:t>
      </w:r>
    </w:p>
    <w:p w14:paraId="1BE8D9ED" w14:textId="413AFFAF" w:rsidR="00E54A72" w:rsidRPr="00986894" w:rsidRDefault="00E54A72" w:rsidP="00621208">
      <w:pPr>
        <w:pStyle w:val="Footnote"/>
      </w:pPr>
    </w:p>
    <w:p w14:paraId="71971470" w14:textId="2FE3CCA9" w:rsidR="0034378A" w:rsidRPr="00986894" w:rsidRDefault="0034378A" w:rsidP="00621208">
      <w:pPr>
        <w:pStyle w:val="ExhibitHeading"/>
      </w:pPr>
      <w:r w:rsidRPr="00986894">
        <w:t xml:space="preserve">EXHIBIT </w:t>
      </w:r>
      <w:r w:rsidR="00B9644C" w:rsidRPr="00986894">
        <w:t>12</w:t>
      </w:r>
      <w:r w:rsidRPr="00986894">
        <w:t xml:space="preserve">: </w:t>
      </w:r>
      <w:r w:rsidR="00C76C82" w:rsidRPr="00986894">
        <w:t xml:space="preserve">LUCKIN COFFEE INC.—PERCENTAGE </w:t>
      </w:r>
      <w:r w:rsidR="00B9644C" w:rsidRPr="00986894">
        <w:t>balance sheet</w:t>
      </w:r>
      <w:r w:rsidRPr="00986894">
        <w:t xml:space="preserve"> as AT end of quarter </w:t>
      </w:r>
    </w:p>
    <w:p w14:paraId="4BF7FC1B" w14:textId="6A9912C1" w:rsidR="0034378A" w:rsidRPr="00986894" w:rsidRDefault="0034378A" w:rsidP="00621208">
      <w:pPr>
        <w:pStyle w:val="ExhibitHeading"/>
      </w:pPr>
      <w:r w:rsidRPr="00986894">
        <w:t xml:space="preserve">(IN </w:t>
      </w:r>
      <w:r w:rsidR="006F547B" w:rsidRPr="00986894">
        <w:t xml:space="preserve">¥ </w:t>
      </w:r>
      <w:r w:rsidRPr="00986894">
        <w:t>THOUSANDS)</w:t>
      </w:r>
    </w:p>
    <w:p w14:paraId="038F758C" w14:textId="77777777" w:rsidR="0034378A" w:rsidRPr="00986894" w:rsidRDefault="0034378A" w:rsidP="00621208">
      <w:pPr>
        <w:pStyle w:val="Footnote"/>
      </w:pPr>
    </w:p>
    <w:tbl>
      <w:tblPr>
        <w:tblStyle w:val="TableGrid"/>
        <w:tblW w:w="9302" w:type="dxa"/>
        <w:tblLayout w:type="fixed"/>
        <w:tblLook w:val="04A0" w:firstRow="1" w:lastRow="0" w:firstColumn="1" w:lastColumn="0" w:noHBand="0" w:noVBand="1"/>
        <w:tblCaption w:val="Exhibit 12"/>
        <w:tblDescription w:val="Percentage balance sheet as at end of quarter from 2017 to 2019."/>
      </w:tblPr>
      <w:tblGrid>
        <w:gridCol w:w="2155"/>
        <w:gridCol w:w="946"/>
        <w:gridCol w:w="680"/>
        <w:gridCol w:w="680"/>
        <w:gridCol w:w="680"/>
        <w:gridCol w:w="1032"/>
        <w:gridCol w:w="975"/>
        <w:gridCol w:w="1077"/>
        <w:gridCol w:w="1077"/>
      </w:tblGrid>
      <w:tr w:rsidR="003A4146" w:rsidRPr="00986894" w14:paraId="5B8E1968" w14:textId="77777777" w:rsidTr="001454EC">
        <w:trPr>
          <w:tblHeader/>
        </w:trPr>
        <w:tc>
          <w:tcPr>
            <w:tcW w:w="2155" w:type="dxa"/>
          </w:tcPr>
          <w:p w14:paraId="319D3841" w14:textId="77777777" w:rsidR="0034378A" w:rsidRPr="00952FE3" w:rsidRDefault="0034378A" w:rsidP="00794B0B">
            <w:pPr>
              <w:tabs>
                <w:tab w:val="left" w:pos="6155"/>
              </w:tabs>
              <w:contextualSpacing/>
              <w:jc w:val="center"/>
              <w:rPr>
                <w:rFonts w:ascii="Arial" w:hAnsi="Arial" w:cs="Arial"/>
                <w:b/>
                <w:bCs/>
                <w:lang w:val="en-GB"/>
              </w:rPr>
            </w:pPr>
          </w:p>
        </w:tc>
        <w:tc>
          <w:tcPr>
            <w:tcW w:w="946" w:type="dxa"/>
          </w:tcPr>
          <w:p w14:paraId="7783D885" w14:textId="77777777" w:rsidR="0034378A" w:rsidRPr="00952FE3" w:rsidRDefault="0034378A" w:rsidP="00794B0B">
            <w:pPr>
              <w:tabs>
                <w:tab w:val="left" w:pos="6155"/>
              </w:tabs>
              <w:contextualSpacing/>
              <w:jc w:val="center"/>
              <w:rPr>
                <w:rFonts w:ascii="Arial" w:hAnsi="Arial" w:cs="Arial"/>
                <w:b/>
                <w:bCs/>
                <w:lang w:val="en-GB"/>
              </w:rPr>
            </w:pPr>
            <w:r w:rsidRPr="00952FE3">
              <w:rPr>
                <w:rFonts w:ascii="Arial" w:hAnsi="Arial" w:cs="Arial"/>
                <w:b/>
                <w:bCs/>
                <w:lang w:val="en-GB"/>
              </w:rPr>
              <w:t>Dec</w:t>
            </w:r>
          </w:p>
          <w:p w14:paraId="18166E64" w14:textId="77777777" w:rsidR="0034378A" w:rsidRPr="00952FE3" w:rsidRDefault="0034378A" w:rsidP="00794B0B">
            <w:pPr>
              <w:tabs>
                <w:tab w:val="left" w:pos="6155"/>
              </w:tabs>
              <w:contextualSpacing/>
              <w:jc w:val="center"/>
              <w:rPr>
                <w:rFonts w:ascii="Arial" w:hAnsi="Arial" w:cs="Arial"/>
                <w:b/>
                <w:bCs/>
                <w:lang w:val="en-GB"/>
              </w:rPr>
            </w:pPr>
            <w:r w:rsidRPr="00952FE3">
              <w:rPr>
                <w:rFonts w:ascii="Arial" w:hAnsi="Arial" w:cs="Arial"/>
                <w:b/>
                <w:bCs/>
                <w:lang w:val="en-GB"/>
              </w:rPr>
              <w:t>2017</w:t>
            </w:r>
          </w:p>
        </w:tc>
        <w:tc>
          <w:tcPr>
            <w:tcW w:w="680" w:type="dxa"/>
          </w:tcPr>
          <w:p w14:paraId="2F95A069" w14:textId="77777777" w:rsidR="0034378A" w:rsidRPr="00952FE3" w:rsidRDefault="0034378A" w:rsidP="00794B0B">
            <w:pPr>
              <w:tabs>
                <w:tab w:val="left" w:pos="6155"/>
              </w:tabs>
              <w:contextualSpacing/>
              <w:jc w:val="center"/>
              <w:rPr>
                <w:rFonts w:ascii="Arial" w:hAnsi="Arial" w:cs="Arial"/>
                <w:b/>
                <w:bCs/>
                <w:lang w:val="en-GB"/>
              </w:rPr>
            </w:pPr>
            <w:r w:rsidRPr="00952FE3">
              <w:rPr>
                <w:rFonts w:ascii="Arial" w:hAnsi="Arial" w:cs="Arial"/>
                <w:b/>
                <w:bCs/>
                <w:lang w:val="en-GB"/>
              </w:rPr>
              <w:t>Mar 2018</w:t>
            </w:r>
          </w:p>
        </w:tc>
        <w:tc>
          <w:tcPr>
            <w:tcW w:w="680" w:type="dxa"/>
          </w:tcPr>
          <w:p w14:paraId="1A37AAD2" w14:textId="77777777" w:rsidR="0034378A" w:rsidRPr="00952FE3" w:rsidRDefault="0034378A" w:rsidP="00794B0B">
            <w:pPr>
              <w:tabs>
                <w:tab w:val="left" w:pos="6155"/>
              </w:tabs>
              <w:contextualSpacing/>
              <w:jc w:val="center"/>
              <w:rPr>
                <w:rFonts w:ascii="Arial" w:hAnsi="Arial" w:cs="Arial"/>
                <w:b/>
                <w:bCs/>
                <w:lang w:val="en-GB"/>
              </w:rPr>
            </w:pPr>
            <w:r w:rsidRPr="00952FE3">
              <w:rPr>
                <w:rFonts w:ascii="Arial" w:hAnsi="Arial" w:cs="Arial"/>
                <w:b/>
                <w:bCs/>
                <w:lang w:val="en-GB"/>
              </w:rPr>
              <w:t>Jun 2018</w:t>
            </w:r>
          </w:p>
        </w:tc>
        <w:tc>
          <w:tcPr>
            <w:tcW w:w="680" w:type="dxa"/>
          </w:tcPr>
          <w:p w14:paraId="64A1097D" w14:textId="77777777" w:rsidR="0034378A" w:rsidRPr="00952FE3" w:rsidRDefault="0034378A" w:rsidP="00794B0B">
            <w:pPr>
              <w:tabs>
                <w:tab w:val="left" w:pos="6155"/>
              </w:tabs>
              <w:contextualSpacing/>
              <w:jc w:val="center"/>
              <w:rPr>
                <w:rFonts w:ascii="Arial" w:hAnsi="Arial" w:cs="Arial"/>
                <w:b/>
                <w:bCs/>
                <w:lang w:val="en-GB"/>
              </w:rPr>
            </w:pPr>
            <w:r w:rsidRPr="00952FE3">
              <w:rPr>
                <w:rFonts w:ascii="Arial" w:hAnsi="Arial" w:cs="Arial"/>
                <w:b/>
                <w:bCs/>
                <w:lang w:val="en-GB"/>
              </w:rPr>
              <w:t>Sep 2018</w:t>
            </w:r>
          </w:p>
        </w:tc>
        <w:tc>
          <w:tcPr>
            <w:tcW w:w="1032" w:type="dxa"/>
          </w:tcPr>
          <w:p w14:paraId="10F5DA07" w14:textId="77777777" w:rsidR="0034378A" w:rsidRPr="00952FE3" w:rsidRDefault="0034378A" w:rsidP="00EE6190">
            <w:pPr>
              <w:tabs>
                <w:tab w:val="left" w:pos="6155"/>
              </w:tabs>
              <w:contextualSpacing/>
              <w:jc w:val="center"/>
              <w:rPr>
                <w:rFonts w:ascii="Arial" w:hAnsi="Arial" w:cs="Arial"/>
                <w:b/>
                <w:bCs/>
                <w:lang w:val="en-GB"/>
              </w:rPr>
            </w:pPr>
            <w:r w:rsidRPr="00952FE3">
              <w:rPr>
                <w:rFonts w:ascii="Arial" w:hAnsi="Arial" w:cs="Arial"/>
                <w:b/>
                <w:bCs/>
                <w:lang w:val="en-GB"/>
              </w:rPr>
              <w:t>Dec 2018</w:t>
            </w:r>
          </w:p>
        </w:tc>
        <w:tc>
          <w:tcPr>
            <w:tcW w:w="975" w:type="dxa"/>
          </w:tcPr>
          <w:p w14:paraId="42B9FB4F" w14:textId="77777777" w:rsidR="0034378A" w:rsidRPr="00952FE3" w:rsidRDefault="0034378A">
            <w:pPr>
              <w:tabs>
                <w:tab w:val="left" w:pos="6155"/>
              </w:tabs>
              <w:contextualSpacing/>
              <w:jc w:val="center"/>
              <w:rPr>
                <w:rFonts w:ascii="Arial" w:hAnsi="Arial" w:cs="Arial"/>
                <w:b/>
                <w:bCs/>
                <w:lang w:val="en-GB"/>
              </w:rPr>
            </w:pPr>
            <w:r w:rsidRPr="00952FE3">
              <w:rPr>
                <w:rFonts w:ascii="Arial" w:hAnsi="Arial" w:cs="Arial"/>
                <w:b/>
                <w:bCs/>
                <w:lang w:val="en-GB"/>
              </w:rPr>
              <w:t>Mar 2019</w:t>
            </w:r>
          </w:p>
        </w:tc>
        <w:tc>
          <w:tcPr>
            <w:tcW w:w="1077" w:type="dxa"/>
          </w:tcPr>
          <w:p w14:paraId="73EAEB73" w14:textId="77777777" w:rsidR="0034378A" w:rsidRPr="00952FE3" w:rsidRDefault="0034378A">
            <w:pPr>
              <w:tabs>
                <w:tab w:val="left" w:pos="6155"/>
              </w:tabs>
              <w:contextualSpacing/>
              <w:jc w:val="center"/>
              <w:rPr>
                <w:rFonts w:ascii="Arial" w:hAnsi="Arial" w:cs="Arial"/>
                <w:b/>
                <w:bCs/>
                <w:lang w:val="en-GB"/>
              </w:rPr>
            </w:pPr>
            <w:r w:rsidRPr="00952FE3">
              <w:rPr>
                <w:rFonts w:ascii="Arial" w:hAnsi="Arial" w:cs="Arial"/>
                <w:b/>
                <w:bCs/>
                <w:lang w:val="en-GB"/>
              </w:rPr>
              <w:t xml:space="preserve">Jun </w:t>
            </w:r>
          </w:p>
          <w:p w14:paraId="16578E3F" w14:textId="77777777" w:rsidR="0034378A" w:rsidRPr="00952FE3" w:rsidRDefault="0034378A">
            <w:pPr>
              <w:tabs>
                <w:tab w:val="left" w:pos="6155"/>
              </w:tabs>
              <w:contextualSpacing/>
              <w:jc w:val="center"/>
              <w:rPr>
                <w:rFonts w:ascii="Arial" w:hAnsi="Arial" w:cs="Arial"/>
                <w:b/>
                <w:bCs/>
                <w:lang w:val="en-GB"/>
              </w:rPr>
            </w:pPr>
            <w:r w:rsidRPr="00952FE3">
              <w:rPr>
                <w:rFonts w:ascii="Arial" w:hAnsi="Arial" w:cs="Arial"/>
                <w:b/>
                <w:bCs/>
                <w:lang w:val="en-GB"/>
              </w:rPr>
              <w:t>2019</w:t>
            </w:r>
          </w:p>
        </w:tc>
        <w:tc>
          <w:tcPr>
            <w:tcW w:w="1077" w:type="dxa"/>
          </w:tcPr>
          <w:p w14:paraId="389F622A" w14:textId="77777777" w:rsidR="00E15C4F" w:rsidRPr="00952FE3" w:rsidRDefault="0034378A">
            <w:pPr>
              <w:tabs>
                <w:tab w:val="left" w:pos="6155"/>
              </w:tabs>
              <w:contextualSpacing/>
              <w:jc w:val="center"/>
              <w:rPr>
                <w:rFonts w:ascii="Arial" w:hAnsi="Arial" w:cs="Arial"/>
                <w:b/>
                <w:bCs/>
                <w:lang w:val="en-GB"/>
              </w:rPr>
            </w:pPr>
            <w:r w:rsidRPr="00952FE3">
              <w:rPr>
                <w:rFonts w:ascii="Arial" w:hAnsi="Arial" w:cs="Arial"/>
                <w:b/>
                <w:bCs/>
                <w:lang w:val="en-GB"/>
              </w:rPr>
              <w:t xml:space="preserve">Sep </w:t>
            </w:r>
          </w:p>
          <w:p w14:paraId="37F8B6EB" w14:textId="71CF4BE4" w:rsidR="0034378A" w:rsidRPr="00952FE3" w:rsidRDefault="0034378A">
            <w:pPr>
              <w:tabs>
                <w:tab w:val="left" w:pos="6155"/>
              </w:tabs>
              <w:contextualSpacing/>
              <w:jc w:val="center"/>
              <w:rPr>
                <w:rFonts w:ascii="Arial" w:hAnsi="Arial" w:cs="Arial"/>
                <w:b/>
                <w:bCs/>
                <w:lang w:val="en-GB"/>
              </w:rPr>
            </w:pPr>
            <w:r w:rsidRPr="00952FE3">
              <w:rPr>
                <w:rFonts w:ascii="Arial" w:hAnsi="Arial" w:cs="Arial"/>
                <w:b/>
                <w:bCs/>
                <w:lang w:val="en-GB"/>
              </w:rPr>
              <w:t>2019</w:t>
            </w:r>
          </w:p>
        </w:tc>
      </w:tr>
      <w:tr w:rsidR="00E15C4F" w:rsidRPr="00986894" w14:paraId="0996170C" w14:textId="77777777" w:rsidTr="001454EC">
        <w:trPr>
          <w:tblHeader/>
        </w:trPr>
        <w:tc>
          <w:tcPr>
            <w:tcW w:w="2155" w:type="dxa"/>
          </w:tcPr>
          <w:p w14:paraId="757181EB" w14:textId="77C1531B" w:rsidR="00E15C4F" w:rsidRPr="00515CCA" w:rsidRDefault="00E15C4F" w:rsidP="00374240">
            <w:pPr>
              <w:tabs>
                <w:tab w:val="left" w:pos="6155"/>
              </w:tabs>
              <w:contextualSpacing/>
              <w:rPr>
                <w:rFonts w:ascii="Arial" w:hAnsi="Arial" w:cs="Arial"/>
                <w:b/>
                <w:bCs/>
                <w:sz w:val="17"/>
                <w:szCs w:val="17"/>
                <w:lang w:val="en-GB"/>
              </w:rPr>
            </w:pPr>
            <w:r w:rsidRPr="00515CCA">
              <w:rPr>
                <w:rFonts w:ascii="Arial" w:hAnsi="Arial" w:cs="Arial"/>
                <w:b/>
                <w:bCs/>
                <w:sz w:val="17"/>
                <w:szCs w:val="17"/>
                <w:lang w:val="en-GB"/>
              </w:rPr>
              <w:t>ASSETS</w:t>
            </w:r>
          </w:p>
        </w:tc>
        <w:tc>
          <w:tcPr>
            <w:tcW w:w="946" w:type="dxa"/>
          </w:tcPr>
          <w:p w14:paraId="1E921E17" w14:textId="77777777" w:rsidR="00E15C4F" w:rsidRPr="00986894" w:rsidRDefault="00E15C4F" w:rsidP="00374240">
            <w:pPr>
              <w:tabs>
                <w:tab w:val="left" w:pos="6155"/>
              </w:tabs>
              <w:contextualSpacing/>
              <w:jc w:val="right"/>
              <w:rPr>
                <w:rFonts w:ascii="Arial" w:hAnsi="Arial" w:cs="Arial"/>
                <w:bCs/>
                <w:sz w:val="17"/>
                <w:szCs w:val="17"/>
                <w:lang w:val="en-GB"/>
              </w:rPr>
            </w:pPr>
          </w:p>
        </w:tc>
        <w:tc>
          <w:tcPr>
            <w:tcW w:w="2040" w:type="dxa"/>
            <w:gridSpan w:val="3"/>
            <w:vMerge w:val="restart"/>
            <w:vAlign w:val="center"/>
          </w:tcPr>
          <w:p w14:paraId="67AC1800" w14:textId="39830122" w:rsidR="00E15C4F" w:rsidRPr="00986894" w:rsidRDefault="00E15C4F" w:rsidP="002F650D">
            <w:pPr>
              <w:tabs>
                <w:tab w:val="left" w:pos="6155"/>
              </w:tabs>
              <w:contextualSpacing/>
              <w:jc w:val="center"/>
              <w:rPr>
                <w:rFonts w:ascii="Arial" w:hAnsi="Arial" w:cs="Arial"/>
                <w:bCs/>
                <w:sz w:val="17"/>
                <w:szCs w:val="17"/>
                <w:lang w:val="en-GB"/>
              </w:rPr>
            </w:pPr>
            <w:r w:rsidRPr="00986894">
              <w:rPr>
                <w:rFonts w:ascii="Arial" w:hAnsi="Arial" w:cs="Arial"/>
                <w:bCs/>
                <w:sz w:val="17"/>
                <w:szCs w:val="17"/>
                <w:lang w:val="en-GB"/>
              </w:rPr>
              <w:t>Not available</w:t>
            </w:r>
          </w:p>
        </w:tc>
        <w:tc>
          <w:tcPr>
            <w:tcW w:w="1032" w:type="dxa"/>
          </w:tcPr>
          <w:p w14:paraId="5021B7FA" w14:textId="77777777" w:rsidR="00E15C4F" w:rsidRPr="00986894" w:rsidRDefault="00E15C4F" w:rsidP="00621208">
            <w:pPr>
              <w:tabs>
                <w:tab w:val="left" w:pos="6155"/>
              </w:tabs>
              <w:contextualSpacing/>
              <w:jc w:val="right"/>
              <w:rPr>
                <w:rFonts w:ascii="Arial" w:hAnsi="Arial" w:cs="Arial"/>
                <w:bCs/>
                <w:sz w:val="17"/>
                <w:szCs w:val="17"/>
                <w:lang w:val="en-GB"/>
              </w:rPr>
            </w:pPr>
          </w:p>
        </w:tc>
        <w:tc>
          <w:tcPr>
            <w:tcW w:w="975" w:type="dxa"/>
          </w:tcPr>
          <w:p w14:paraId="389BD4F4" w14:textId="77777777" w:rsidR="00E15C4F" w:rsidRPr="00986894" w:rsidRDefault="00E15C4F" w:rsidP="00621208">
            <w:pPr>
              <w:tabs>
                <w:tab w:val="left" w:pos="6155"/>
              </w:tabs>
              <w:contextualSpacing/>
              <w:jc w:val="right"/>
              <w:rPr>
                <w:rFonts w:ascii="Arial" w:hAnsi="Arial" w:cs="Arial"/>
                <w:bCs/>
                <w:sz w:val="17"/>
                <w:szCs w:val="17"/>
                <w:lang w:val="en-GB"/>
              </w:rPr>
            </w:pPr>
          </w:p>
        </w:tc>
        <w:tc>
          <w:tcPr>
            <w:tcW w:w="1077" w:type="dxa"/>
          </w:tcPr>
          <w:p w14:paraId="4D455408" w14:textId="77777777" w:rsidR="00E15C4F" w:rsidRPr="00986894" w:rsidRDefault="00E15C4F" w:rsidP="00794B0B">
            <w:pPr>
              <w:tabs>
                <w:tab w:val="left" w:pos="6155"/>
              </w:tabs>
              <w:contextualSpacing/>
              <w:jc w:val="right"/>
              <w:rPr>
                <w:rFonts w:ascii="Arial" w:hAnsi="Arial" w:cs="Arial"/>
                <w:bCs/>
                <w:sz w:val="17"/>
                <w:szCs w:val="17"/>
                <w:lang w:val="en-GB"/>
              </w:rPr>
            </w:pPr>
          </w:p>
        </w:tc>
        <w:tc>
          <w:tcPr>
            <w:tcW w:w="1077" w:type="dxa"/>
          </w:tcPr>
          <w:p w14:paraId="77B58401" w14:textId="77777777" w:rsidR="00E15C4F" w:rsidRPr="00986894" w:rsidRDefault="00E15C4F" w:rsidP="00794B0B">
            <w:pPr>
              <w:tabs>
                <w:tab w:val="left" w:pos="6155"/>
              </w:tabs>
              <w:contextualSpacing/>
              <w:jc w:val="right"/>
              <w:rPr>
                <w:rFonts w:ascii="Arial" w:hAnsi="Arial" w:cs="Arial"/>
                <w:bCs/>
                <w:sz w:val="17"/>
                <w:szCs w:val="17"/>
                <w:lang w:val="en-GB"/>
              </w:rPr>
            </w:pPr>
          </w:p>
        </w:tc>
      </w:tr>
      <w:tr w:rsidR="00E15C4F" w:rsidRPr="00986894" w14:paraId="01167C1A" w14:textId="77777777" w:rsidTr="001454EC">
        <w:trPr>
          <w:tblHeader/>
        </w:trPr>
        <w:tc>
          <w:tcPr>
            <w:tcW w:w="2155" w:type="dxa"/>
          </w:tcPr>
          <w:p w14:paraId="5DFEE46D" w14:textId="2D977CF6"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Cash</w:t>
            </w:r>
            <w:r w:rsidRPr="00986894">
              <w:rPr>
                <w:rFonts w:ascii="Arial" w:hAnsi="Arial" w:cs="Arial"/>
                <w:bCs/>
                <w:sz w:val="17"/>
                <w:szCs w:val="17"/>
                <w:lang w:val="en-GB"/>
              </w:rPr>
              <w:t>/Equivalent</w:t>
            </w:r>
          </w:p>
        </w:tc>
        <w:tc>
          <w:tcPr>
            <w:tcW w:w="946" w:type="dxa"/>
          </w:tcPr>
          <w:p w14:paraId="168E04DD" w14:textId="7B661F53"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219,096</w:t>
            </w:r>
          </w:p>
        </w:tc>
        <w:tc>
          <w:tcPr>
            <w:tcW w:w="2040" w:type="dxa"/>
            <w:gridSpan w:val="3"/>
            <w:vMerge/>
          </w:tcPr>
          <w:p w14:paraId="0D9CC0A5" w14:textId="7BE5E7E1"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51972925" w14:textId="68C90985"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1,630,983</w:t>
            </w:r>
          </w:p>
        </w:tc>
        <w:tc>
          <w:tcPr>
            <w:tcW w:w="975" w:type="dxa"/>
          </w:tcPr>
          <w:p w14:paraId="2F125AEA" w14:textId="5C0B56C5"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1,158,841</w:t>
            </w:r>
          </w:p>
        </w:tc>
        <w:tc>
          <w:tcPr>
            <w:tcW w:w="1077" w:type="dxa"/>
          </w:tcPr>
          <w:p w14:paraId="6E36A11E" w14:textId="751FEE52"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3,988,751</w:t>
            </w:r>
          </w:p>
        </w:tc>
        <w:tc>
          <w:tcPr>
            <w:tcW w:w="1077" w:type="dxa"/>
          </w:tcPr>
          <w:p w14:paraId="40CFDB22" w14:textId="6AF04875"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4,513,899</w:t>
            </w:r>
          </w:p>
        </w:tc>
      </w:tr>
      <w:tr w:rsidR="00E15C4F" w:rsidRPr="00986894" w14:paraId="5C0A4BF7" w14:textId="77777777" w:rsidTr="001454EC">
        <w:trPr>
          <w:tblHeader/>
        </w:trPr>
        <w:tc>
          <w:tcPr>
            <w:tcW w:w="2155" w:type="dxa"/>
          </w:tcPr>
          <w:p w14:paraId="56A38F44" w14:textId="4D9CF3BA"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 xml:space="preserve">Other </w:t>
            </w:r>
            <w:r w:rsidRPr="00986894">
              <w:rPr>
                <w:rFonts w:ascii="Arial" w:hAnsi="Arial" w:cs="Arial"/>
                <w:bCs/>
                <w:sz w:val="17"/>
                <w:szCs w:val="17"/>
                <w:lang w:val="en-GB"/>
              </w:rPr>
              <w:t>Current Assets</w:t>
            </w:r>
          </w:p>
        </w:tc>
        <w:tc>
          <w:tcPr>
            <w:tcW w:w="946" w:type="dxa"/>
          </w:tcPr>
          <w:p w14:paraId="5BBC08C8" w14:textId="0A62DAF6"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40,012</w:t>
            </w:r>
          </w:p>
        </w:tc>
        <w:tc>
          <w:tcPr>
            <w:tcW w:w="2040" w:type="dxa"/>
            <w:gridSpan w:val="3"/>
            <w:vMerge/>
          </w:tcPr>
          <w:p w14:paraId="534B0F00" w14:textId="0D66DBE6"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018B5A8E" w14:textId="34DA2E51"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797,693</w:t>
            </w:r>
          </w:p>
        </w:tc>
        <w:tc>
          <w:tcPr>
            <w:tcW w:w="975" w:type="dxa"/>
          </w:tcPr>
          <w:p w14:paraId="5A1DAE1C" w14:textId="4B9E0F1A"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623,630</w:t>
            </w:r>
          </w:p>
        </w:tc>
        <w:tc>
          <w:tcPr>
            <w:tcW w:w="1077" w:type="dxa"/>
          </w:tcPr>
          <w:p w14:paraId="3FAD4EAD" w14:textId="6D08267C"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2,811,340</w:t>
            </w:r>
          </w:p>
        </w:tc>
        <w:tc>
          <w:tcPr>
            <w:tcW w:w="1077" w:type="dxa"/>
          </w:tcPr>
          <w:p w14:paraId="76B0145E" w14:textId="772E12F3"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1,840,607</w:t>
            </w:r>
          </w:p>
        </w:tc>
      </w:tr>
      <w:tr w:rsidR="00E15C4F" w:rsidRPr="00986894" w14:paraId="296ED30C" w14:textId="77777777" w:rsidTr="001454EC">
        <w:trPr>
          <w:tblHeader/>
        </w:trPr>
        <w:tc>
          <w:tcPr>
            <w:tcW w:w="2155" w:type="dxa"/>
          </w:tcPr>
          <w:p w14:paraId="12111947" w14:textId="6824FD9E"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 xml:space="preserve">Total </w:t>
            </w:r>
            <w:r w:rsidRPr="00986894">
              <w:rPr>
                <w:rFonts w:ascii="Arial" w:hAnsi="Arial" w:cs="Arial"/>
                <w:bCs/>
                <w:sz w:val="17"/>
                <w:szCs w:val="17"/>
                <w:lang w:val="en-GB"/>
              </w:rPr>
              <w:t>Current Assets</w:t>
            </w:r>
          </w:p>
        </w:tc>
        <w:tc>
          <w:tcPr>
            <w:tcW w:w="946" w:type="dxa"/>
          </w:tcPr>
          <w:p w14:paraId="35036467" w14:textId="711F53FC"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259,108</w:t>
            </w:r>
          </w:p>
        </w:tc>
        <w:tc>
          <w:tcPr>
            <w:tcW w:w="2040" w:type="dxa"/>
            <w:gridSpan w:val="3"/>
            <w:vMerge/>
          </w:tcPr>
          <w:p w14:paraId="2A665BA9" w14:textId="156E67CA"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33D72049" w14:textId="7EED12C1"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2,428,676</w:t>
            </w:r>
          </w:p>
        </w:tc>
        <w:tc>
          <w:tcPr>
            <w:tcW w:w="975" w:type="dxa"/>
          </w:tcPr>
          <w:p w14:paraId="5EFE6BB5" w14:textId="5D7B1A58"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1,782,471</w:t>
            </w:r>
          </w:p>
        </w:tc>
        <w:tc>
          <w:tcPr>
            <w:tcW w:w="1077" w:type="dxa"/>
          </w:tcPr>
          <w:p w14:paraId="6176DAC4" w14:textId="2721982E"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6,800,091</w:t>
            </w:r>
          </w:p>
        </w:tc>
        <w:tc>
          <w:tcPr>
            <w:tcW w:w="1077" w:type="dxa"/>
          </w:tcPr>
          <w:p w14:paraId="27B36D24" w14:textId="7530686A"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6,354,506</w:t>
            </w:r>
          </w:p>
        </w:tc>
      </w:tr>
      <w:tr w:rsidR="00E15C4F" w:rsidRPr="00986894" w14:paraId="3CD59B96" w14:textId="77777777" w:rsidTr="001454EC">
        <w:trPr>
          <w:tblHeader/>
        </w:trPr>
        <w:tc>
          <w:tcPr>
            <w:tcW w:w="2155" w:type="dxa"/>
          </w:tcPr>
          <w:p w14:paraId="1BA34C74" w14:textId="7F600C76"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Non</w:t>
            </w:r>
            <w:r w:rsidRPr="00986894">
              <w:rPr>
                <w:rFonts w:ascii="Arial" w:hAnsi="Arial" w:cs="Arial"/>
                <w:bCs/>
                <w:sz w:val="17"/>
                <w:szCs w:val="17"/>
                <w:lang w:val="en-GB"/>
              </w:rPr>
              <w:t>-Current Assets</w:t>
            </w:r>
          </w:p>
        </w:tc>
        <w:tc>
          <w:tcPr>
            <w:tcW w:w="946" w:type="dxa"/>
          </w:tcPr>
          <w:p w14:paraId="62B8B07E" w14:textId="74F92342"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77,848</w:t>
            </w:r>
          </w:p>
        </w:tc>
        <w:tc>
          <w:tcPr>
            <w:tcW w:w="2040" w:type="dxa"/>
            <w:gridSpan w:val="3"/>
            <w:vMerge/>
          </w:tcPr>
          <w:p w14:paraId="2A4D70A5" w14:textId="2F249701"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77E74427" w14:textId="0FC353A7"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1,056,400</w:t>
            </w:r>
          </w:p>
        </w:tc>
        <w:tc>
          <w:tcPr>
            <w:tcW w:w="975" w:type="dxa"/>
          </w:tcPr>
          <w:p w14:paraId="7E2E80AE" w14:textId="5EC22C78"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1,118,244</w:t>
            </w:r>
          </w:p>
        </w:tc>
        <w:tc>
          <w:tcPr>
            <w:tcW w:w="1077" w:type="dxa"/>
          </w:tcPr>
          <w:p w14:paraId="590B7E6F" w14:textId="4A9899A1"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1,360,714</w:t>
            </w:r>
          </w:p>
        </w:tc>
        <w:tc>
          <w:tcPr>
            <w:tcW w:w="1077" w:type="dxa"/>
          </w:tcPr>
          <w:p w14:paraId="28FE3F78" w14:textId="549A981B"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1,674,525</w:t>
            </w:r>
          </w:p>
        </w:tc>
      </w:tr>
      <w:tr w:rsidR="00E15C4F" w:rsidRPr="00986894" w14:paraId="1BAD495F" w14:textId="77777777" w:rsidTr="001454EC">
        <w:trPr>
          <w:tblHeader/>
        </w:trPr>
        <w:tc>
          <w:tcPr>
            <w:tcW w:w="2155" w:type="dxa"/>
          </w:tcPr>
          <w:p w14:paraId="69BE9DC9" w14:textId="6326BB44"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Total Assets</w:t>
            </w:r>
          </w:p>
        </w:tc>
        <w:tc>
          <w:tcPr>
            <w:tcW w:w="946" w:type="dxa"/>
          </w:tcPr>
          <w:p w14:paraId="50B80F1F" w14:textId="69C4639B"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336,956</w:t>
            </w:r>
          </w:p>
        </w:tc>
        <w:tc>
          <w:tcPr>
            <w:tcW w:w="2040" w:type="dxa"/>
            <w:gridSpan w:val="3"/>
            <w:vMerge/>
          </w:tcPr>
          <w:p w14:paraId="4B5098C9" w14:textId="77777777"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6E023FB1" w14:textId="00B7863B"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3,485,076</w:t>
            </w:r>
          </w:p>
        </w:tc>
        <w:tc>
          <w:tcPr>
            <w:tcW w:w="975" w:type="dxa"/>
          </w:tcPr>
          <w:p w14:paraId="67525FFC" w14:textId="68B285B0"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2,900,715</w:t>
            </w:r>
          </w:p>
        </w:tc>
        <w:tc>
          <w:tcPr>
            <w:tcW w:w="1077" w:type="dxa"/>
          </w:tcPr>
          <w:p w14:paraId="5E393BF5" w14:textId="5FCD776B"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8,160,805</w:t>
            </w:r>
          </w:p>
        </w:tc>
        <w:tc>
          <w:tcPr>
            <w:tcW w:w="1077" w:type="dxa"/>
          </w:tcPr>
          <w:p w14:paraId="54BE180B" w14:textId="5025B925"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8,029,031</w:t>
            </w:r>
          </w:p>
        </w:tc>
      </w:tr>
      <w:tr w:rsidR="00E15C4F" w:rsidRPr="00986894" w14:paraId="18AEAF0D" w14:textId="77777777" w:rsidTr="001454EC">
        <w:trPr>
          <w:tblHeader/>
        </w:trPr>
        <w:tc>
          <w:tcPr>
            <w:tcW w:w="2155" w:type="dxa"/>
          </w:tcPr>
          <w:p w14:paraId="61E48026" w14:textId="16FD19FA" w:rsidR="00E15C4F" w:rsidRPr="00986894" w:rsidRDefault="00E15C4F" w:rsidP="00374240">
            <w:pPr>
              <w:tabs>
                <w:tab w:val="left" w:pos="6155"/>
              </w:tabs>
              <w:contextualSpacing/>
              <w:rPr>
                <w:rFonts w:ascii="Arial" w:hAnsi="Arial" w:cs="Arial"/>
                <w:bCs/>
                <w:sz w:val="17"/>
                <w:szCs w:val="17"/>
                <w:lang w:val="en-GB"/>
              </w:rPr>
            </w:pPr>
          </w:p>
        </w:tc>
        <w:tc>
          <w:tcPr>
            <w:tcW w:w="946" w:type="dxa"/>
          </w:tcPr>
          <w:p w14:paraId="16152C51" w14:textId="77777777" w:rsidR="00E15C4F" w:rsidRPr="00986894" w:rsidRDefault="00E15C4F" w:rsidP="00374240">
            <w:pPr>
              <w:tabs>
                <w:tab w:val="left" w:pos="6155"/>
              </w:tabs>
              <w:contextualSpacing/>
              <w:jc w:val="right"/>
              <w:rPr>
                <w:rFonts w:ascii="Arial" w:hAnsi="Arial" w:cs="Arial"/>
                <w:bCs/>
                <w:sz w:val="17"/>
                <w:szCs w:val="17"/>
                <w:lang w:val="en-GB"/>
              </w:rPr>
            </w:pPr>
          </w:p>
        </w:tc>
        <w:tc>
          <w:tcPr>
            <w:tcW w:w="2040" w:type="dxa"/>
            <w:gridSpan w:val="3"/>
            <w:vMerge/>
          </w:tcPr>
          <w:p w14:paraId="28A6F63B" w14:textId="77777777"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2841004A" w14:textId="77777777" w:rsidR="00E15C4F" w:rsidRPr="00986894" w:rsidRDefault="00E15C4F">
            <w:pPr>
              <w:tabs>
                <w:tab w:val="left" w:pos="6155"/>
              </w:tabs>
              <w:contextualSpacing/>
              <w:jc w:val="right"/>
              <w:rPr>
                <w:rFonts w:ascii="Arial" w:hAnsi="Arial" w:cs="Arial"/>
                <w:bCs/>
                <w:sz w:val="17"/>
                <w:szCs w:val="17"/>
                <w:lang w:val="en-GB"/>
              </w:rPr>
            </w:pPr>
          </w:p>
        </w:tc>
        <w:tc>
          <w:tcPr>
            <w:tcW w:w="975" w:type="dxa"/>
          </w:tcPr>
          <w:p w14:paraId="60B4DBF7" w14:textId="77777777"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15677EB4" w14:textId="77777777"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3E748F6A" w14:textId="77777777" w:rsidR="00E15C4F" w:rsidRPr="00986894" w:rsidRDefault="00E15C4F">
            <w:pPr>
              <w:tabs>
                <w:tab w:val="left" w:pos="6155"/>
              </w:tabs>
              <w:contextualSpacing/>
              <w:jc w:val="right"/>
              <w:rPr>
                <w:rFonts w:ascii="Arial" w:hAnsi="Arial" w:cs="Arial"/>
                <w:bCs/>
                <w:sz w:val="17"/>
                <w:szCs w:val="17"/>
                <w:lang w:val="en-GB"/>
              </w:rPr>
            </w:pPr>
          </w:p>
        </w:tc>
      </w:tr>
      <w:tr w:rsidR="00E15C4F" w:rsidRPr="00986894" w14:paraId="4A3CF814" w14:textId="77777777" w:rsidTr="001454EC">
        <w:trPr>
          <w:tblHeader/>
        </w:trPr>
        <w:tc>
          <w:tcPr>
            <w:tcW w:w="2155" w:type="dxa"/>
          </w:tcPr>
          <w:p w14:paraId="68C1641E" w14:textId="391B3739" w:rsidR="00E15C4F" w:rsidRPr="00515CCA" w:rsidRDefault="00E15C4F" w:rsidP="00374240">
            <w:pPr>
              <w:tabs>
                <w:tab w:val="left" w:pos="6155"/>
              </w:tabs>
              <w:contextualSpacing/>
              <w:rPr>
                <w:rFonts w:ascii="Arial" w:hAnsi="Arial" w:cs="Arial"/>
                <w:b/>
                <w:bCs/>
                <w:sz w:val="17"/>
                <w:szCs w:val="17"/>
                <w:lang w:val="en-GB"/>
              </w:rPr>
            </w:pPr>
            <w:r w:rsidRPr="00515CCA">
              <w:rPr>
                <w:rFonts w:ascii="Arial" w:hAnsi="Arial" w:cs="Arial"/>
                <w:b/>
                <w:bCs/>
                <w:sz w:val="17"/>
                <w:szCs w:val="17"/>
                <w:lang w:val="en-GB"/>
              </w:rPr>
              <w:t>LIABILITIES</w:t>
            </w:r>
          </w:p>
        </w:tc>
        <w:tc>
          <w:tcPr>
            <w:tcW w:w="946" w:type="dxa"/>
          </w:tcPr>
          <w:p w14:paraId="5E2AC7A3" w14:textId="476B2237" w:rsidR="00E15C4F" w:rsidRPr="00986894" w:rsidRDefault="00E15C4F" w:rsidP="00374240">
            <w:pPr>
              <w:tabs>
                <w:tab w:val="left" w:pos="6155"/>
              </w:tabs>
              <w:contextualSpacing/>
              <w:jc w:val="right"/>
              <w:rPr>
                <w:rFonts w:ascii="Arial" w:hAnsi="Arial" w:cs="Arial"/>
                <w:bCs/>
                <w:sz w:val="17"/>
                <w:szCs w:val="17"/>
                <w:lang w:val="en-GB"/>
              </w:rPr>
            </w:pPr>
          </w:p>
        </w:tc>
        <w:tc>
          <w:tcPr>
            <w:tcW w:w="2040" w:type="dxa"/>
            <w:gridSpan w:val="3"/>
            <w:vMerge/>
          </w:tcPr>
          <w:p w14:paraId="5FC1BC15" w14:textId="1795F8D1"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2659658B" w14:textId="6ED5B537" w:rsidR="00E15C4F" w:rsidRPr="00986894" w:rsidRDefault="00E15C4F">
            <w:pPr>
              <w:tabs>
                <w:tab w:val="left" w:pos="6155"/>
              </w:tabs>
              <w:contextualSpacing/>
              <w:jc w:val="right"/>
              <w:rPr>
                <w:rFonts w:ascii="Arial" w:hAnsi="Arial" w:cs="Arial"/>
                <w:bCs/>
                <w:sz w:val="17"/>
                <w:szCs w:val="17"/>
                <w:lang w:val="en-GB"/>
              </w:rPr>
            </w:pPr>
          </w:p>
        </w:tc>
        <w:tc>
          <w:tcPr>
            <w:tcW w:w="975" w:type="dxa"/>
          </w:tcPr>
          <w:p w14:paraId="4E995F42" w14:textId="23CC473D"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6CE8580A" w14:textId="6BBBEEFD"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28867B82" w14:textId="77900926" w:rsidR="00E15C4F" w:rsidRPr="00986894" w:rsidRDefault="00E15C4F">
            <w:pPr>
              <w:tabs>
                <w:tab w:val="left" w:pos="6155"/>
              </w:tabs>
              <w:contextualSpacing/>
              <w:jc w:val="right"/>
              <w:rPr>
                <w:rFonts w:ascii="Arial" w:hAnsi="Arial" w:cs="Arial"/>
                <w:bCs/>
                <w:sz w:val="17"/>
                <w:szCs w:val="17"/>
                <w:lang w:val="en-GB"/>
              </w:rPr>
            </w:pPr>
          </w:p>
        </w:tc>
      </w:tr>
      <w:tr w:rsidR="00E15C4F" w:rsidRPr="00986894" w14:paraId="4B8677D3" w14:textId="77777777" w:rsidTr="001454EC">
        <w:trPr>
          <w:tblHeader/>
        </w:trPr>
        <w:tc>
          <w:tcPr>
            <w:tcW w:w="2155" w:type="dxa"/>
          </w:tcPr>
          <w:p w14:paraId="2005E68B" w14:textId="5717783C"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 xml:space="preserve">Current </w:t>
            </w:r>
            <w:r w:rsidRPr="00986894">
              <w:rPr>
                <w:rFonts w:ascii="Arial" w:hAnsi="Arial" w:cs="Arial"/>
                <w:bCs/>
                <w:sz w:val="17"/>
                <w:szCs w:val="17"/>
                <w:lang w:val="en-GB"/>
              </w:rPr>
              <w:t>Liabilities</w:t>
            </w:r>
          </w:p>
        </w:tc>
        <w:tc>
          <w:tcPr>
            <w:tcW w:w="946" w:type="dxa"/>
          </w:tcPr>
          <w:p w14:paraId="1D6A1CB8" w14:textId="48136E0A"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388,295</w:t>
            </w:r>
          </w:p>
        </w:tc>
        <w:tc>
          <w:tcPr>
            <w:tcW w:w="2040" w:type="dxa"/>
            <w:gridSpan w:val="3"/>
            <w:vMerge/>
          </w:tcPr>
          <w:p w14:paraId="3B7963B7" w14:textId="77777777"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3AF32531" w14:textId="245661AE"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780,890</w:t>
            </w:r>
          </w:p>
        </w:tc>
        <w:tc>
          <w:tcPr>
            <w:tcW w:w="975" w:type="dxa"/>
          </w:tcPr>
          <w:p w14:paraId="1CE6AE1B" w14:textId="2CC30B34"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848,303</w:t>
            </w:r>
          </w:p>
        </w:tc>
        <w:tc>
          <w:tcPr>
            <w:tcW w:w="1077" w:type="dxa"/>
          </w:tcPr>
          <w:p w14:paraId="58B20B76" w14:textId="539B0135"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1,209,325</w:t>
            </w:r>
          </w:p>
        </w:tc>
        <w:tc>
          <w:tcPr>
            <w:tcW w:w="1077" w:type="dxa"/>
          </w:tcPr>
          <w:p w14:paraId="416E9CE9" w14:textId="4155A51C"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1,502,069</w:t>
            </w:r>
          </w:p>
        </w:tc>
      </w:tr>
      <w:tr w:rsidR="00E15C4F" w:rsidRPr="00986894" w14:paraId="6D50CC15" w14:textId="77777777" w:rsidTr="001454EC">
        <w:trPr>
          <w:tblHeader/>
        </w:trPr>
        <w:tc>
          <w:tcPr>
            <w:tcW w:w="2155" w:type="dxa"/>
          </w:tcPr>
          <w:p w14:paraId="00AFCA0D" w14:textId="019C116A"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Long</w:t>
            </w:r>
            <w:r w:rsidRPr="00986894">
              <w:rPr>
                <w:rFonts w:ascii="Arial" w:hAnsi="Arial" w:cs="Arial"/>
                <w:bCs/>
                <w:sz w:val="17"/>
                <w:szCs w:val="17"/>
                <w:lang w:val="en-GB"/>
              </w:rPr>
              <w:t>-Term Liabilities</w:t>
            </w:r>
          </w:p>
        </w:tc>
        <w:tc>
          <w:tcPr>
            <w:tcW w:w="946" w:type="dxa"/>
          </w:tcPr>
          <w:p w14:paraId="72E6F384" w14:textId="11C0899B"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32</w:t>
            </w:r>
          </w:p>
        </w:tc>
        <w:tc>
          <w:tcPr>
            <w:tcW w:w="2040" w:type="dxa"/>
            <w:gridSpan w:val="3"/>
            <w:vMerge/>
          </w:tcPr>
          <w:p w14:paraId="2C9570B8" w14:textId="67B5CEC1"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7C1206A7" w14:textId="6846A0FA"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343,438</w:t>
            </w:r>
          </w:p>
        </w:tc>
        <w:tc>
          <w:tcPr>
            <w:tcW w:w="975" w:type="dxa"/>
          </w:tcPr>
          <w:p w14:paraId="5A961D44" w14:textId="01DAE1BE"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231,510</w:t>
            </w:r>
          </w:p>
        </w:tc>
        <w:tc>
          <w:tcPr>
            <w:tcW w:w="1077" w:type="dxa"/>
          </w:tcPr>
          <w:p w14:paraId="4BEDA96C" w14:textId="51268FFB"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129,548</w:t>
            </w:r>
          </w:p>
        </w:tc>
        <w:tc>
          <w:tcPr>
            <w:tcW w:w="1077" w:type="dxa"/>
          </w:tcPr>
          <w:p w14:paraId="77896767" w14:textId="1E7E0803"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93,010</w:t>
            </w:r>
          </w:p>
        </w:tc>
      </w:tr>
      <w:tr w:rsidR="00E15C4F" w:rsidRPr="00986894" w14:paraId="1452F76C" w14:textId="77777777" w:rsidTr="001454EC">
        <w:trPr>
          <w:tblHeader/>
        </w:trPr>
        <w:tc>
          <w:tcPr>
            <w:tcW w:w="2155" w:type="dxa"/>
          </w:tcPr>
          <w:p w14:paraId="4E14E0DE" w14:textId="5E0E0C1D"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Total Liabilities</w:t>
            </w:r>
          </w:p>
        </w:tc>
        <w:tc>
          <w:tcPr>
            <w:tcW w:w="946" w:type="dxa"/>
          </w:tcPr>
          <w:p w14:paraId="12037F17" w14:textId="025D7BF0"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388,327</w:t>
            </w:r>
          </w:p>
        </w:tc>
        <w:tc>
          <w:tcPr>
            <w:tcW w:w="2040" w:type="dxa"/>
            <w:gridSpan w:val="3"/>
            <w:vMerge/>
          </w:tcPr>
          <w:p w14:paraId="2279DDAA" w14:textId="6341B15F"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383998B4" w14:textId="0B3A697B"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1,134,328</w:t>
            </w:r>
          </w:p>
        </w:tc>
        <w:tc>
          <w:tcPr>
            <w:tcW w:w="975" w:type="dxa"/>
          </w:tcPr>
          <w:p w14:paraId="14A3F1FB" w14:textId="7385AE7A"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1,118,244</w:t>
            </w:r>
          </w:p>
        </w:tc>
        <w:tc>
          <w:tcPr>
            <w:tcW w:w="1077" w:type="dxa"/>
          </w:tcPr>
          <w:p w14:paraId="7086F3B0" w14:textId="16CFAB9B"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1,338,873</w:t>
            </w:r>
          </w:p>
        </w:tc>
        <w:tc>
          <w:tcPr>
            <w:tcW w:w="1077" w:type="dxa"/>
          </w:tcPr>
          <w:p w14:paraId="043F880C" w14:textId="61169842"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1,595,079</w:t>
            </w:r>
          </w:p>
        </w:tc>
      </w:tr>
      <w:tr w:rsidR="00E15C4F" w:rsidRPr="00986894" w14:paraId="494B5768" w14:textId="77777777" w:rsidTr="001454EC">
        <w:trPr>
          <w:tblHeader/>
        </w:trPr>
        <w:tc>
          <w:tcPr>
            <w:tcW w:w="2155" w:type="dxa"/>
          </w:tcPr>
          <w:p w14:paraId="4DEAB384" w14:textId="63214459" w:rsidR="00E15C4F" w:rsidRPr="00986894" w:rsidRDefault="00E15C4F" w:rsidP="00374240">
            <w:pPr>
              <w:tabs>
                <w:tab w:val="left" w:pos="6155"/>
              </w:tabs>
              <w:contextualSpacing/>
              <w:rPr>
                <w:rFonts w:ascii="Arial" w:hAnsi="Arial" w:cs="Arial"/>
                <w:bCs/>
                <w:sz w:val="17"/>
                <w:szCs w:val="17"/>
                <w:lang w:val="en-GB"/>
              </w:rPr>
            </w:pPr>
          </w:p>
        </w:tc>
        <w:tc>
          <w:tcPr>
            <w:tcW w:w="946" w:type="dxa"/>
          </w:tcPr>
          <w:p w14:paraId="3FF59B28" w14:textId="4C79438D" w:rsidR="00E15C4F" w:rsidRPr="00986894" w:rsidRDefault="00E15C4F" w:rsidP="00374240">
            <w:pPr>
              <w:tabs>
                <w:tab w:val="left" w:pos="6155"/>
              </w:tabs>
              <w:contextualSpacing/>
              <w:jc w:val="right"/>
              <w:rPr>
                <w:rFonts w:ascii="Arial" w:hAnsi="Arial" w:cs="Arial"/>
                <w:bCs/>
                <w:sz w:val="17"/>
                <w:szCs w:val="17"/>
                <w:lang w:val="en-GB"/>
              </w:rPr>
            </w:pPr>
          </w:p>
        </w:tc>
        <w:tc>
          <w:tcPr>
            <w:tcW w:w="2040" w:type="dxa"/>
            <w:gridSpan w:val="3"/>
            <w:vMerge/>
          </w:tcPr>
          <w:p w14:paraId="4CE81AA9" w14:textId="3F520E03"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7F53AC6B" w14:textId="6FC6F92C" w:rsidR="00E15C4F" w:rsidRPr="00986894" w:rsidRDefault="00E15C4F">
            <w:pPr>
              <w:tabs>
                <w:tab w:val="left" w:pos="6155"/>
              </w:tabs>
              <w:contextualSpacing/>
              <w:jc w:val="right"/>
              <w:rPr>
                <w:rFonts w:ascii="Arial" w:hAnsi="Arial" w:cs="Arial"/>
                <w:bCs/>
                <w:sz w:val="17"/>
                <w:szCs w:val="17"/>
                <w:lang w:val="en-GB"/>
              </w:rPr>
            </w:pPr>
          </w:p>
        </w:tc>
        <w:tc>
          <w:tcPr>
            <w:tcW w:w="975" w:type="dxa"/>
          </w:tcPr>
          <w:p w14:paraId="480A7BB5" w14:textId="2B6C2B54"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5538ABE4" w14:textId="6ACBE70F"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7A271B32" w14:textId="0FAFEAB5" w:rsidR="00E15C4F" w:rsidRPr="00986894" w:rsidRDefault="00E15C4F">
            <w:pPr>
              <w:tabs>
                <w:tab w:val="left" w:pos="6155"/>
              </w:tabs>
              <w:contextualSpacing/>
              <w:jc w:val="right"/>
              <w:rPr>
                <w:rFonts w:ascii="Arial" w:hAnsi="Arial" w:cs="Arial"/>
                <w:bCs/>
                <w:sz w:val="17"/>
                <w:szCs w:val="17"/>
                <w:lang w:val="en-GB"/>
              </w:rPr>
            </w:pPr>
          </w:p>
        </w:tc>
      </w:tr>
      <w:tr w:rsidR="00E15C4F" w:rsidRPr="00986894" w14:paraId="424F2981" w14:textId="77777777" w:rsidTr="001454EC">
        <w:trPr>
          <w:tblHeader/>
        </w:trPr>
        <w:tc>
          <w:tcPr>
            <w:tcW w:w="2155" w:type="dxa"/>
          </w:tcPr>
          <w:p w14:paraId="6A650F90" w14:textId="5DC62624" w:rsidR="00E15C4F" w:rsidRPr="00515CCA" w:rsidRDefault="00E15C4F" w:rsidP="00374240">
            <w:pPr>
              <w:tabs>
                <w:tab w:val="left" w:pos="6155"/>
              </w:tabs>
              <w:contextualSpacing/>
              <w:rPr>
                <w:rFonts w:ascii="Arial" w:hAnsi="Arial" w:cs="Arial"/>
                <w:b/>
                <w:bCs/>
                <w:sz w:val="17"/>
                <w:szCs w:val="17"/>
                <w:lang w:val="en-GB"/>
              </w:rPr>
            </w:pPr>
            <w:r w:rsidRPr="00515CCA">
              <w:rPr>
                <w:rFonts w:ascii="Arial" w:hAnsi="Arial" w:cs="Arial"/>
                <w:b/>
                <w:bCs/>
                <w:sz w:val="17"/>
                <w:szCs w:val="17"/>
                <w:lang w:val="en-GB"/>
              </w:rPr>
              <w:t>EQUITY</w:t>
            </w:r>
          </w:p>
        </w:tc>
        <w:tc>
          <w:tcPr>
            <w:tcW w:w="946" w:type="dxa"/>
          </w:tcPr>
          <w:p w14:paraId="4212FEE6" w14:textId="770572DA" w:rsidR="00E15C4F" w:rsidRPr="00986894" w:rsidRDefault="00E15C4F" w:rsidP="00374240">
            <w:pPr>
              <w:tabs>
                <w:tab w:val="left" w:pos="6155"/>
              </w:tabs>
              <w:contextualSpacing/>
              <w:jc w:val="right"/>
              <w:rPr>
                <w:rFonts w:ascii="Arial" w:hAnsi="Arial" w:cs="Arial"/>
                <w:bCs/>
                <w:sz w:val="17"/>
                <w:szCs w:val="17"/>
                <w:lang w:val="en-GB"/>
              </w:rPr>
            </w:pPr>
          </w:p>
        </w:tc>
        <w:tc>
          <w:tcPr>
            <w:tcW w:w="2040" w:type="dxa"/>
            <w:gridSpan w:val="3"/>
            <w:vMerge/>
          </w:tcPr>
          <w:p w14:paraId="64EF7A02" w14:textId="3141B9CF"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52288DC5" w14:textId="0392C950" w:rsidR="00E15C4F" w:rsidRPr="00986894" w:rsidRDefault="00E15C4F">
            <w:pPr>
              <w:tabs>
                <w:tab w:val="left" w:pos="6155"/>
              </w:tabs>
              <w:contextualSpacing/>
              <w:jc w:val="right"/>
              <w:rPr>
                <w:rFonts w:ascii="Arial" w:hAnsi="Arial" w:cs="Arial"/>
                <w:bCs/>
                <w:sz w:val="17"/>
                <w:szCs w:val="17"/>
                <w:lang w:val="en-GB"/>
              </w:rPr>
            </w:pPr>
          </w:p>
        </w:tc>
        <w:tc>
          <w:tcPr>
            <w:tcW w:w="975" w:type="dxa"/>
          </w:tcPr>
          <w:p w14:paraId="78D39FBF" w14:textId="559300CE"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69A452C7" w14:textId="7A2E1971"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600887D0" w14:textId="0E47F928" w:rsidR="00E15C4F" w:rsidRPr="00986894" w:rsidRDefault="00E15C4F">
            <w:pPr>
              <w:tabs>
                <w:tab w:val="left" w:pos="6155"/>
              </w:tabs>
              <w:contextualSpacing/>
              <w:jc w:val="right"/>
              <w:rPr>
                <w:rFonts w:ascii="Arial" w:hAnsi="Arial" w:cs="Arial"/>
                <w:bCs/>
                <w:sz w:val="17"/>
                <w:szCs w:val="17"/>
                <w:lang w:val="en-GB"/>
              </w:rPr>
            </w:pPr>
          </w:p>
        </w:tc>
      </w:tr>
      <w:tr w:rsidR="00E15C4F" w:rsidRPr="00986894" w14:paraId="0B145938" w14:textId="77777777" w:rsidTr="001454EC">
        <w:trPr>
          <w:tblHeader/>
        </w:trPr>
        <w:tc>
          <w:tcPr>
            <w:tcW w:w="2155" w:type="dxa"/>
          </w:tcPr>
          <w:p w14:paraId="422F2F07" w14:textId="6F7FBD14"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 xml:space="preserve">Mezzanine </w:t>
            </w:r>
            <w:r w:rsidRPr="00986894">
              <w:rPr>
                <w:rFonts w:ascii="Arial" w:hAnsi="Arial" w:cs="Arial"/>
                <w:bCs/>
                <w:sz w:val="17"/>
                <w:szCs w:val="17"/>
                <w:lang w:val="en-GB"/>
              </w:rPr>
              <w:t>Equity</w:t>
            </w:r>
          </w:p>
        </w:tc>
        <w:tc>
          <w:tcPr>
            <w:tcW w:w="946" w:type="dxa"/>
          </w:tcPr>
          <w:p w14:paraId="272BFACF" w14:textId="77777777" w:rsidR="00E15C4F" w:rsidRPr="00986894" w:rsidRDefault="00E15C4F" w:rsidP="00374240">
            <w:pPr>
              <w:tabs>
                <w:tab w:val="left" w:pos="6155"/>
              </w:tabs>
              <w:contextualSpacing/>
              <w:jc w:val="right"/>
              <w:rPr>
                <w:rFonts w:ascii="Arial" w:hAnsi="Arial" w:cs="Arial"/>
                <w:bCs/>
                <w:sz w:val="17"/>
                <w:szCs w:val="17"/>
                <w:lang w:val="en-GB"/>
              </w:rPr>
            </w:pPr>
          </w:p>
        </w:tc>
        <w:tc>
          <w:tcPr>
            <w:tcW w:w="2040" w:type="dxa"/>
            <w:gridSpan w:val="3"/>
            <w:vMerge/>
          </w:tcPr>
          <w:p w14:paraId="574D9E5E" w14:textId="77777777"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57C151B7" w14:textId="3AB63EC2"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4,278,341</w:t>
            </w:r>
          </w:p>
        </w:tc>
        <w:tc>
          <w:tcPr>
            <w:tcW w:w="975" w:type="dxa"/>
          </w:tcPr>
          <w:p w14:paraId="2E68C3F4" w14:textId="3891CA86"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4,333,173</w:t>
            </w:r>
          </w:p>
        </w:tc>
        <w:tc>
          <w:tcPr>
            <w:tcW w:w="1077" w:type="dxa"/>
          </w:tcPr>
          <w:p w14:paraId="043245C1" w14:textId="77777777" w:rsidR="00E15C4F" w:rsidRPr="00986894" w:rsidRDefault="00E15C4F">
            <w:pPr>
              <w:tabs>
                <w:tab w:val="left" w:pos="6155"/>
              </w:tabs>
              <w:contextualSpacing/>
              <w:jc w:val="right"/>
              <w:rPr>
                <w:rFonts w:ascii="Arial" w:hAnsi="Arial" w:cs="Arial"/>
                <w:bCs/>
                <w:sz w:val="17"/>
                <w:szCs w:val="17"/>
                <w:lang w:val="en-GB"/>
              </w:rPr>
            </w:pPr>
          </w:p>
        </w:tc>
        <w:tc>
          <w:tcPr>
            <w:tcW w:w="1077" w:type="dxa"/>
          </w:tcPr>
          <w:p w14:paraId="17AAB5FD" w14:textId="77777777" w:rsidR="00E15C4F" w:rsidRPr="00986894" w:rsidRDefault="00E15C4F">
            <w:pPr>
              <w:tabs>
                <w:tab w:val="left" w:pos="6155"/>
              </w:tabs>
              <w:contextualSpacing/>
              <w:jc w:val="right"/>
              <w:rPr>
                <w:rFonts w:ascii="Arial" w:hAnsi="Arial" w:cs="Arial"/>
                <w:bCs/>
                <w:sz w:val="17"/>
                <w:szCs w:val="17"/>
                <w:lang w:val="en-GB"/>
              </w:rPr>
            </w:pPr>
          </w:p>
        </w:tc>
      </w:tr>
      <w:tr w:rsidR="00E15C4F" w:rsidRPr="00986894" w14:paraId="45FC4324" w14:textId="77777777" w:rsidTr="001454EC">
        <w:trPr>
          <w:tblHeader/>
        </w:trPr>
        <w:tc>
          <w:tcPr>
            <w:tcW w:w="2155" w:type="dxa"/>
          </w:tcPr>
          <w:p w14:paraId="71F805C3" w14:textId="69A18225"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Shareholders</w:t>
            </w:r>
            <w:r w:rsidR="00194809" w:rsidRPr="00986894">
              <w:rPr>
                <w:rFonts w:ascii="Arial" w:hAnsi="Arial" w:cs="Arial"/>
                <w:bCs/>
                <w:sz w:val="17"/>
                <w:szCs w:val="17"/>
                <w:lang w:val="en-GB"/>
              </w:rPr>
              <w:t xml:space="preserve">’ </w:t>
            </w:r>
            <w:r w:rsidRPr="00986894">
              <w:rPr>
                <w:rFonts w:ascii="Arial" w:hAnsi="Arial" w:cs="Arial"/>
                <w:bCs/>
                <w:sz w:val="17"/>
                <w:szCs w:val="17"/>
                <w:lang w:val="en-GB"/>
              </w:rPr>
              <w:t>Equity</w:t>
            </w:r>
          </w:p>
        </w:tc>
        <w:tc>
          <w:tcPr>
            <w:tcW w:w="946" w:type="dxa"/>
          </w:tcPr>
          <w:p w14:paraId="53020A1E" w14:textId="678EFD61"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5,000</w:t>
            </w:r>
          </w:p>
        </w:tc>
        <w:tc>
          <w:tcPr>
            <w:tcW w:w="2040" w:type="dxa"/>
            <w:gridSpan w:val="3"/>
            <w:vMerge/>
          </w:tcPr>
          <w:p w14:paraId="5B6D5604" w14:textId="695C7028"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0C89C60D" w14:textId="0AF61FE7"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1,321,188</w:t>
            </w:r>
          </w:p>
        </w:tc>
        <w:tc>
          <w:tcPr>
            <w:tcW w:w="975" w:type="dxa"/>
          </w:tcPr>
          <w:p w14:paraId="1C7F9819" w14:textId="051D1B45"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1,321,188</w:t>
            </w:r>
          </w:p>
        </w:tc>
        <w:tc>
          <w:tcPr>
            <w:tcW w:w="1077" w:type="dxa"/>
          </w:tcPr>
          <w:p w14:paraId="65FAB379" w14:textId="4B238294"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11,860,238</w:t>
            </w:r>
          </w:p>
        </w:tc>
        <w:tc>
          <w:tcPr>
            <w:tcW w:w="1077" w:type="dxa"/>
          </w:tcPr>
          <w:p w14:paraId="5DC4123B" w14:textId="799B54E8"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11,900,993</w:t>
            </w:r>
          </w:p>
        </w:tc>
      </w:tr>
      <w:tr w:rsidR="00E15C4F" w:rsidRPr="00986894" w14:paraId="0252664C" w14:textId="77777777" w:rsidTr="001454EC">
        <w:trPr>
          <w:tblHeader/>
        </w:trPr>
        <w:tc>
          <w:tcPr>
            <w:tcW w:w="2155" w:type="dxa"/>
          </w:tcPr>
          <w:p w14:paraId="79A89085" w14:textId="0772F594" w:rsidR="00E15C4F" w:rsidRPr="00986894" w:rsidRDefault="006F547B" w:rsidP="00374240">
            <w:pPr>
              <w:tabs>
                <w:tab w:val="left" w:pos="6155"/>
              </w:tabs>
              <w:contextualSpacing/>
              <w:rPr>
                <w:rFonts w:ascii="Arial" w:hAnsi="Arial" w:cs="Arial"/>
                <w:bCs/>
                <w:sz w:val="17"/>
                <w:szCs w:val="17"/>
                <w:lang w:val="en-GB"/>
              </w:rPr>
            </w:pPr>
            <w:r w:rsidRPr="00986894">
              <w:rPr>
                <w:rFonts w:ascii="Arial" w:hAnsi="Arial" w:cs="Arial"/>
                <w:bCs/>
                <w:sz w:val="17"/>
                <w:szCs w:val="17"/>
                <w:lang w:val="en-GB"/>
              </w:rPr>
              <w:t xml:space="preserve"> </w:t>
            </w:r>
            <w:r w:rsidR="00E15C4F" w:rsidRPr="00986894">
              <w:rPr>
                <w:rFonts w:ascii="Arial" w:hAnsi="Arial" w:cs="Arial"/>
                <w:bCs/>
                <w:sz w:val="17"/>
                <w:szCs w:val="17"/>
                <w:lang w:val="en-GB"/>
              </w:rPr>
              <w:t xml:space="preserve">Accumulated </w:t>
            </w:r>
            <w:r w:rsidRPr="00986894">
              <w:rPr>
                <w:rFonts w:ascii="Arial" w:hAnsi="Arial" w:cs="Arial"/>
                <w:bCs/>
                <w:sz w:val="17"/>
                <w:szCs w:val="17"/>
                <w:lang w:val="en-GB"/>
              </w:rPr>
              <w:t>Deficits</w:t>
            </w:r>
          </w:p>
        </w:tc>
        <w:tc>
          <w:tcPr>
            <w:tcW w:w="946" w:type="dxa"/>
          </w:tcPr>
          <w:p w14:paraId="52BD335B" w14:textId="6AD1AC17" w:rsidR="00E15C4F" w:rsidRPr="00986894" w:rsidRDefault="00E15C4F" w:rsidP="00374240">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56,371</w:t>
            </w:r>
          </w:p>
        </w:tc>
        <w:tc>
          <w:tcPr>
            <w:tcW w:w="2040" w:type="dxa"/>
            <w:gridSpan w:val="3"/>
            <w:vMerge/>
          </w:tcPr>
          <w:p w14:paraId="017881C5" w14:textId="260B8E29" w:rsidR="00E15C4F" w:rsidRPr="00986894" w:rsidRDefault="00E15C4F">
            <w:pPr>
              <w:tabs>
                <w:tab w:val="left" w:pos="6155"/>
              </w:tabs>
              <w:contextualSpacing/>
              <w:jc w:val="right"/>
              <w:rPr>
                <w:rFonts w:ascii="Arial" w:hAnsi="Arial" w:cs="Arial"/>
                <w:bCs/>
                <w:sz w:val="17"/>
                <w:szCs w:val="17"/>
                <w:lang w:val="en-GB"/>
              </w:rPr>
            </w:pPr>
          </w:p>
        </w:tc>
        <w:tc>
          <w:tcPr>
            <w:tcW w:w="1032" w:type="dxa"/>
          </w:tcPr>
          <w:p w14:paraId="071722B5" w14:textId="4D02D0FF"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3,248,781</w:t>
            </w:r>
          </w:p>
        </w:tc>
        <w:tc>
          <w:tcPr>
            <w:tcW w:w="975" w:type="dxa"/>
          </w:tcPr>
          <w:p w14:paraId="1D9B3FD1" w14:textId="3771BDC3"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3,833,459</w:t>
            </w:r>
          </w:p>
        </w:tc>
        <w:tc>
          <w:tcPr>
            <w:tcW w:w="1077" w:type="dxa"/>
          </w:tcPr>
          <w:p w14:paraId="67EBED88" w14:textId="2BC88075"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5,038,306</w:t>
            </w:r>
          </w:p>
        </w:tc>
        <w:tc>
          <w:tcPr>
            <w:tcW w:w="1077" w:type="dxa"/>
          </w:tcPr>
          <w:p w14:paraId="6104703B" w14:textId="7169841D" w:rsidR="00E15C4F" w:rsidRPr="00986894" w:rsidRDefault="00E15C4F">
            <w:pPr>
              <w:tabs>
                <w:tab w:val="left" w:pos="6155"/>
              </w:tabs>
              <w:contextualSpacing/>
              <w:jc w:val="right"/>
              <w:rPr>
                <w:rFonts w:ascii="Arial" w:hAnsi="Arial" w:cs="Arial"/>
                <w:bCs/>
                <w:sz w:val="17"/>
                <w:szCs w:val="17"/>
                <w:lang w:val="en-GB"/>
              </w:rPr>
            </w:pPr>
            <w:r w:rsidRPr="00986894">
              <w:rPr>
                <w:rFonts w:ascii="Arial" w:hAnsi="Arial" w:cs="Arial"/>
                <w:bCs/>
                <w:sz w:val="17"/>
                <w:szCs w:val="17"/>
                <w:lang w:val="en-GB"/>
              </w:rPr>
              <w:t>5,467,041</w:t>
            </w:r>
          </w:p>
        </w:tc>
      </w:tr>
      <w:tr w:rsidR="00E15C4F" w:rsidRPr="00986894" w14:paraId="148F4D5B" w14:textId="77777777" w:rsidTr="001454EC">
        <w:trPr>
          <w:tblHeader/>
        </w:trPr>
        <w:tc>
          <w:tcPr>
            <w:tcW w:w="2155" w:type="dxa"/>
          </w:tcPr>
          <w:p w14:paraId="2E2B2370" w14:textId="2681FF40" w:rsidR="00E15C4F" w:rsidRPr="00515CCA" w:rsidRDefault="006F547B" w:rsidP="00374240">
            <w:pPr>
              <w:tabs>
                <w:tab w:val="left" w:pos="6155"/>
              </w:tabs>
              <w:contextualSpacing/>
              <w:rPr>
                <w:rFonts w:ascii="Arial" w:hAnsi="Arial" w:cs="Arial"/>
                <w:b/>
                <w:bCs/>
                <w:sz w:val="17"/>
                <w:szCs w:val="17"/>
                <w:lang w:val="en-GB"/>
              </w:rPr>
            </w:pPr>
            <w:r w:rsidRPr="00515CCA">
              <w:rPr>
                <w:rFonts w:ascii="Arial" w:hAnsi="Arial" w:cs="Arial"/>
                <w:b/>
                <w:bCs/>
                <w:sz w:val="17"/>
                <w:szCs w:val="17"/>
                <w:lang w:val="en-GB"/>
              </w:rPr>
              <w:t>Total Equity</w:t>
            </w:r>
          </w:p>
        </w:tc>
        <w:tc>
          <w:tcPr>
            <w:tcW w:w="946" w:type="dxa"/>
          </w:tcPr>
          <w:p w14:paraId="47FB5183" w14:textId="3E314554" w:rsidR="00E15C4F" w:rsidRPr="00515CCA" w:rsidRDefault="006F547B" w:rsidP="00374240">
            <w:pPr>
              <w:tabs>
                <w:tab w:val="left" w:pos="6155"/>
              </w:tabs>
              <w:contextualSpacing/>
              <w:jc w:val="right"/>
              <w:rPr>
                <w:rFonts w:ascii="Arial" w:hAnsi="Arial" w:cs="Arial"/>
                <w:b/>
                <w:bCs/>
                <w:sz w:val="17"/>
                <w:szCs w:val="17"/>
                <w:lang w:val="en-GB"/>
              </w:rPr>
            </w:pPr>
            <w:r w:rsidRPr="00515CCA">
              <w:rPr>
                <w:rFonts w:ascii="Arial" w:hAnsi="Arial" w:cs="Arial"/>
                <w:b/>
                <w:bCs/>
                <w:sz w:val="17"/>
                <w:szCs w:val="17"/>
                <w:lang w:val="en-GB"/>
              </w:rPr>
              <w:t>(</w:t>
            </w:r>
            <w:r w:rsidR="00E15C4F" w:rsidRPr="00515CCA">
              <w:rPr>
                <w:rFonts w:ascii="Arial" w:hAnsi="Arial" w:cs="Arial"/>
                <w:b/>
                <w:bCs/>
                <w:sz w:val="17"/>
                <w:szCs w:val="17"/>
                <w:lang w:val="en-GB"/>
              </w:rPr>
              <w:t>51,371</w:t>
            </w:r>
            <w:r w:rsidRPr="00515CCA">
              <w:rPr>
                <w:rFonts w:ascii="Arial" w:hAnsi="Arial" w:cs="Arial"/>
                <w:b/>
                <w:bCs/>
                <w:sz w:val="17"/>
                <w:szCs w:val="17"/>
                <w:lang w:val="en-GB"/>
              </w:rPr>
              <w:t>)</w:t>
            </w:r>
          </w:p>
        </w:tc>
        <w:tc>
          <w:tcPr>
            <w:tcW w:w="2040" w:type="dxa"/>
            <w:gridSpan w:val="3"/>
            <w:vMerge/>
          </w:tcPr>
          <w:p w14:paraId="17D7E9FA" w14:textId="5DF544ED" w:rsidR="00E15C4F" w:rsidRPr="00515CCA" w:rsidRDefault="00E15C4F">
            <w:pPr>
              <w:tabs>
                <w:tab w:val="left" w:pos="6155"/>
              </w:tabs>
              <w:contextualSpacing/>
              <w:jc w:val="right"/>
              <w:rPr>
                <w:rFonts w:ascii="Arial" w:hAnsi="Arial" w:cs="Arial"/>
                <w:b/>
                <w:bCs/>
                <w:sz w:val="17"/>
                <w:szCs w:val="17"/>
                <w:lang w:val="en-GB"/>
              </w:rPr>
            </w:pPr>
          </w:p>
        </w:tc>
        <w:tc>
          <w:tcPr>
            <w:tcW w:w="1032" w:type="dxa"/>
          </w:tcPr>
          <w:p w14:paraId="5137E0AE" w14:textId="4B94E1A7" w:rsidR="00E15C4F" w:rsidRPr="00515CCA" w:rsidRDefault="00194809">
            <w:pPr>
              <w:tabs>
                <w:tab w:val="left" w:pos="6155"/>
              </w:tabs>
              <w:contextualSpacing/>
              <w:jc w:val="right"/>
              <w:rPr>
                <w:rFonts w:ascii="Arial" w:hAnsi="Arial" w:cs="Arial"/>
                <w:b/>
                <w:bCs/>
                <w:sz w:val="17"/>
                <w:szCs w:val="17"/>
                <w:lang w:val="en-GB"/>
              </w:rPr>
            </w:pPr>
            <w:r w:rsidRPr="00515CCA">
              <w:rPr>
                <w:rFonts w:ascii="Arial" w:hAnsi="Arial" w:cs="Arial"/>
                <w:b/>
                <w:bCs/>
                <w:sz w:val="17"/>
                <w:szCs w:val="17"/>
                <w:lang w:val="en-GB"/>
              </w:rPr>
              <w:t>2,350,748</w:t>
            </w:r>
          </w:p>
        </w:tc>
        <w:tc>
          <w:tcPr>
            <w:tcW w:w="975" w:type="dxa"/>
          </w:tcPr>
          <w:p w14:paraId="67B34A47" w14:textId="219F8386" w:rsidR="00E15C4F" w:rsidRPr="00515CCA" w:rsidRDefault="00E15C4F">
            <w:pPr>
              <w:tabs>
                <w:tab w:val="left" w:pos="6155"/>
              </w:tabs>
              <w:contextualSpacing/>
              <w:jc w:val="right"/>
              <w:rPr>
                <w:rFonts w:ascii="Arial" w:hAnsi="Arial" w:cs="Arial"/>
                <w:b/>
                <w:bCs/>
                <w:sz w:val="17"/>
                <w:szCs w:val="17"/>
                <w:lang w:val="en-GB"/>
              </w:rPr>
            </w:pPr>
            <w:r w:rsidRPr="00515CCA">
              <w:rPr>
                <w:rFonts w:ascii="Arial" w:hAnsi="Arial" w:cs="Arial"/>
                <w:b/>
                <w:bCs/>
                <w:sz w:val="17"/>
                <w:szCs w:val="17"/>
                <w:lang w:val="en-GB"/>
              </w:rPr>
              <w:t>2,512,271</w:t>
            </w:r>
          </w:p>
        </w:tc>
        <w:tc>
          <w:tcPr>
            <w:tcW w:w="1077" w:type="dxa"/>
          </w:tcPr>
          <w:p w14:paraId="6435622D" w14:textId="4B14F423" w:rsidR="00E15C4F" w:rsidRPr="00515CCA" w:rsidRDefault="00E15C4F">
            <w:pPr>
              <w:tabs>
                <w:tab w:val="left" w:pos="6155"/>
              </w:tabs>
              <w:contextualSpacing/>
              <w:jc w:val="right"/>
              <w:rPr>
                <w:rFonts w:ascii="Arial" w:hAnsi="Arial" w:cs="Arial"/>
                <w:b/>
                <w:bCs/>
                <w:sz w:val="17"/>
                <w:szCs w:val="17"/>
                <w:lang w:val="en-GB"/>
              </w:rPr>
            </w:pPr>
            <w:r w:rsidRPr="00515CCA">
              <w:rPr>
                <w:rFonts w:ascii="Arial" w:hAnsi="Arial" w:cs="Arial"/>
                <w:b/>
                <w:bCs/>
                <w:sz w:val="17"/>
                <w:szCs w:val="17"/>
                <w:lang w:val="en-GB"/>
              </w:rPr>
              <w:t>6,821,932</w:t>
            </w:r>
          </w:p>
        </w:tc>
        <w:tc>
          <w:tcPr>
            <w:tcW w:w="1077" w:type="dxa"/>
          </w:tcPr>
          <w:p w14:paraId="6F045720" w14:textId="1BF81C4E" w:rsidR="00E15C4F" w:rsidRPr="00515CCA" w:rsidRDefault="00E15C4F">
            <w:pPr>
              <w:tabs>
                <w:tab w:val="left" w:pos="6155"/>
              </w:tabs>
              <w:contextualSpacing/>
              <w:jc w:val="right"/>
              <w:rPr>
                <w:rFonts w:ascii="Arial" w:hAnsi="Arial" w:cs="Arial"/>
                <w:b/>
                <w:bCs/>
                <w:sz w:val="17"/>
                <w:szCs w:val="17"/>
                <w:lang w:val="en-GB"/>
              </w:rPr>
            </w:pPr>
            <w:r w:rsidRPr="00515CCA">
              <w:rPr>
                <w:rFonts w:ascii="Arial" w:hAnsi="Arial" w:cs="Arial"/>
                <w:b/>
                <w:bCs/>
                <w:sz w:val="17"/>
                <w:szCs w:val="17"/>
                <w:lang w:val="en-GB"/>
              </w:rPr>
              <w:t>6,433,952</w:t>
            </w:r>
          </w:p>
        </w:tc>
      </w:tr>
    </w:tbl>
    <w:p w14:paraId="589750BB" w14:textId="77777777" w:rsidR="0034378A" w:rsidRPr="00986894" w:rsidRDefault="0034378A" w:rsidP="00374240">
      <w:pPr>
        <w:pStyle w:val="Footnote"/>
      </w:pPr>
    </w:p>
    <w:p w14:paraId="1233D029" w14:textId="333A892F" w:rsidR="0052419A" w:rsidRPr="00986894" w:rsidRDefault="0034378A" w:rsidP="00374240">
      <w:pPr>
        <w:tabs>
          <w:tab w:val="left" w:pos="6155"/>
        </w:tabs>
        <w:contextualSpacing/>
        <w:jc w:val="both"/>
        <w:rPr>
          <w:rFonts w:ascii="Arial" w:hAnsi="Arial" w:cs="Arial"/>
          <w:color w:val="000000" w:themeColor="text1"/>
          <w:spacing w:val="-4"/>
          <w:sz w:val="17"/>
          <w:szCs w:val="17"/>
          <w:lang w:val="en-GB"/>
        </w:rPr>
      </w:pPr>
      <w:bookmarkStart w:id="27" w:name="_Hlk48231338"/>
      <w:r w:rsidRPr="00986894">
        <w:rPr>
          <w:rFonts w:ascii="Arial" w:hAnsi="Arial" w:cs="Arial"/>
          <w:spacing w:val="-4"/>
          <w:sz w:val="17"/>
          <w:szCs w:val="17"/>
          <w:lang w:val="en-GB"/>
        </w:rPr>
        <w:t xml:space="preserve">Source: Developed by </w:t>
      </w:r>
      <w:r w:rsidR="006F547B" w:rsidRPr="00986894">
        <w:rPr>
          <w:rFonts w:ascii="Arial" w:hAnsi="Arial" w:cs="Arial"/>
          <w:spacing w:val="-4"/>
          <w:sz w:val="17"/>
          <w:szCs w:val="17"/>
          <w:lang w:val="en-GB"/>
        </w:rPr>
        <w:t xml:space="preserve">case </w:t>
      </w:r>
      <w:r w:rsidRPr="00986894">
        <w:rPr>
          <w:rFonts w:ascii="Arial" w:hAnsi="Arial" w:cs="Arial"/>
          <w:spacing w:val="-4"/>
          <w:sz w:val="17"/>
          <w:szCs w:val="17"/>
          <w:lang w:val="en-GB"/>
        </w:rPr>
        <w:t>author</w:t>
      </w:r>
      <w:r w:rsidR="006F547B" w:rsidRPr="00986894">
        <w:rPr>
          <w:rFonts w:ascii="Arial" w:hAnsi="Arial" w:cs="Arial"/>
          <w:spacing w:val="-4"/>
          <w:sz w:val="17"/>
          <w:szCs w:val="17"/>
          <w:lang w:val="en-GB"/>
        </w:rPr>
        <w:t xml:space="preserve"> with </w:t>
      </w:r>
      <w:r w:rsidRPr="00986894">
        <w:rPr>
          <w:rFonts w:ascii="Arial" w:hAnsi="Arial" w:cs="Arial"/>
          <w:spacing w:val="-4"/>
          <w:sz w:val="17"/>
          <w:szCs w:val="17"/>
          <w:lang w:val="en-GB"/>
        </w:rPr>
        <w:t xml:space="preserve">data from </w:t>
      </w:r>
      <w:proofErr w:type="spellStart"/>
      <w:r w:rsidR="00C62FF9" w:rsidRPr="00C62FF9">
        <w:rPr>
          <w:rStyle w:val="FootnoteChar"/>
          <w:lang w:val="en-GB"/>
        </w:rPr>
        <w:t>Luckin</w:t>
      </w:r>
      <w:proofErr w:type="spellEnd"/>
      <w:r w:rsidR="00C62FF9" w:rsidRPr="00C62FF9">
        <w:rPr>
          <w:rStyle w:val="FootnoteChar"/>
          <w:lang w:val="en-GB"/>
        </w:rPr>
        <w:t xml:space="preserve"> Coffee</w:t>
      </w:r>
      <w:r w:rsidRPr="00986894">
        <w:rPr>
          <w:rFonts w:ascii="Arial" w:hAnsi="Arial" w:cs="Arial"/>
          <w:spacing w:val="-4"/>
          <w:sz w:val="17"/>
          <w:szCs w:val="17"/>
          <w:lang w:val="en-GB"/>
        </w:rPr>
        <w:t xml:space="preserve">, </w:t>
      </w:r>
      <w:r w:rsidR="00F12B32" w:rsidRPr="00DE0D51">
        <w:rPr>
          <w:rFonts w:ascii="Arial" w:hAnsi="Arial" w:cs="Arial"/>
          <w:i/>
          <w:spacing w:val="-4"/>
          <w:sz w:val="17"/>
          <w:szCs w:val="17"/>
          <w:lang w:val="en-GB"/>
        </w:rPr>
        <w:t xml:space="preserve">33,000,000 American Depositary Shares: </w:t>
      </w:r>
      <w:proofErr w:type="spellStart"/>
      <w:r w:rsidR="00F12B32" w:rsidRPr="00DE0D51">
        <w:rPr>
          <w:rFonts w:ascii="Arial" w:hAnsi="Arial" w:cs="Arial"/>
          <w:i/>
          <w:spacing w:val="-4"/>
          <w:sz w:val="17"/>
          <w:szCs w:val="17"/>
          <w:lang w:val="en-GB"/>
        </w:rPr>
        <w:t>Luckin</w:t>
      </w:r>
      <w:proofErr w:type="spellEnd"/>
      <w:r w:rsidR="00F12B32" w:rsidRPr="00DE0D51">
        <w:rPr>
          <w:rFonts w:ascii="Arial" w:hAnsi="Arial" w:cs="Arial"/>
          <w:i/>
          <w:spacing w:val="-4"/>
          <w:sz w:val="17"/>
          <w:szCs w:val="17"/>
          <w:lang w:val="en-GB"/>
        </w:rPr>
        <w:t xml:space="preserve"> Coffee Inc. Representing </w:t>
      </w:r>
      <w:r w:rsidR="00FD1500" w:rsidRPr="00DE0D51">
        <w:rPr>
          <w:rFonts w:ascii="Arial" w:hAnsi="Arial" w:cs="Arial"/>
          <w:i/>
          <w:spacing w:val="-4"/>
          <w:sz w:val="17"/>
          <w:szCs w:val="17"/>
          <w:lang w:val="en-GB"/>
        </w:rPr>
        <w:t>264,000,000 Class A Ordinary Shares</w:t>
      </w:r>
      <w:r w:rsidR="00FD1500" w:rsidRPr="00986894">
        <w:rPr>
          <w:rFonts w:ascii="Arial" w:hAnsi="Arial" w:cs="Arial"/>
          <w:spacing w:val="-4"/>
          <w:sz w:val="17"/>
          <w:szCs w:val="17"/>
          <w:lang w:val="en-GB"/>
        </w:rPr>
        <w:t>,</w:t>
      </w:r>
      <w:r w:rsidR="00F12B32">
        <w:rPr>
          <w:rFonts w:ascii="Arial" w:hAnsi="Arial" w:cs="Arial"/>
          <w:spacing w:val="-4"/>
          <w:sz w:val="17"/>
          <w:szCs w:val="17"/>
          <w:lang w:val="en-GB"/>
        </w:rPr>
        <w:t xml:space="preserve"> </w:t>
      </w:r>
      <w:r w:rsidR="00FD1500" w:rsidRPr="00986894">
        <w:rPr>
          <w:rFonts w:ascii="Arial" w:hAnsi="Arial" w:cs="Arial"/>
          <w:spacing w:val="-4"/>
          <w:sz w:val="17"/>
          <w:szCs w:val="17"/>
          <w:lang w:val="en-GB"/>
        </w:rPr>
        <w:t>May 16, 2019, accessed August 5, 2020, https://investor.luckincoffee.com/static-files/62ae7fff-d256-461e-9012-a47bfdc3a686</w:t>
      </w:r>
      <w:r w:rsidRPr="00986894">
        <w:rPr>
          <w:rFonts w:ascii="Arial" w:hAnsi="Arial" w:cs="Arial"/>
          <w:color w:val="000000" w:themeColor="text1"/>
          <w:spacing w:val="-4"/>
          <w:sz w:val="17"/>
          <w:szCs w:val="17"/>
          <w:lang w:val="en-GB"/>
        </w:rPr>
        <w:t>; “</w:t>
      </w:r>
      <w:proofErr w:type="spellStart"/>
      <w:r w:rsidRPr="00986894">
        <w:rPr>
          <w:rFonts w:ascii="Arial" w:hAnsi="Arial" w:cs="Arial"/>
          <w:color w:val="000000" w:themeColor="text1"/>
          <w:spacing w:val="-4"/>
          <w:sz w:val="17"/>
          <w:szCs w:val="17"/>
          <w:lang w:val="en-GB"/>
        </w:rPr>
        <w:t>Luckin</w:t>
      </w:r>
      <w:proofErr w:type="spellEnd"/>
      <w:r w:rsidRPr="00986894">
        <w:rPr>
          <w:rFonts w:ascii="Arial" w:hAnsi="Arial" w:cs="Arial"/>
          <w:color w:val="000000" w:themeColor="text1"/>
          <w:spacing w:val="-4"/>
          <w:sz w:val="17"/>
          <w:szCs w:val="17"/>
          <w:lang w:val="en-GB"/>
        </w:rPr>
        <w:t xml:space="preserve"> Coffee Inc. Announces Unaudited S</w:t>
      </w:r>
      <w:bookmarkEnd w:id="27"/>
      <w:r w:rsidRPr="00986894">
        <w:rPr>
          <w:rFonts w:ascii="Arial" w:hAnsi="Arial" w:cs="Arial"/>
          <w:color w:val="000000" w:themeColor="text1"/>
          <w:spacing w:val="-4"/>
          <w:sz w:val="17"/>
          <w:szCs w:val="17"/>
          <w:lang w:val="en-GB"/>
        </w:rPr>
        <w:t xml:space="preserve">econd Quarter 2019 Financial Results,”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00F12B32">
        <w:rPr>
          <w:rFonts w:ascii="Arial" w:hAnsi="Arial" w:cs="Arial"/>
          <w:iCs/>
          <w:color w:val="000000" w:themeColor="text1"/>
          <w:spacing w:val="-4"/>
          <w:sz w:val="17"/>
          <w:szCs w:val="17"/>
          <w:lang w:val="en-GB"/>
        </w:rPr>
        <w:t xml:space="preserve"> (press release)</w:t>
      </w:r>
      <w:r w:rsidRPr="00986894">
        <w:rPr>
          <w:rFonts w:ascii="Arial" w:hAnsi="Arial" w:cs="Arial"/>
          <w:color w:val="000000" w:themeColor="text1"/>
          <w:spacing w:val="-4"/>
          <w:sz w:val="17"/>
          <w:szCs w:val="17"/>
          <w:lang w:val="en-GB"/>
        </w:rPr>
        <w:t>, August 14, 2019, accessed August 5, 2020,</w:t>
      </w:r>
      <w:r w:rsidRPr="00986894">
        <w:rPr>
          <w:spacing w:val="-4"/>
          <w:lang w:val="en-GB"/>
        </w:rPr>
        <w:t xml:space="preserve"> </w:t>
      </w:r>
      <w:r w:rsidRPr="00986894">
        <w:rPr>
          <w:rFonts w:ascii="Arial" w:hAnsi="Arial" w:cs="Arial"/>
          <w:color w:val="000000" w:themeColor="text1"/>
          <w:spacing w:val="-4"/>
          <w:sz w:val="17"/>
          <w:szCs w:val="17"/>
          <w:lang w:val="en-GB"/>
        </w:rPr>
        <w:t>https://investor.luckincoffee.com/static-files/399afeb2-3d54-4cc4-8030-d3672d865a71; “</w:t>
      </w:r>
      <w:proofErr w:type="spellStart"/>
      <w:r w:rsidRPr="00986894">
        <w:rPr>
          <w:rFonts w:ascii="Arial" w:hAnsi="Arial" w:cs="Arial"/>
          <w:color w:val="000000" w:themeColor="text1"/>
          <w:spacing w:val="-4"/>
          <w:sz w:val="17"/>
          <w:szCs w:val="17"/>
          <w:lang w:val="en-GB"/>
        </w:rPr>
        <w:t>Luckin</w:t>
      </w:r>
      <w:proofErr w:type="spellEnd"/>
      <w:r w:rsidRPr="00986894">
        <w:rPr>
          <w:rFonts w:ascii="Arial" w:hAnsi="Arial" w:cs="Arial"/>
          <w:color w:val="000000" w:themeColor="text1"/>
          <w:spacing w:val="-4"/>
          <w:sz w:val="17"/>
          <w:szCs w:val="17"/>
          <w:lang w:val="en-GB"/>
        </w:rPr>
        <w:t xml:space="preserve"> Coffee Inc. Announces Unaudited Third Quarter 2019 Financial Results,”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00C62FF9">
        <w:rPr>
          <w:rFonts w:ascii="Arial" w:hAnsi="Arial" w:cs="Arial"/>
          <w:color w:val="000000" w:themeColor="text1"/>
          <w:spacing w:val="-4"/>
          <w:sz w:val="17"/>
          <w:szCs w:val="17"/>
          <w:lang w:val="en-GB"/>
        </w:rPr>
        <w:t xml:space="preserve"> </w:t>
      </w:r>
      <w:r w:rsidR="00F12B32">
        <w:rPr>
          <w:rFonts w:ascii="Arial" w:hAnsi="Arial" w:cs="Arial"/>
          <w:color w:val="000000" w:themeColor="text1"/>
          <w:spacing w:val="-4"/>
          <w:sz w:val="17"/>
          <w:szCs w:val="17"/>
          <w:lang w:val="en-GB"/>
        </w:rPr>
        <w:t>(</w:t>
      </w:r>
      <w:r w:rsidR="006F547B" w:rsidRPr="00986894">
        <w:rPr>
          <w:rFonts w:ascii="Arial" w:hAnsi="Arial" w:cs="Arial"/>
          <w:color w:val="000000" w:themeColor="text1"/>
          <w:spacing w:val="-4"/>
          <w:sz w:val="17"/>
          <w:szCs w:val="17"/>
          <w:lang w:val="en-GB"/>
        </w:rPr>
        <w:t>news release</w:t>
      </w:r>
      <w:r w:rsidR="00F12B32">
        <w:rPr>
          <w:rFonts w:ascii="Arial" w:hAnsi="Arial" w:cs="Arial"/>
          <w:color w:val="000000" w:themeColor="text1"/>
          <w:spacing w:val="-4"/>
          <w:sz w:val="17"/>
          <w:szCs w:val="17"/>
          <w:lang w:val="en-GB"/>
        </w:rPr>
        <w:t>)</w:t>
      </w:r>
      <w:r w:rsidR="006F547B" w:rsidRPr="00986894">
        <w:rPr>
          <w:rFonts w:ascii="Arial" w:hAnsi="Arial" w:cs="Arial"/>
          <w:color w:val="000000" w:themeColor="text1"/>
          <w:spacing w:val="-4"/>
          <w:sz w:val="17"/>
          <w:szCs w:val="17"/>
          <w:lang w:val="en-GB"/>
        </w:rPr>
        <w:t>,</w:t>
      </w:r>
      <w:r w:rsidR="00F12B32">
        <w:rPr>
          <w:rFonts w:ascii="Arial" w:hAnsi="Arial" w:cs="Arial"/>
          <w:color w:val="000000" w:themeColor="text1"/>
          <w:spacing w:val="-4"/>
          <w:sz w:val="17"/>
          <w:szCs w:val="17"/>
          <w:lang w:val="en-GB"/>
        </w:rPr>
        <w:t xml:space="preserve"> </w:t>
      </w:r>
      <w:r w:rsidRPr="00986894">
        <w:rPr>
          <w:rFonts w:ascii="Arial" w:hAnsi="Arial" w:cs="Arial"/>
          <w:color w:val="000000" w:themeColor="text1"/>
          <w:spacing w:val="-4"/>
          <w:sz w:val="17"/>
          <w:szCs w:val="17"/>
          <w:lang w:val="en-GB"/>
        </w:rPr>
        <w:t xml:space="preserve">November 13, 2019, accessed August 5, 2020, </w:t>
      </w:r>
      <w:hyperlink r:id="rId35" w:history="1">
        <w:r w:rsidRPr="00986894">
          <w:rPr>
            <w:rStyle w:val="Hyperlink"/>
            <w:rFonts w:ascii="Arial" w:hAnsi="Arial" w:cs="Arial"/>
            <w:color w:val="000000" w:themeColor="text1"/>
            <w:spacing w:val="-4"/>
            <w:sz w:val="17"/>
            <w:szCs w:val="17"/>
            <w:u w:val="none"/>
            <w:lang w:val="en-GB"/>
          </w:rPr>
          <w:t>https://investor.luckincoffee.com/static-files/e228e5f9-e47f-47e4-b8dd-f1cabe870ebb</w:t>
        </w:r>
      </w:hyperlink>
      <w:r w:rsidRPr="00986894">
        <w:rPr>
          <w:rStyle w:val="Hyperlink"/>
          <w:rFonts w:ascii="Arial" w:hAnsi="Arial" w:cs="Arial"/>
          <w:color w:val="000000" w:themeColor="text1"/>
          <w:spacing w:val="-4"/>
          <w:sz w:val="17"/>
          <w:szCs w:val="17"/>
          <w:u w:val="none"/>
          <w:lang w:val="en-GB"/>
        </w:rPr>
        <w:t xml:space="preserve">; </w:t>
      </w:r>
      <w:r w:rsidR="00F12B32">
        <w:rPr>
          <w:rStyle w:val="Hyperlink"/>
          <w:rFonts w:ascii="Arial" w:hAnsi="Arial" w:cs="Arial"/>
          <w:color w:val="000000" w:themeColor="text1"/>
          <w:spacing w:val="-4"/>
          <w:sz w:val="17"/>
          <w:szCs w:val="17"/>
          <w:u w:val="none"/>
          <w:lang w:val="en-GB"/>
        </w:rPr>
        <w:t xml:space="preserve">SEC Filings, </w:t>
      </w:r>
      <w:r w:rsidRPr="00986894">
        <w:rPr>
          <w:rStyle w:val="Hyperlink"/>
          <w:rFonts w:ascii="Arial" w:hAnsi="Arial" w:cs="Arial"/>
          <w:color w:val="000000" w:themeColor="text1"/>
          <w:spacing w:val="-4"/>
          <w:sz w:val="17"/>
          <w:szCs w:val="17"/>
          <w:u w:val="none"/>
          <w:lang w:val="en-GB"/>
        </w:rPr>
        <w:t xml:space="preserve">“Draft </w:t>
      </w:r>
      <w:r w:rsidR="004F24A5" w:rsidRPr="00986894">
        <w:rPr>
          <w:rStyle w:val="Hyperlink"/>
          <w:rFonts w:ascii="Arial" w:hAnsi="Arial" w:cs="Arial"/>
          <w:color w:val="000000" w:themeColor="text1"/>
          <w:spacing w:val="-4"/>
          <w:sz w:val="17"/>
          <w:szCs w:val="17"/>
          <w:u w:val="none"/>
          <w:lang w:val="en-GB"/>
        </w:rPr>
        <w:t>Registration Statement Submitted</w:t>
      </w:r>
      <w:r w:rsidRPr="00986894">
        <w:rPr>
          <w:rStyle w:val="Hyperlink"/>
          <w:rFonts w:ascii="Arial" w:hAnsi="Arial" w:cs="Arial"/>
          <w:color w:val="000000" w:themeColor="text1"/>
          <w:spacing w:val="-4"/>
          <w:sz w:val="17"/>
          <w:szCs w:val="17"/>
          <w:u w:val="none"/>
          <w:lang w:val="en-GB"/>
        </w:rPr>
        <w:t xml:space="preserve"> by Emerging Growth Company under Securities Act Section 6(e) or by Foreign Private Issuer under Division of Corporation Finance </w:t>
      </w:r>
      <w:r w:rsidR="004F24A5" w:rsidRPr="00986894">
        <w:rPr>
          <w:rStyle w:val="Hyperlink"/>
          <w:rFonts w:ascii="Arial" w:hAnsi="Arial" w:cs="Arial"/>
          <w:color w:val="000000" w:themeColor="text1"/>
          <w:spacing w:val="-4"/>
          <w:sz w:val="17"/>
          <w:szCs w:val="17"/>
          <w:u w:val="none"/>
          <w:lang w:val="en-GB"/>
        </w:rPr>
        <w:t>Policy</w:t>
      </w:r>
      <w:r w:rsidRPr="00986894">
        <w:rPr>
          <w:rStyle w:val="Hyperlink"/>
          <w:rFonts w:ascii="Arial" w:hAnsi="Arial" w:cs="Arial"/>
          <w:color w:val="000000" w:themeColor="text1"/>
          <w:spacing w:val="-4"/>
          <w:sz w:val="17"/>
          <w:szCs w:val="17"/>
          <w:u w:val="none"/>
          <w:lang w:val="en-GB"/>
        </w:rPr>
        <w:t xml:space="preserve">,” </w:t>
      </w:r>
      <w:proofErr w:type="spellStart"/>
      <w:r w:rsidR="00C62FF9" w:rsidRPr="00C62FF9">
        <w:rPr>
          <w:rFonts w:ascii="Arial" w:hAnsi="Arial" w:cs="Arial"/>
          <w:iCs/>
          <w:color w:val="000000" w:themeColor="text1"/>
          <w:spacing w:val="-4"/>
          <w:sz w:val="17"/>
          <w:szCs w:val="17"/>
          <w:lang w:val="en-GB"/>
        </w:rPr>
        <w:t>Luckin</w:t>
      </w:r>
      <w:proofErr w:type="spellEnd"/>
      <w:r w:rsidR="00C62FF9" w:rsidRPr="00C62FF9">
        <w:rPr>
          <w:rFonts w:ascii="Arial" w:hAnsi="Arial" w:cs="Arial"/>
          <w:iCs/>
          <w:color w:val="000000" w:themeColor="text1"/>
          <w:spacing w:val="-4"/>
          <w:sz w:val="17"/>
          <w:szCs w:val="17"/>
          <w:lang w:val="en-GB"/>
        </w:rPr>
        <w:t xml:space="preserve"> Coffee</w:t>
      </w:r>
      <w:r w:rsidRPr="00986894">
        <w:rPr>
          <w:rStyle w:val="Hyperlink"/>
          <w:rFonts w:ascii="Arial" w:hAnsi="Arial" w:cs="Arial"/>
          <w:color w:val="000000" w:themeColor="text1"/>
          <w:spacing w:val="-4"/>
          <w:sz w:val="17"/>
          <w:szCs w:val="17"/>
          <w:u w:val="none"/>
          <w:lang w:val="en-GB"/>
        </w:rPr>
        <w:t xml:space="preserve">, November 25, 2019, accessed August 5, 2020, </w:t>
      </w:r>
      <w:hyperlink r:id="rId36" w:history="1">
        <w:r w:rsidR="00E54A72" w:rsidRPr="00986894">
          <w:rPr>
            <w:rStyle w:val="Hyperlink"/>
            <w:rFonts w:ascii="Arial" w:hAnsi="Arial" w:cs="Arial"/>
            <w:color w:val="000000" w:themeColor="text1"/>
            <w:spacing w:val="-4"/>
            <w:sz w:val="17"/>
            <w:szCs w:val="17"/>
            <w:u w:val="none"/>
            <w:lang w:val="en-GB"/>
          </w:rPr>
          <w:t>https://investor.luckincoffee.com/financial-information/sec-filings?items_per_page=10&amp;page=5</w:t>
        </w:r>
      </w:hyperlink>
      <w:r w:rsidR="006F547B" w:rsidRPr="00986894">
        <w:rPr>
          <w:rStyle w:val="Hyperlink"/>
          <w:rFonts w:ascii="Arial" w:hAnsi="Arial" w:cs="Arial"/>
          <w:color w:val="000000" w:themeColor="text1"/>
          <w:spacing w:val="-4"/>
          <w:sz w:val="17"/>
          <w:szCs w:val="17"/>
          <w:u w:val="none"/>
          <w:lang w:val="en-GB"/>
        </w:rPr>
        <w:t>.</w:t>
      </w:r>
      <w:r w:rsidR="0052419A" w:rsidRPr="00986894">
        <w:rPr>
          <w:lang w:val="en-GB"/>
        </w:rPr>
        <w:br w:type="page"/>
      </w:r>
    </w:p>
    <w:p w14:paraId="13BAB42B" w14:textId="7C9E98C1" w:rsidR="00B87DC0" w:rsidRPr="00986894" w:rsidRDefault="0052419A" w:rsidP="00D606C4">
      <w:pPr>
        <w:pStyle w:val="Casehead1"/>
      </w:pPr>
      <w:r w:rsidRPr="00986894">
        <w:lastRenderedPageBreak/>
        <w:t>ENDNOTES</w:t>
      </w:r>
    </w:p>
    <w:sectPr w:rsidR="00B87DC0" w:rsidRPr="00986894" w:rsidSect="00751E0B">
      <w:headerReference w:type="default" r:id="rId37"/>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9C62" w16cex:dateUtc="2021-01-30T00:50:00Z"/>
  <w16cex:commentExtensible w16cex:durableId="23BF9CAA" w16cex:dateUtc="2021-01-30T00: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61BBE" w14:textId="77777777" w:rsidR="001F3A0A" w:rsidRDefault="001F3A0A" w:rsidP="00D75295">
      <w:r>
        <w:separator/>
      </w:r>
    </w:p>
  </w:endnote>
  <w:endnote w:type="continuationSeparator" w:id="0">
    <w:p w14:paraId="3F923AC7" w14:textId="77777777" w:rsidR="001F3A0A" w:rsidRDefault="001F3A0A" w:rsidP="00D75295">
      <w:r>
        <w:continuationSeparator/>
      </w:r>
    </w:p>
  </w:endnote>
  <w:endnote w:id="1">
    <w:p w14:paraId="41EA341D" w14:textId="33281966" w:rsidR="001F3A0A" w:rsidRPr="004B6AA4" w:rsidRDefault="001F3A0A" w:rsidP="004B6AA4">
      <w:pPr>
        <w:pStyle w:val="Footnote"/>
      </w:pPr>
      <w:r w:rsidRPr="004B6AA4">
        <w:rPr>
          <w:rStyle w:val="EndnoteReference"/>
        </w:rPr>
        <w:endnoteRef/>
      </w:r>
      <w:r w:rsidRPr="004B6AA4">
        <w:t xml:space="preserve"> This case has been written on the basis of published sources only. Consequently, the interpretation and perspectives presented in this case are not necessarily those of Luckin Coffee Inc. or any of its employees.</w:t>
      </w:r>
    </w:p>
  </w:endnote>
  <w:endnote w:id="2">
    <w:p w14:paraId="100DE1CC" w14:textId="5E76EF7A"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hyperlink w:history="1"/>
      <w:r w:rsidRPr="004B6AA4">
        <w:rPr>
          <w:rFonts w:ascii="Arial" w:hAnsi="Arial" w:cs="Arial"/>
          <w:sz w:val="17"/>
          <w:szCs w:val="17"/>
          <w:lang w:val="en-US"/>
        </w:rPr>
        <w:t xml:space="preserve"> </w:t>
      </w:r>
      <w:bookmarkStart w:id="0" w:name="_Hlk59259818"/>
      <w:r w:rsidRPr="004B6AA4">
        <w:rPr>
          <w:rFonts w:ascii="Arial" w:hAnsi="Arial" w:cs="Arial"/>
          <w:sz w:val="17"/>
          <w:szCs w:val="17"/>
          <w:lang w:val="en-US"/>
        </w:rPr>
        <w:t xml:space="preserve">“Luckin Coffee Inc. (LKNCY),” Yahoo! Finance accessed December 19, 2020, </w:t>
      </w:r>
      <w:r w:rsidRPr="00EE6190">
        <w:rPr>
          <w:rFonts w:ascii="Arial" w:hAnsi="Arial" w:cs="Arial"/>
          <w:sz w:val="17"/>
          <w:szCs w:val="17"/>
          <w:lang w:val="en-US"/>
        </w:rPr>
        <w:t>https://finance.yahoo.com/quote/LKNCY/history?p=LKNCY</w:t>
      </w:r>
      <w:bookmarkEnd w:id="0"/>
      <w:r w:rsidRPr="00EE6190">
        <w:rPr>
          <w:rFonts w:ascii="Arial" w:hAnsi="Arial" w:cs="Arial"/>
          <w:sz w:val="17"/>
          <w:szCs w:val="17"/>
          <w:lang w:val="en-US"/>
        </w:rPr>
        <w:t xml:space="preserve"> </w:t>
      </w:r>
    </w:p>
  </w:endnote>
  <w:endnote w:id="3">
    <w:p w14:paraId="7C40E44A" w14:textId="29D6D17B"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Alyssa Perez, “Luckin Coffee vs. Starbucks: Luckin Coffee, China’s Newest Unicorn, Is Challenging Starbucks’ Market Stranglehold,” </w:t>
      </w:r>
      <w:r w:rsidRPr="00EE6190">
        <w:rPr>
          <w:rFonts w:ascii="Arial" w:hAnsi="Arial" w:cs="Arial"/>
          <w:iCs/>
          <w:sz w:val="17"/>
          <w:szCs w:val="17"/>
          <w:lang w:val="en-US"/>
        </w:rPr>
        <w:t>Radii,</w:t>
      </w:r>
      <w:r w:rsidRPr="00EE6190">
        <w:rPr>
          <w:rFonts w:ascii="Arial" w:hAnsi="Arial" w:cs="Arial"/>
          <w:sz w:val="17"/>
          <w:szCs w:val="17"/>
          <w:lang w:val="en-US"/>
        </w:rPr>
        <w:t xml:space="preserve"> July 26, 2018, accessed June 5, 2020, https://radiichina.com/luckin-coffee-chinas-newest-unicorn-is-challenging-starbucks-market-stranglehold/.</w:t>
      </w:r>
    </w:p>
  </w:endnote>
  <w:endnote w:id="4">
    <w:p w14:paraId="44FCF540" w14:textId="5EA82DC3" w:rsidR="001F3A0A" w:rsidRPr="00EE6190" w:rsidRDefault="001F3A0A" w:rsidP="00EE6190">
      <w:pPr>
        <w:pStyle w:val="Footnote"/>
        <w:rPr>
          <w:color w:val="000000" w:themeColor="text1"/>
        </w:rPr>
      </w:pPr>
      <w:r w:rsidRPr="004B6AA4">
        <w:rPr>
          <w:rStyle w:val="EndnoteReference"/>
          <w:color w:val="000000" w:themeColor="text1"/>
        </w:rPr>
        <w:endnoteRef/>
      </w:r>
      <w:r w:rsidRPr="004B6AA4">
        <w:rPr>
          <w:color w:val="000000" w:themeColor="text1"/>
        </w:rPr>
        <w:t xml:space="preserve"> “Luckin Coffee Announces Formation of Independent Special Committee and Provides Certain Information Related to Ongoing Internal Investigation</w:t>
      </w:r>
      <w:r w:rsidRPr="00EE6190">
        <w:rPr>
          <w:color w:val="000000" w:themeColor="text1"/>
        </w:rPr>
        <w:t>,” luckin coffee (press release), April 2, 2020, accessed June 27, 2020, https://investor.luckincoffee.com/news-releases/news-release-details/luckin-coffee-announces-formation-independent-special-committee.</w:t>
      </w:r>
    </w:p>
  </w:endnote>
  <w:endnote w:id="5">
    <w:p w14:paraId="0EA6EB24" w14:textId="588C0F4A"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Selina Wang and Matthew Campbell, “Luckin Scandal is Bad Timing for US Listed Chinese Companies,” MSN Money</w:t>
      </w:r>
      <w:r w:rsidRPr="004B6AA4">
        <w:rPr>
          <w:rFonts w:ascii="Arial" w:hAnsi="Arial" w:cs="Arial"/>
          <w:sz w:val="17"/>
          <w:szCs w:val="17"/>
        </w:rPr>
        <w:t>,</w:t>
      </w:r>
      <w:r w:rsidRPr="004B6AA4">
        <w:rPr>
          <w:rFonts w:ascii="Arial" w:hAnsi="Arial" w:cs="Arial"/>
          <w:sz w:val="17"/>
          <w:szCs w:val="17"/>
          <w:lang w:val="en-US"/>
        </w:rPr>
        <w:t xml:space="preserve"> July 29, 2020</w:t>
      </w:r>
      <w:r w:rsidRPr="00EE6190">
        <w:rPr>
          <w:rFonts w:ascii="Arial" w:hAnsi="Arial" w:cs="Arial"/>
          <w:sz w:val="17"/>
          <w:szCs w:val="17"/>
          <w:lang w:val="en-US"/>
        </w:rPr>
        <w:t>, accessed June 5, 2020, www.msn.com/en-us/finance/companies/luckin-scandal-is-bad-timing-for-us-listed-chinese-companies/ar-BB17ldO7.</w:t>
      </w:r>
    </w:p>
  </w:endnote>
  <w:endnote w:id="6">
    <w:p w14:paraId="3E0EA722" w14:textId="33A1D07B"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lang w:val="en-US"/>
        </w:rPr>
        <w:t xml:space="preserve"> “Luckin Coffee Announces Smart Unmanned Retail Strategy, Bringing Luckin Closer to Customers,”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lang w:val="en-US"/>
        </w:rPr>
        <w:t xml:space="preserve"> (press release), January 7, 2</w:t>
      </w:r>
      <w:r w:rsidRPr="00515CCA">
        <w:rPr>
          <w:rFonts w:ascii="Arial" w:hAnsi="Arial" w:cs="Arial"/>
          <w:sz w:val="17"/>
          <w:szCs w:val="17"/>
          <w:lang w:val="en-US"/>
        </w:rPr>
        <w:t>020,</w:t>
      </w:r>
      <w:r w:rsidRPr="004B6AA4">
        <w:rPr>
          <w:rFonts w:ascii="Arial" w:hAnsi="Arial" w:cs="Arial"/>
          <w:sz w:val="17"/>
          <w:szCs w:val="17"/>
          <w:lang w:val="en-US"/>
        </w:rPr>
        <w:t xml:space="preserve"> accessed July 18, 2020, https://investor.luckincoffee.com/news-releases/news-release-details/luckin-coffee-announces-smart-unmanned-retail-strategy-bringing</w:t>
      </w:r>
      <w:r w:rsidRPr="00EE6190">
        <w:rPr>
          <w:rFonts w:ascii="Arial" w:hAnsi="Arial" w:cs="Arial"/>
          <w:sz w:val="17"/>
          <w:szCs w:val="17"/>
          <w:lang w:val="en-US"/>
        </w:rPr>
        <w:t>.</w:t>
      </w:r>
    </w:p>
  </w:endnote>
  <w:endnote w:id="7">
    <w:p w14:paraId="37806BB2" w14:textId="07733173"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Dan Caplinger, “Surprise! Luckin Stock Has Quietly Doubled since Its Delisting,” The Motley Fool</w:t>
      </w:r>
      <w:r w:rsidRPr="004B6AA4">
        <w:rPr>
          <w:rFonts w:ascii="Arial" w:hAnsi="Arial" w:cs="Arial"/>
          <w:sz w:val="17"/>
          <w:szCs w:val="17"/>
        </w:rPr>
        <w:t>,</w:t>
      </w:r>
      <w:r w:rsidRPr="004B6AA4">
        <w:rPr>
          <w:rFonts w:ascii="Arial" w:hAnsi="Arial" w:cs="Arial"/>
          <w:sz w:val="17"/>
          <w:szCs w:val="17"/>
          <w:lang w:val="en-US"/>
        </w:rPr>
        <w:t xml:space="preserve"> July 9, 2020, accessed August 3, 2020, www.fool.com/investing/2020/07/09/surprise-luckin-coffee-stock-has-quietly-doubled-s.aspx</w:t>
      </w:r>
      <w:r w:rsidRPr="00EE6190">
        <w:rPr>
          <w:rFonts w:ascii="Arial" w:hAnsi="Arial" w:cs="Arial"/>
          <w:sz w:val="17"/>
          <w:szCs w:val="17"/>
          <w:lang w:val="en-US"/>
        </w:rPr>
        <w:t>.</w:t>
      </w:r>
    </w:p>
  </w:endnote>
  <w:endnote w:id="8">
    <w:p w14:paraId="2A956FBD" w14:textId="481B5D43" w:rsidR="001F3A0A" w:rsidRPr="004B6AA4" w:rsidRDefault="001F3A0A">
      <w:pPr>
        <w:jc w:val="both"/>
        <w:rPr>
          <w:rFonts w:ascii="Arial" w:hAnsi="Arial" w:cs="Arial"/>
          <w:sz w:val="17"/>
          <w:szCs w:val="17"/>
        </w:rPr>
      </w:pPr>
      <w:r w:rsidRPr="004B6AA4">
        <w:rPr>
          <w:rStyle w:val="EndnoteReference"/>
          <w:rFonts w:ascii="Arial" w:hAnsi="Arial" w:cs="Arial"/>
          <w:sz w:val="17"/>
          <w:szCs w:val="17"/>
        </w:rPr>
        <w:endnoteRef/>
      </w:r>
      <w:r w:rsidRPr="004B6AA4">
        <w:rPr>
          <w:rFonts w:ascii="Arial" w:hAnsi="Arial" w:cs="Arial"/>
          <w:sz w:val="17"/>
          <w:szCs w:val="17"/>
        </w:rPr>
        <w:t xml:space="preserve"> “Luckin Coffee Announces the Appointment of ‘Light Touch’ Joint Provisional Liquidators in the Cayman Islands,”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rPr>
        <w:t xml:space="preserve"> (press release),</w:t>
      </w:r>
      <w:r w:rsidRPr="00EE6190">
        <w:rPr>
          <w:rFonts w:ascii="Arial" w:hAnsi="Arial" w:cs="Arial"/>
          <w:sz w:val="17"/>
          <w:szCs w:val="17"/>
        </w:rPr>
        <w:t xml:space="preserve"> July 15, 2020, accessed August 1, 2020, https://investor.luckincoffee.com/news-releases/news-release-details/luckin-coffee-announces-appointment-light-touch-</w:t>
      </w:r>
      <w:r w:rsidRPr="004B6AA4">
        <w:rPr>
          <w:rFonts w:ascii="Arial" w:hAnsi="Arial" w:cs="Arial"/>
          <w:sz w:val="17"/>
          <w:szCs w:val="17"/>
        </w:rPr>
        <w:t>joint.</w:t>
      </w:r>
    </w:p>
  </w:endnote>
  <w:endnote w:id="9">
    <w:p w14:paraId="1DB639D8" w14:textId="15FCC2D1"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Jennifer Wang, “The New Billionaire behind the Chinese Coffee Chain That’s Challenging Starbucks,” </w:t>
      </w:r>
      <w:r w:rsidRPr="004B6AA4">
        <w:rPr>
          <w:rFonts w:ascii="Arial" w:hAnsi="Arial" w:cs="Arial"/>
          <w:i/>
          <w:iCs/>
          <w:sz w:val="17"/>
          <w:szCs w:val="17"/>
          <w:lang w:val="en-US"/>
        </w:rPr>
        <w:t>Forbes</w:t>
      </w:r>
      <w:r w:rsidRPr="004B6AA4">
        <w:rPr>
          <w:rFonts w:ascii="Arial" w:hAnsi="Arial" w:cs="Arial"/>
          <w:sz w:val="17"/>
          <w:szCs w:val="17"/>
        </w:rPr>
        <w:t>,</w:t>
      </w:r>
      <w:r w:rsidRPr="004B6AA4">
        <w:rPr>
          <w:rFonts w:ascii="Arial" w:hAnsi="Arial" w:cs="Arial"/>
          <w:sz w:val="17"/>
          <w:szCs w:val="17"/>
          <w:lang w:val="en-US"/>
        </w:rPr>
        <w:t xml:space="preserve"> April 24, 2019, accessed </w:t>
      </w:r>
      <w:r w:rsidRPr="00EE6190">
        <w:rPr>
          <w:rFonts w:ascii="Arial" w:hAnsi="Arial" w:cs="Arial"/>
          <w:sz w:val="17"/>
          <w:szCs w:val="17"/>
          <w:lang w:val="en-US"/>
        </w:rPr>
        <w:t>August 6, 2020, www.forbes.com/sites/jenniferwang/2019/04/24/new-billionaire-behind-the-chinese-competitor-to-starb</w:t>
      </w:r>
      <w:r w:rsidRPr="004B6AA4">
        <w:rPr>
          <w:rFonts w:ascii="Arial" w:hAnsi="Arial" w:cs="Arial"/>
          <w:sz w:val="17"/>
          <w:szCs w:val="17"/>
          <w:lang w:val="en-US"/>
        </w:rPr>
        <w:t>ucks/#45a9bcd16b69.</w:t>
      </w:r>
    </w:p>
  </w:endnote>
  <w:endnote w:id="10">
    <w:p w14:paraId="13165E35" w14:textId="3B341D24"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CA"/>
        </w:rPr>
        <w:t xml:space="preserve">Ibid. </w:t>
      </w:r>
    </w:p>
  </w:endnote>
  <w:endnote w:id="11">
    <w:p w14:paraId="10480098" w14:textId="1DA62BED"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Meng Jing, “UCAR Technology Lists on New Third Board,” </w:t>
      </w:r>
      <w:r w:rsidRPr="004B6AA4">
        <w:rPr>
          <w:rFonts w:ascii="Arial" w:hAnsi="Arial" w:cs="Arial"/>
          <w:i/>
          <w:iCs/>
          <w:sz w:val="17"/>
          <w:szCs w:val="17"/>
          <w:lang w:val="en-US"/>
        </w:rPr>
        <w:t>China Daily Europe</w:t>
      </w:r>
      <w:r w:rsidRPr="004B6AA4">
        <w:rPr>
          <w:rFonts w:ascii="Arial" w:hAnsi="Arial" w:cs="Arial"/>
          <w:sz w:val="17"/>
          <w:szCs w:val="17"/>
          <w:lang w:val="en-US"/>
        </w:rPr>
        <w:t>, July 15, 2016, accessed August 10, 2020 http://europe.chinadaily.com.cn/business/2016-07/15/content_26096660.htm</w:t>
      </w:r>
    </w:p>
  </w:endnote>
  <w:endnote w:id="12">
    <w:p w14:paraId="2C80A6E6" w14:textId="3FFD5A6C" w:rsidR="001F3A0A" w:rsidRPr="004B6AA4" w:rsidRDefault="001F3A0A">
      <w:pPr>
        <w:pStyle w:val="EndnoteText"/>
        <w:jc w:val="both"/>
        <w:rPr>
          <w:rFonts w:ascii="Arial" w:hAnsi="Arial" w:cs="Arial"/>
          <w:sz w:val="17"/>
          <w:szCs w:val="17"/>
          <w:lang w:val="en-CA"/>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rPr>
        <w:t xml:space="preserve">, </w:t>
      </w:r>
      <w:r w:rsidRPr="004B6AA4">
        <w:rPr>
          <w:rFonts w:ascii="Arial" w:hAnsi="Arial" w:cs="Arial"/>
          <w:i/>
          <w:sz w:val="17"/>
          <w:szCs w:val="17"/>
          <w:lang w:val="en-GB"/>
        </w:rPr>
        <w:t xml:space="preserve">33,000,000 American Depositary Shares: Luckin Coffee Inc. Representing 264,000,000 Class A Ordinary Shares, </w:t>
      </w:r>
      <w:r w:rsidRPr="00EE6190">
        <w:rPr>
          <w:rFonts w:ascii="Arial" w:hAnsi="Arial" w:cs="Arial"/>
          <w:sz w:val="17"/>
          <w:szCs w:val="17"/>
        </w:rPr>
        <w:t>May 1</w:t>
      </w:r>
      <w:r w:rsidRPr="00EE6190">
        <w:rPr>
          <w:rFonts w:ascii="Arial" w:hAnsi="Arial" w:cs="Arial"/>
          <w:sz w:val="17"/>
          <w:szCs w:val="17"/>
          <w:lang w:val="en-CA"/>
        </w:rPr>
        <w:t>7</w:t>
      </w:r>
      <w:r w:rsidRPr="00EE6190">
        <w:rPr>
          <w:rFonts w:ascii="Arial" w:hAnsi="Arial" w:cs="Arial"/>
          <w:sz w:val="17"/>
          <w:szCs w:val="17"/>
        </w:rPr>
        <w:t>, 2019, accessed August 5, 2020, https://investor.luckincoffee.com/static-files/62ae7fff-d256-461e-9012-a47bfdc3a686</w:t>
      </w:r>
      <w:r w:rsidRPr="004B6AA4">
        <w:rPr>
          <w:rFonts w:ascii="Arial" w:hAnsi="Arial" w:cs="Arial"/>
          <w:sz w:val="17"/>
          <w:szCs w:val="17"/>
          <w:lang w:val="en-CA"/>
        </w:rPr>
        <w:t>.</w:t>
      </w:r>
    </w:p>
  </w:endnote>
  <w:endnote w:id="13">
    <w:p w14:paraId="49E8A214" w14:textId="114884AD"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Wang, op. cit.</w:t>
      </w:r>
    </w:p>
  </w:endnote>
  <w:endnote w:id="14">
    <w:p w14:paraId="781A2F42" w14:textId="0A7045C2" w:rsidR="001F3A0A" w:rsidRPr="004B6AA4" w:rsidRDefault="001F3A0A">
      <w:pPr>
        <w:pStyle w:val="EndnoteText"/>
        <w:jc w:val="both"/>
        <w:rPr>
          <w:rFonts w:ascii="Arial" w:hAnsi="Arial" w:cs="Arial"/>
          <w:sz w:val="17"/>
          <w:szCs w:val="17"/>
          <w:lang w:val="en-US"/>
        </w:rPr>
      </w:pPr>
      <w:bookmarkStart w:id="6" w:name="_Hlk48832132"/>
      <w:r w:rsidRPr="004B6AA4">
        <w:rPr>
          <w:rStyle w:val="EndnoteReference"/>
          <w:rFonts w:ascii="Arial" w:hAnsi="Arial" w:cs="Arial"/>
          <w:sz w:val="17"/>
          <w:szCs w:val="17"/>
        </w:rPr>
        <w:endnoteRef/>
      </w:r>
      <w:bookmarkEnd w:id="6"/>
      <w:r w:rsidRPr="004B6AA4">
        <w:rPr>
          <w:rFonts w:ascii="Arial" w:hAnsi="Arial" w:cs="Arial"/>
          <w:sz w:val="17"/>
          <w:szCs w:val="17"/>
        </w:rPr>
        <w:t xml:space="preserve">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lang w:val="en-GB"/>
        </w:rPr>
        <w:t xml:space="preserve">, </w:t>
      </w:r>
      <w:r w:rsidRPr="004B6AA4">
        <w:rPr>
          <w:rFonts w:ascii="Arial" w:hAnsi="Arial" w:cs="Arial"/>
          <w:i/>
          <w:sz w:val="17"/>
          <w:szCs w:val="17"/>
          <w:lang w:val="en-GB"/>
        </w:rPr>
        <w:t>33,000,000 American Depositary Shares</w:t>
      </w:r>
      <w:r w:rsidRPr="004B6AA4">
        <w:rPr>
          <w:rFonts w:ascii="Arial" w:hAnsi="Arial" w:cs="Arial"/>
          <w:sz w:val="17"/>
          <w:szCs w:val="17"/>
          <w:lang w:val="en-GB"/>
        </w:rPr>
        <w:t xml:space="preserve">, </w:t>
      </w:r>
      <w:r w:rsidRPr="004B6AA4">
        <w:rPr>
          <w:rFonts w:ascii="Arial" w:hAnsi="Arial" w:cs="Arial"/>
          <w:sz w:val="17"/>
          <w:szCs w:val="17"/>
          <w:lang w:val="en-US"/>
        </w:rPr>
        <w:t>op. cit.</w:t>
      </w:r>
    </w:p>
  </w:endnote>
  <w:endnote w:id="15">
    <w:p w14:paraId="3AF33C67" w14:textId="349DC110" w:rsidR="001F3A0A" w:rsidRPr="00EE6190" w:rsidRDefault="001F3A0A">
      <w:pPr>
        <w:pStyle w:val="EndnoteText"/>
        <w:jc w:val="both"/>
        <w:rPr>
          <w:rFonts w:ascii="Arial" w:hAnsi="Arial" w:cs="Arial"/>
          <w:sz w:val="17"/>
          <w:szCs w:val="17"/>
          <w:lang w:val="en-CA"/>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Michael Norris</w:t>
      </w:r>
      <w:r w:rsidRPr="004B6AA4">
        <w:rPr>
          <w:rFonts w:ascii="Arial" w:hAnsi="Arial" w:cs="Arial"/>
          <w:sz w:val="17"/>
          <w:szCs w:val="17"/>
        </w:rPr>
        <w:t>, “</w:t>
      </w:r>
      <w:r w:rsidRPr="004B6AA4">
        <w:rPr>
          <w:rFonts w:ascii="Arial" w:hAnsi="Arial" w:cs="Arial"/>
          <w:sz w:val="17"/>
          <w:szCs w:val="17"/>
          <w:lang w:val="en-US"/>
        </w:rPr>
        <w:t>Why It’s Time to Wake Up and Smell the</w:t>
      </w:r>
      <w:r w:rsidRPr="004B6AA4">
        <w:rPr>
          <w:rFonts w:ascii="Arial" w:hAnsi="Arial" w:cs="Arial"/>
          <w:sz w:val="17"/>
          <w:szCs w:val="17"/>
        </w:rPr>
        <w:t xml:space="preserve"> Coffee</w:t>
      </w:r>
      <w:r w:rsidRPr="004B6AA4">
        <w:rPr>
          <w:rFonts w:ascii="Arial" w:hAnsi="Arial" w:cs="Arial"/>
          <w:sz w:val="17"/>
          <w:szCs w:val="17"/>
          <w:lang w:val="en-US"/>
        </w:rPr>
        <w:t xml:space="preserve"> on Luckin</w:t>
      </w:r>
      <w:r w:rsidRPr="004B6AA4">
        <w:rPr>
          <w:rFonts w:ascii="Arial" w:hAnsi="Arial" w:cs="Arial"/>
          <w:sz w:val="17"/>
          <w:szCs w:val="17"/>
        </w:rPr>
        <w:t xml:space="preserve">,” </w:t>
      </w:r>
      <w:r w:rsidRPr="004B6AA4">
        <w:rPr>
          <w:rFonts w:ascii="Arial" w:hAnsi="Arial" w:cs="Arial"/>
          <w:iCs/>
          <w:sz w:val="17"/>
          <w:szCs w:val="17"/>
          <w:lang w:val="en-US"/>
        </w:rPr>
        <w:t>TechNode</w:t>
      </w:r>
      <w:r w:rsidRPr="004B6AA4">
        <w:rPr>
          <w:rFonts w:ascii="Arial" w:hAnsi="Arial" w:cs="Arial"/>
          <w:sz w:val="17"/>
          <w:szCs w:val="17"/>
        </w:rPr>
        <w:t>, Ma</w:t>
      </w:r>
      <w:r w:rsidRPr="004B6AA4">
        <w:rPr>
          <w:rFonts w:ascii="Arial" w:hAnsi="Arial" w:cs="Arial"/>
          <w:sz w:val="17"/>
          <w:szCs w:val="17"/>
          <w:lang w:val="en-US"/>
        </w:rPr>
        <w:t>rch</w:t>
      </w:r>
      <w:r w:rsidRPr="004B6AA4">
        <w:rPr>
          <w:rFonts w:ascii="Arial" w:hAnsi="Arial" w:cs="Arial"/>
          <w:sz w:val="17"/>
          <w:szCs w:val="17"/>
        </w:rPr>
        <w:t xml:space="preserve"> </w:t>
      </w:r>
      <w:r w:rsidRPr="004B6AA4">
        <w:rPr>
          <w:rFonts w:ascii="Arial" w:hAnsi="Arial" w:cs="Arial"/>
          <w:sz w:val="17"/>
          <w:szCs w:val="17"/>
          <w:lang w:val="en-US"/>
        </w:rPr>
        <w:t>20</w:t>
      </w:r>
      <w:r w:rsidRPr="004B6AA4">
        <w:rPr>
          <w:rFonts w:ascii="Arial" w:hAnsi="Arial" w:cs="Arial"/>
          <w:sz w:val="17"/>
          <w:szCs w:val="17"/>
        </w:rPr>
        <w:t xml:space="preserve">, 2019, accessed August </w:t>
      </w:r>
      <w:r w:rsidRPr="00EE6190">
        <w:rPr>
          <w:rFonts w:ascii="Arial" w:hAnsi="Arial" w:cs="Arial"/>
          <w:sz w:val="17"/>
          <w:szCs w:val="17"/>
        </w:rPr>
        <w:t>5, 2020, https://technode.com/2019/03/20/why-its-time-to-wake-up-and-smell-the-coffee-on-luckin/</w:t>
      </w:r>
      <w:r w:rsidRPr="00EE6190">
        <w:rPr>
          <w:rFonts w:ascii="Arial" w:hAnsi="Arial" w:cs="Arial"/>
          <w:sz w:val="17"/>
          <w:szCs w:val="17"/>
          <w:lang w:val="en-CA"/>
        </w:rPr>
        <w:t>.</w:t>
      </w:r>
    </w:p>
  </w:endnote>
  <w:endnote w:id="16">
    <w:p w14:paraId="57B946F9" w14:textId="5EB4EDD7"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Song Jingli and AJ Cortese</w:t>
      </w:r>
      <w:r w:rsidRPr="004B6AA4">
        <w:rPr>
          <w:rFonts w:ascii="Arial" w:hAnsi="Arial" w:cs="Arial"/>
          <w:sz w:val="17"/>
          <w:szCs w:val="17"/>
          <w:lang w:val="en-US"/>
        </w:rPr>
        <w:t xml:space="preserve">, “Who is Guo Jinyi, Luckin’s New Acting CEO?,” </w:t>
      </w:r>
      <w:r w:rsidRPr="004B6AA4">
        <w:rPr>
          <w:rFonts w:ascii="Arial" w:hAnsi="Arial" w:cs="Arial"/>
          <w:iCs/>
          <w:sz w:val="17"/>
          <w:szCs w:val="17"/>
          <w:lang w:val="en-US"/>
        </w:rPr>
        <w:t>KrAsia</w:t>
      </w:r>
      <w:r w:rsidRPr="004B6AA4">
        <w:rPr>
          <w:rFonts w:ascii="Arial" w:hAnsi="Arial" w:cs="Arial"/>
          <w:sz w:val="17"/>
          <w:szCs w:val="17"/>
        </w:rPr>
        <w:t>,</w:t>
      </w:r>
      <w:r w:rsidRPr="004B6AA4">
        <w:rPr>
          <w:rFonts w:ascii="Arial" w:hAnsi="Arial" w:cs="Arial"/>
          <w:sz w:val="17"/>
          <w:szCs w:val="17"/>
          <w:lang w:val="en-US"/>
        </w:rPr>
        <w:t xml:space="preserve"> May 15, 2020, accessed August 3, 2020, https://kr-asia.com/who-is-luckin-coffees-new-interim-ceo-meet-guo-jinyi.</w:t>
      </w:r>
    </w:p>
  </w:endnote>
  <w:endnote w:id="17">
    <w:p w14:paraId="2A21033D" w14:textId="42F8BF1C" w:rsidR="001F3A0A" w:rsidRPr="00515CCA" w:rsidRDefault="001F3A0A">
      <w:pPr>
        <w:pStyle w:val="EndnoteText"/>
        <w:jc w:val="both"/>
        <w:rPr>
          <w:rFonts w:ascii="Arial" w:hAnsi="Arial" w:cs="Arial"/>
          <w:spacing w:val="-2"/>
          <w:sz w:val="17"/>
          <w:szCs w:val="17"/>
          <w:lang w:val="en-US"/>
        </w:rPr>
      </w:pPr>
      <w:r w:rsidRPr="00515CCA">
        <w:rPr>
          <w:rStyle w:val="EndnoteReference"/>
          <w:rFonts w:ascii="Arial" w:hAnsi="Arial" w:cs="Arial"/>
          <w:spacing w:val="-2"/>
          <w:sz w:val="17"/>
          <w:szCs w:val="17"/>
        </w:rPr>
        <w:endnoteRef/>
      </w:r>
      <w:r w:rsidRPr="00515CCA">
        <w:rPr>
          <w:rFonts w:ascii="Arial" w:hAnsi="Arial" w:cs="Arial"/>
          <w:spacing w:val="-2"/>
          <w:sz w:val="17"/>
          <w:szCs w:val="17"/>
        </w:rPr>
        <w:t xml:space="preserve"> </w:t>
      </w:r>
      <w:r w:rsidRPr="00515CCA">
        <w:rPr>
          <w:rFonts w:ascii="Arial" w:hAnsi="Arial" w:cs="Arial"/>
          <w:spacing w:val="-2"/>
          <w:sz w:val="17"/>
          <w:szCs w:val="17"/>
          <w:lang w:val="en-US"/>
        </w:rPr>
        <w:t xml:space="preserve">Michael Norris, “From Jail to Java: How Luckin’s CMO is Hacking China’s Coffee Market,” </w:t>
      </w:r>
      <w:r w:rsidRPr="00515CCA">
        <w:rPr>
          <w:rFonts w:ascii="Arial" w:hAnsi="Arial" w:cs="Arial"/>
          <w:iCs/>
          <w:spacing w:val="-2"/>
          <w:sz w:val="17"/>
          <w:szCs w:val="17"/>
          <w:lang w:val="en-US"/>
        </w:rPr>
        <w:t>Technode</w:t>
      </w:r>
      <w:r w:rsidRPr="00515CCA">
        <w:rPr>
          <w:rFonts w:ascii="Arial" w:hAnsi="Arial" w:cs="Arial"/>
          <w:spacing w:val="-2"/>
          <w:sz w:val="17"/>
          <w:szCs w:val="17"/>
        </w:rPr>
        <w:t>,</w:t>
      </w:r>
      <w:r w:rsidRPr="00515CCA">
        <w:rPr>
          <w:rFonts w:ascii="Arial" w:hAnsi="Arial" w:cs="Arial"/>
          <w:spacing w:val="-2"/>
          <w:sz w:val="17"/>
          <w:szCs w:val="17"/>
          <w:lang w:val="en-US"/>
        </w:rPr>
        <w:t xml:space="preserve"> March 25, 2019, accessed August 10, 2020, https://technode.com/2019/03/25/from-jail-to-java-how-luckins-cmo-is-hacking-chinas-coffee-market/.</w:t>
      </w:r>
    </w:p>
  </w:endnote>
  <w:endnote w:id="18">
    <w:p w14:paraId="7C707C3B" w14:textId="12F46FC1"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Norris</w:t>
      </w:r>
      <w:r w:rsidRPr="004B6AA4">
        <w:rPr>
          <w:rFonts w:ascii="Arial" w:hAnsi="Arial" w:cs="Arial"/>
          <w:sz w:val="17"/>
          <w:szCs w:val="17"/>
        </w:rPr>
        <w:t>, “</w:t>
      </w:r>
      <w:r w:rsidRPr="004B6AA4">
        <w:rPr>
          <w:rFonts w:ascii="Arial" w:hAnsi="Arial" w:cs="Arial"/>
          <w:sz w:val="17"/>
          <w:szCs w:val="17"/>
          <w:lang w:val="en-US"/>
        </w:rPr>
        <w:t>Why It’s Time,”</w:t>
      </w:r>
      <w:r w:rsidRPr="004B6AA4">
        <w:rPr>
          <w:rFonts w:ascii="Arial" w:hAnsi="Arial" w:cs="Arial"/>
          <w:sz w:val="17"/>
          <w:szCs w:val="17"/>
          <w:lang w:val="en-GB"/>
        </w:rPr>
        <w:t xml:space="preserve"> </w:t>
      </w:r>
      <w:r w:rsidRPr="004B6AA4">
        <w:rPr>
          <w:rFonts w:ascii="Arial" w:hAnsi="Arial" w:cs="Arial"/>
          <w:sz w:val="17"/>
          <w:szCs w:val="17"/>
          <w:lang w:val="en-US"/>
        </w:rPr>
        <w:t>op. cit.</w:t>
      </w:r>
    </w:p>
  </w:endnote>
  <w:endnote w:id="19">
    <w:p w14:paraId="14CED1CD" w14:textId="2299699E"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Ibid.</w:t>
      </w:r>
    </w:p>
  </w:endnote>
  <w:endnote w:id="20">
    <w:p w14:paraId="582A1B87" w14:textId="21F7AC2C" w:rsidR="001F3A0A" w:rsidRPr="00EE6190" w:rsidRDefault="001F3A0A">
      <w:pPr>
        <w:pStyle w:val="EndnoteText"/>
        <w:jc w:val="both"/>
        <w:rPr>
          <w:rFonts w:ascii="Arial" w:hAnsi="Arial" w:cs="Arial"/>
          <w:sz w:val="17"/>
          <w:szCs w:val="17"/>
          <w:lang w:val="en-CA"/>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Naoki Matsuda and Alex Fang</w:t>
      </w:r>
      <w:r w:rsidRPr="004B6AA4">
        <w:rPr>
          <w:rFonts w:ascii="Arial" w:hAnsi="Arial" w:cs="Arial"/>
          <w:sz w:val="17"/>
          <w:szCs w:val="17"/>
        </w:rPr>
        <w:t>, “</w:t>
      </w:r>
      <w:r w:rsidRPr="004B6AA4">
        <w:rPr>
          <w:rFonts w:ascii="Arial" w:hAnsi="Arial" w:cs="Arial"/>
          <w:sz w:val="17"/>
          <w:szCs w:val="17"/>
          <w:lang w:val="en-US"/>
        </w:rPr>
        <w:t>Luckin Nasdaq Filing Reveals Ambitions, and Losses</w:t>
      </w:r>
      <w:r w:rsidRPr="004B6AA4">
        <w:rPr>
          <w:rFonts w:ascii="Arial" w:hAnsi="Arial" w:cs="Arial"/>
          <w:sz w:val="17"/>
          <w:szCs w:val="17"/>
        </w:rPr>
        <w:t xml:space="preserve">,” </w:t>
      </w:r>
      <w:r w:rsidRPr="004B6AA4">
        <w:rPr>
          <w:rFonts w:ascii="Arial" w:hAnsi="Arial" w:cs="Arial"/>
          <w:i/>
          <w:iCs/>
          <w:sz w:val="17"/>
          <w:szCs w:val="17"/>
          <w:lang w:val="en-US"/>
        </w:rPr>
        <w:t>Nikkei Asian</w:t>
      </w:r>
      <w:r w:rsidRPr="004B6AA4">
        <w:rPr>
          <w:rFonts w:ascii="Arial" w:hAnsi="Arial" w:cs="Arial"/>
          <w:sz w:val="17"/>
          <w:szCs w:val="17"/>
        </w:rPr>
        <w:t xml:space="preserve">, </w:t>
      </w:r>
      <w:r w:rsidRPr="004B6AA4">
        <w:rPr>
          <w:rFonts w:ascii="Arial" w:hAnsi="Arial" w:cs="Arial"/>
          <w:sz w:val="17"/>
          <w:szCs w:val="17"/>
          <w:lang w:val="en-US"/>
        </w:rPr>
        <w:t>April 24</w:t>
      </w:r>
      <w:r w:rsidRPr="004B6AA4">
        <w:rPr>
          <w:rFonts w:ascii="Arial" w:hAnsi="Arial" w:cs="Arial"/>
          <w:sz w:val="17"/>
          <w:szCs w:val="17"/>
        </w:rPr>
        <w:t xml:space="preserve">, 2019, accessed August </w:t>
      </w:r>
      <w:r w:rsidRPr="00EE6190">
        <w:rPr>
          <w:rFonts w:ascii="Arial" w:hAnsi="Arial" w:cs="Arial"/>
          <w:sz w:val="17"/>
          <w:szCs w:val="17"/>
        </w:rPr>
        <w:t>5, 2020, https://asia.nikkei.com/Business/Companies/Luckin-Nasdaq-filing-reveals-ambitions-and-losses</w:t>
      </w:r>
      <w:r w:rsidRPr="00EE6190">
        <w:rPr>
          <w:rFonts w:ascii="Arial" w:hAnsi="Arial" w:cs="Arial"/>
          <w:sz w:val="17"/>
          <w:szCs w:val="17"/>
          <w:lang w:val="en-CA"/>
        </w:rPr>
        <w:t>.</w:t>
      </w:r>
    </w:p>
  </w:endnote>
  <w:endnote w:id="21">
    <w:p w14:paraId="1D7CF186" w14:textId="717C4579"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Yuhan Xu, “China’s Luckin Coffee Tries to Conquer a Nation of Tea Drinkers,” </w:t>
      </w:r>
      <w:r w:rsidRPr="004B6AA4">
        <w:rPr>
          <w:rFonts w:ascii="Arial" w:hAnsi="Arial" w:cs="Arial"/>
          <w:sz w:val="17"/>
          <w:szCs w:val="17"/>
        </w:rPr>
        <w:t>N</w:t>
      </w:r>
      <w:r w:rsidRPr="004B6AA4">
        <w:rPr>
          <w:rFonts w:ascii="Arial" w:hAnsi="Arial" w:cs="Arial"/>
          <w:sz w:val="17"/>
          <w:szCs w:val="17"/>
          <w:lang w:val="en-US"/>
        </w:rPr>
        <w:t>PR, May 17, 2019, accessed June 5, 2020, www.npr.org/sections/goatsandsoda/2019/05/17/723193259/what-does-chinas-luckin-coffee-have-that-starbucks-doesnt</w:t>
      </w:r>
      <w:r w:rsidRPr="00EE6190">
        <w:rPr>
          <w:rFonts w:ascii="Arial" w:hAnsi="Arial" w:cs="Arial"/>
          <w:sz w:val="17"/>
          <w:szCs w:val="17"/>
          <w:lang w:val="en-US"/>
        </w:rPr>
        <w:t>.</w:t>
      </w:r>
    </w:p>
  </w:endnote>
  <w:endnote w:id="22">
    <w:p w14:paraId="33F0E8B8" w14:textId="6904B130"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Butao Wang, “Coffee Shop or Convenience Store? 10,000 Luckin Coffee Outlets Yet to Come,” </w:t>
      </w:r>
      <w:r w:rsidRPr="004B6AA4">
        <w:rPr>
          <w:rFonts w:ascii="Arial" w:hAnsi="Arial" w:cs="Arial"/>
          <w:iCs/>
          <w:sz w:val="17"/>
          <w:szCs w:val="17"/>
          <w:lang w:val="en-US"/>
        </w:rPr>
        <w:t>Equal Ocean</w:t>
      </w:r>
      <w:r w:rsidRPr="004B6AA4">
        <w:rPr>
          <w:rFonts w:ascii="Arial" w:hAnsi="Arial" w:cs="Arial"/>
          <w:sz w:val="17"/>
          <w:szCs w:val="17"/>
        </w:rPr>
        <w:t>,</w:t>
      </w:r>
      <w:r w:rsidRPr="004B6AA4">
        <w:rPr>
          <w:rFonts w:ascii="Arial" w:hAnsi="Arial" w:cs="Arial"/>
          <w:sz w:val="17"/>
          <w:szCs w:val="17"/>
          <w:lang w:val="en-US"/>
        </w:rPr>
        <w:t xml:space="preserve"> May 30, 2019</w:t>
      </w:r>
      <w:r w:rsidRPr="00EE6190">
        <w:rPr>
          <w:rFonts w:ascii="Arial" w:hAnsi="Arial" w:cs="Arial"/>
          <w:sz w:val="17"/>
          <w:szCs w:val="17"/>
          <w:lang w:val="en-US"/>
        </w:rPr>
        <w:t>, accessed August 3, 2020, https://equalocean.com/news/2019053011131.</w:t>
      </w:r>
    </w:p>
  </w:endnote>
  <w:endnote w:id="23">
    <w:p w14:paraId="4370BB0F" w14:textId="650CA26C" w:rsidR="001F3A0A" w:rsidRPr="00515CCA" w:rsidRDefault="001F3A0A" w:rsidP="00515CCA">
      <w:pPr>
        <w:pStyle w:val="EndnoteText"/>
        <w:jc w:val="both"/>
        <w:rPr>
          <w:rFonts w:ascii="Arial" w:hAnsi="Arial" w:cs="Arial"/>
          <w:sz w:val="17"/>
          <w:szCs w:val="17"/>
          <w:lang w:val="en-GB"/>
        </w:rPr>
      </w:pPr>
      <w:r w:rsidRPr="00515CCA">
        <w:rPr>
          <w:rStyle w:val="EndnoteReference"/>
          <w:rFonts w:ascii="Arial" w:hAnsi="Arial" w:cs="Arial"/>
          <w:sz w:val="17"/>
          <w:szCs w:val="17"/>
        </w:rPr>
        <w:endnoteRef/>
      </w:r>
      <w:r w:rsidRPr="00515CCA">
        <w:rPr>
          <w:rFonts w:ascii="Arial" w:hAnsi="Arial" w:cs="Arial"/>
          <w:sz w:val="17"/>
          <w:szCs w:val="17"/>
        </w:rPr>
        <w:t xml:space="preserve"> </w:t>
      </w:r>
      <w:r w:rsidRPr="004B6AA4">
        <w:rPr>
          <w:rFonts w:ascii="Arial" w:hAnsi="Arial" w:cs="Arial"/>
          <w:sz w:val="17"/>
          <w:szCs w:val="17"/>
        </w:rPr>
        <w:t xml:space="preserve">Paul R. La Monica, “Luckin Coffee Surges in Wall Street Debut,” CNN Business, May 17, 2019, accessed August 3, 2020, </w:t>
      </w:r>
      <w:hyperlink r:id="rId1" w:history="1">
        <w:r w:rsidRPr="00515CCA">
          <w:rPr>
            <w:rStyle w:val="Hyperlink"/>
            <w:rFonts w:ascii="Arial" w:eastAsiaTheme="minorHAnsi" w:hAnsi="Arial" w:cs="Arial"/>
            <w:color w:val="auto"/>
            <w:sz w:val="17"/>
            <w:szCs w:val="17"/>
            <w:u w:val="none"/>
          </w:rPr>
          <w:t>https://edition.cnn.com/2019/05/17/investing/luckin-coffee-ipo-stock/index.html</w:t>
        </w:r>
      </w:hyperlink>
      <w:r w:rsidRPr="00515CCA">
        <w:rPr>
          <w:rStyle w:val="Hyperlink"/>
          <w:rFonts w:ascii="Arial" w:eastAsiaTheme="minorHAnsi" w:hAnsi="Arial" w:cs="Arial"/>
          <w:color w:val="auto"/>
          <w:sz w:val="17"/>
          <w:szCs w:val="17"/>
          <w:u w:val="none"/>
          <w:lang w:val="en-GB"/>
        </w:rPr>
        <w:t>.</w:t>
      </w:r>
    </w:p>
  </w:endnote>
  <w:endnote w:id="24">
    <w:p w14:paraId="27A35276" w14:textId="3083D9C7" w:rsidR="001F3A0A" w:rsidRPr="004B6AA4"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rPr>
        <w:t xml:space="preserve">, </w:t>
      </w:r>
      <w:r w:rsidRPr="004B6AA4">
        <w:rPr>
          <w:rFonts w:ascii="Arial" w:hAnsi="Arial" w:cs="Arial"/>
          <w:i/>
          <w:sz w:val="17"/>
          <w:szCs w:val="17"/>
          <w:lang w:val="en-GB"/>
        </w:rPr>
        <w:t>33,000,000 American,</w:t>
      </w:r>
      <w:r w:rsidRPr="004B6AA4">
        <w:rPr>
          <w:rFonts w:ascii="Arial" w:hAnsi="Arial" w:cs="Arial"/>
          <w:sz w:val="17"/>
          <w:szCs w:val="17"/>
          <w:lang w:val="en-US"/>
        </w:rPr>
        <w:t xml:space="preserve"> op. cit. </w:t>
      </w:r>
    </w:p>
  </w:endnote>
  <w:endnote w:id="25">
    <w:p w14:paraId="1832C738" w14:textId="56A6E0F7"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Naoki Matsuda, “Chinese Ditch Muji and Starbucks for Homegrown Names,” </w:t>
      </w:r>
      <w:r w:rsidRPr="004B6AA4">
        <w:rPr>
          <w:rFonts w:ascii="Arial" w:hAnsi="Arial" w:cs="Arial"/>
          <w:i/>
          <w:sz w:val="17"/>
          <w:szCs w:val="17"/>
        </w:rPr>
        <w:t>Nikkei Asian</w:t>
      </w:r>
      <w:r w:rsidRPr="004B6AA4">
        <w:rPr>
          <w:rFonts w:ascii="Arial" w:hAnsi="Arial" w:cs="Arial"/>
          <w:sz w:val="17"/>
          <w:szCs w:val="17"/>
        </w:rPr>
        <w:t>,</w:t>
      </w:r>
      <w:r w:rsidRPr="004B6AA4">
        <w:rPr>
          <w:rFonts w:ascii="Arial" w:hAnsi="Arial" w:cs="Arial"/>
          <w:sz w:val="17"/>
          <w:szCs w:val="17"/>
          <w:lang w:val="en-US"/>
        </w:rPr>
        <w:t xml:space="preserve"> February 21, 2019, accessed June 5, 2020, https://asia.nikkei.com/Business/Business-trends/Chinese-ditch-Muji-and-Starbucks-for-homegrown-names</w:t>
      </w:r>
      <w:r w:rsidRPr="00EE6190">
        <w:rPr>
          <w:rFonts w:ascii="Arial" w:hAnsi="Arial" w:cs="Arial"/>
          <w:sz w:val="17"/>
          <w:szCs w:val="17"/>
          <w:lang w:val="en-US"/>
        </w:rPr>
        <w:t>.</w:t>
      </w:r>
    </w:p>
  </w:endnote>
  <w:endnote w:id="26">
    <w:p w14:paraId="4B989E29" w14:textId="7F0F8737"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Zach Coleman, “Chinese Consumers Swing towards Local Brands,” </w:t>
      </w:r>
      <w:r w:rsidRPr="004B6AA4">
        <w:rPr>
          <w:rFonts w:ascii="Arial" w:hAnsi="Arial" w:cs="Arial"/>
          <w:i/>
          <w:sz w:val="17"/>
          <w:szCs w:val="17"/>
        </w:rPr>
        <w:t>Nikkei Asian</w:t>
      </w:r>
      <w:r w:rsidRPr="004B6AA4">
        <w:rPr>
          <w:rFonts w:ascii="Arial" w:hAnsi="Arial" w:cs="Arial"/>
          <w:sz w:val="17"/>
          <w:szCs w:val="17"/>
        </w:rPr>
        <w:t>,</w:t>
      </w:r>
      <w:r w:rsidRPr="004B6AA4">
        <w:rPr>
          <w:rFonts w:ascii="Arial" w:hAnsi="Arial" w:cs="Arial"/>
          <w:sz w:val="17"/>
          <w:szCs w:val="17"/>
          <w:lang w:val="en-US"/>
        </w:rPr>
        <w:t xml:space="preserve"> September 13, 2018, accessed June 5, 2020, https://asia.nikkei.com/Business/Business-trends/Chinese-consumers-swing-toward-local-brands</w:t>
      </w:r>
      <w:r w:rsidRPr="00EE6190">
        <w:rPr>
          <w:rFonts w:ascii="Arial" w:hAnsi="Arial" w:cs="Arial"/>
          <w:sz w:val="17"/>
          <w:szCs w:val="17"/>
          <w:lang w:val="en-US"/>
        </w:rPr>
        <w:t>.</w:t>
      </w:r>
    </w:p>
  </w:endnote>
  <w:endnote w:id="27">
    <w:p w14:paraId="650CB69F" w14:textId="11C34657"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Daisuke Harashima, “Cash-Strapped Chinese Shoppers Get Picky,” </w:t>
      </w:r>
      <w:r w:rsidRPr="004B6AA4">
        <w:rPr>
          <w:rFonts w:ascii="Arial" w:hAnsi="Arial" w:cs="Arial"/>
          <w:i/>
          <w:sz w:val="17"/>
          <w:szCs w:val="17"/>
        </w:rPr>
        <w:t>Nikkei Asian</w:t>
      </w:r>
      <w:r w:rsidRPr="004B6AA4">
        <w:rPr>
          <w:rFonts w:ascii="Arial" w:hAnsi="Arial" w:cs="Arial"/>
          <w:sz w:val="17"/>
          <w:szCs w:val="17"/>
        </w:rPr>
        <w:t>,</w:t>
      </w:r>
      <w:r w:rsidRPr="004B6AA4">
        <w:rPr>
          <w:rFonts w:ascii="Arial" w:hAnsi="Arial" w:cs="Arial"/>
          <w:sz w:val="17"/>
          <w:szCs w:val="17"/>
          <w:lang w:val="en-US"/>
        </w:rPr>
        <w:t xml:space="preserve"> February 26, 2019, accessed August 7, 2020, </w:t>
      </w:r>
      <w:r w:rsidRPr="00EE6190">
        <w:rPr>
          <w:rFonts w:ascii="Arial" w:hAnsi="Arial" w:cs="Arial"/>
          <w:sz w:val="17"/>
          <w:szCs w:val="17"/>
          <w:lang w:val="en-US"/>
        </w:rPr>
        <w:t>https://asia.nikkei.com/Spotlight/Asia-Insight/Cash-strapped-Chinese-shoppers-get-picky.</w:t>
      </w:r>
    </w:p>
  </w:endnote>
  <w:endnote w:id="28">
    <w:p w14:paraId="05AA7287" w14:textId="17BE817A"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Pei Li and </w:t>
      </w:r>
      <w:r w:rsidRPr="004B6AA4">
        <w:rPr>
          <w:rFonts w:ascii="Arial" w:hAnsi="Arial" w:cs="Arial"/>
          <w:sz w:val="17"/>
          <w:szCs w:val="17"/>
        </w:rPr>
        <w:t>S</w:t>
      </w:r>
      <w:r w:rsidRPr="004B6AA4">
        <w:rPr>
          <w:rFonts w:ascii="Arial" w:hAnsi="Arial" w:cs="Arial"/>
          <w:sz w:val="17"/>
          <w:szCs w:val="17"/>
          <w:lang w:val="en-US"/>
        </w:rPr>
        <w:t>e Y</w:t>
      </w:r>
      <w:r w:rsidRPr="004B6AA4">
        <w:rPr>
          <w:rFonts w:ascii="Arial" w:hAnsi="Arial" w:cs="Arial"/>
          <w:sz w:val="17"/>
          <w:szCs w:val="17"/>
        </w:rPr>
        <w:t>o</w:t>
      </w:r>
      <w:r w:rsidRPr="004B6AA4">
        <w:rPr>
          <w:rFonts w:ascii="Arial" w:hAnsi="Arial" w:cs="Arial"/>
          <w:sz w:val="17"/>
          <w:szCs w:val="17"/>
          <w:lang w:val="en-US"/>
        </w:rPr>
        <w:t>u</w:t>
      </w:r>
      <w:r w:rsidRPr="004B6AA4">
        <w:rPr>
          <w:rFonts w:ascii="Arial" w:hAnsi="Arial" w:cs="Arial"/>
          <w:sz w:val="17"/>
          <w:szCs w:val="17"/>
        </w:rPr>
        <w:t xml:space="preserve">ng </w:t>
      </w:r>
      <w:r w:rsidRPr="004B6AA4">
        <w:rPr>
          <w:rFonts w:ascii="Arial" w:hAnsi="Arial" w:cs="Arial"/>
          <w:sz w:val="17"/>
          <w:szCs w:val="17"/>
          <w:lang w:val="en-US"/>
        </w:rPr>
        <w:t xml:space="preserve">Lee, “China Start-Up Luckin Coffee Raises $200 Million to Propel Growth,” </w:t>
      </w:r>
      <w:r w:rsidRPr="004B6AA4">
        <w:rPr>
          <w:rFonts w:ascii="Arial" w:hAnsi="Arial" w:cs="Arial"/>
          <w:iCs/>
          <w:sz w:val="17"/>
          <w:szCs w:val="17"/>
          <w:lang w:val="en-US"/>
        </w:rPr>
        <w:t>Reuters</w:t>
      </w:r>
      <w:r w:rsidRPr="004B6AA4">
        <w:rPr>
          <w:rFonts w:ascii="Arial" w:hAnsi="Arial" w:cs="Arial"/>
          <w:sz w:val="17"/>
          <w:szCs w:val="17"/>
        </w:rPr>
        <w:t>,</w:t>
      </w:r>
      <w:r w:rsidRPr="004B6AA4">
        <w:rPr>
          <w:rFonts w:ascii="Arial" w:hAnsi="Arial" w:cs="Arial"/>
          <w:sz w:val="17"/>
          <w:szCs w:val="17"/>
          <w:lang w:val="en-US"/>
        </w:rPr>
        <w:t xml:space="preserve"> July 11, 2018, accessed August 3, 2020, </w:t>
      </w:r>
      <w:r w:rsidRPr="00EE6190">
        <w:rPr>
          <w:rFonts w:ascii="Arial" w:hAnsi="Arial" w:cs="Arial"/>
          <w:sz w:val="17"/>
          <w:szCs w:val="17"/>
          <w:lang w:val="en-US"/>
        </w:rPr>
        <w:t>www.reuters.com/article/us-luckin-coffee-fundraising/china-startup-luckin-coffee-raises-200-million-to-propel-expansion-idUSKBN1K10BI.</w:t>
      </w:r>
    </w:p>
  </w:endnote>
  <w:endnote w:id="29">
    <w:p w14:paraId="0E132075" w14:textId="558DBB18" w:rsidR="001F3A0A" w:rsidRPr="00515CCA" w:rsidRDefault="001F3A0A" w:rsidP="004B6AA4">
      <w:pPr>
        <w:pStyle w:val="EndnoteText"/>
        <w:jc w:val="both"/>
        <w:rPr>
          <w:rFonts w:ascii="Arial" w:hAnsi="Arial" w:cs="Arial"/>
          <w:spacing w:val="-4"/>
          <w:sz w:val="17"/>
          <w:szCs w:val="17"/>
          <w:lang w:val="en-US"/>
        </w:rPr>
      </w:pPr>
      <w:r w:rsidRPr="00515CCA">
        <w:rPr>
          <w:rStyle w:val="EndnoteReference"/>
          <w:rFonts w:ascii="Arial" w:hAnsi="Arial" w:cs="Arial"/>
          <w:spacing w:val="-4"/>
          <w:sz w:val="17"/>
          <w:szCs w:val="17"/>
        </w:rPr>
        <w:endnoteRef/>
      </w:r>
      <w:r w:rsidRPr="00515CCA">
        <w:rPr>
          <w:rFonts w:ascii="Arial" w:hAnsi="Arial" w:cs="Arial"/>
          <w:spacing w:val="-4"/>
          <w:sz w:val="17"/>
          <w:szCs w:val="17"/>
        </w:rPr>
        <w:t xml:space="preserve"> </w:t>
      </w:r>
      <w:r w:rsidRPr="00515CCA">
        <w:rPr>
          <w:rFonts w:ascii="Arial" w:hAnsi="Arial" w:cs="Arial"/>
          <w:spacing w:val="-4"/>
          <w:sz w:val="17"/>
          <w:szCs w:val="17"/>
          <w:lang w:val="en-US"/>
        </w:rPr>
        <w:t xml:space="preserve">Junheng Li, “Starbucks Faces a Bigger Challenge in China than Upstart Coffee,” </w:t>
      </w:r>
      <w:r w:rsidRPr="00515CCA">
        <w:rPr>
          <w:rFonts w:ascii="Arial" w:hAnsi="Arial" w:cs="Arial"/>
          <w:i/>
          <w:spacing w:val="-4"/>
          <w:sz w:val="17"/>
          <w:szCs w:val="17"/>
        </w:rPr>
        <w:t>Nikkei Asian</w:t>
      </w:r>
      <w:r w:rsidRPr="00515CCA">
        <w:rPr>
          <w:rFonts w:ascii="Arial" w:hAnsi="Arial" w:cs="Arial"/>
          <w:spacing w:val="-4"/>
          <w:sz w:val="17"/>
          <w:szCs w:val="17"/>
        </w:rPr>
        <w:t>,</w:t>
      </w:r>
      <w:r w:rsidRPr="00515CCA">
        <w:rPr>
          <w:rFonts w:ascii="Arial" w:hAnsi="Arial" w:cs="Arial"/>
          <w:spacing w:val="-4"/>
          <w:sz w:val="17"/>
          <w:szCs w:val="17"/>
          <w:lang w:val="en-US"/>
        </w:rPr>
        <w:t xml:space="preserve"> August 24, 2018, accessed June 5, 2020, https://asia.nikkei.com/Business/Business-Insight/Starbucks-faces-a-bigger-challenge-in-China-than-upstart-Luckin.</w:t>
      </w:r>
    </w:p>
  </w:endnote>
  <w:endnote w:id="30">
    <w:p w14:paraId="01699F19" w14:textId="3600C4F9"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Alex Fang, “Starbucks’ China Challenger Luckin Surges in Upsized US Listing,” </w:t>
      </w:r>
      <w:r w:rsidRPr="004B6AA4">
        <w:rPr>
          <w:rFonts w:ascii="Arial" w:hAnsi="Arial" w:cs="Arial"/>
          <w:i/>
          <w:sz w:val="17"/>
          <w:szCs w:val="17"/>
        </w:rPr>
        <w:t>Nikkei Asian</w:t>
      </w:r>
      <w:r w:rsidRPr="004B6AA4">
        <w:rPr>
          <w:rFonts w:ascii="Arial" w:hAnsi="Arial" w:cs="Arial"/>
          <w:sz w:val="17"/>
          <w:szCs w:val="17"/>
        </w:rPr>
        <w:t>,</w:t>
      </w:r>
      <w:r w:rsidRPr="004B6AA4">
        <w:rPr>
          <w:rFonts w:ascii="Arial" w:hAnsi="Arial" w:cs="Arial"/>
          <w:sz w:val="17"/>
          <w:szCs w:val="17"/>
          <w:lang w:val="en-US"/>
        </w:rPr>
        <w:t xml:space="preserve"> May 18, 2019, accessed June 5, 2020,</w:t>
      </w:r>
      <w:r w:rsidRPr="00EE6190">
        <w:rPr>
          <w:rFonts w:ascii="Arial" w:hAnsi="Arial" w:cs="Arial"/>
          <w:sz w:val="17"/>
          <w:szCs w:val="17"/>
          <w:lang w:val="en-US"/>
        </w:rPr>
        <w:t xml:space="preserve"> https://asia.nikkei.com/Business/Companies/Starbucks-China-challenger-Luckin-surges-in-upsized-US-listing.</w:t>
      </w:r>
    </w:p>
  </w:endnote>
  <w:endnote w:id="31">
    <w:p w14:paraId="26EF5A2E" w14:textId="33BDD685" w:rsidR="001F3A0A" w:rsidRPr="004B6AA4" w:rsidRDefault="001F3A0A" w:rsidP="00EE6190">
      <w:pPr>
        <w:pStyle w:val="EndnoteText"/>
        <w:tabs>
          <w:tab w:val="left" w:pos="5812"/>
        </w:tabs>
        <w:jc w:val="both"/>
        <w:rPr>
          <w:rFonts w:ascii="Arial" w:hAnsi="Arial" w:cs="Arial"/>
          <w:sz w:val="17"/>
          <w:szCs w:val="17"/>
          <w:lang w:val="en-CA"/>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Chen Du, “Disgraced Luckin Chairman Booted, Actually Gains More Control over Board,” PingWest, July 5, 2020, accessed August 12, 202</w:t>
      </w:r>
      <w:r w:rsidRPr="004B6AA4">
        <w:rPr>
          <w:rFonts w:ascii="Arial" w:hAnsi="Arial" w:cs="Arial"/>
          <w:color w:val="000000" w:themeColor="text1"/>
          <w:sz w:val="17"/>
          <w:szCs w:val="17"/>
          <w:lang w:val="en-US"/>
        </w:rPr>
        <w:t xml:space="preserve">0, </w:t>
      </w:r>
      <w:hyperlink r:id="rId2" w:history="1">
        <w:r w:rsidRPr="004B6AA4">
          <w:rPr>
            <w:rStyle w:val="Hyperlink"/>
            <w:rFonts w:ascii="Arial" w:hAnsi="Arial" w:cs="Arial"/>
            <w:color w:val="000000" w:themeColor="text1"/>
            <w:sz w:val="17"/>
            <w:szCs w:val="17"/>
            <w:u w:val="none"/>
          </w:rPr>
          <w:t>https://en.pingwest.com/a/7103</w:t>
        </w:r>
      </w:hyperlink>
      <w:r w:rsidRPr="004B6AA4">
        <w:rPr>
          <w:rStyle w:val="Hyperlink"/>
          <w:rFonts w:ascii="Arial" w:hAnsi="Arial" w:cs="Arial"/>
          <w:color w:val="000000" w:themeColor="text1"/>
          <w:sz w:val="17"/>
          <w:szCs w:val="17"/>
          <w:u w:val="none"/>
          <w:lang w:val="en-CA"/>
        </w:rPr>
        <w:t>.</w:t>
      </w:r>
    </w:p>
  </w:endnote>
  <w:endnote w:id="32">
    <w:p w14:paraId="6480F4AF" w14:textId="391292E1"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Perez, op. cit.  </w:t>
      </w:r>
    </w:p>
  </w:endnote>
  <w:endnote w:id="33">
    <w:p w14:paraId="10BF9420" w14:textId="6EA9A26C"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Matsuda, op. cit.</w:t>
      </w:r>
    </w:p>
  </w:endnote>
  <w:endnote w:id="34">
    <w:p w14:paraId="0257D174" w14:textId="26660D00"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Saheli Roy Choudhury, “Tencent Reportedly Partners Local Coffee Start-Up to Take on China’s Coffee Market,” CNBC Markets,</w:t>
      </w:r>
      <w:r w:rsidRPr="00EE6190">
        <w:rPr>
          <w:rFonts w:ascii="Arial" w:hAnsi="Arial" w:cs="Arial"/>
          <w:sz w:val="17"/>
          <w:szCs w:val="17"/>
          <w:lang w:val="en-US"/>
        </w:rPr>
        <w:t xml:space="preserve"> September 7, 2018, accessed June 8, 2020, www.cnbc.com/2018/09/07/tencent-reportedly-partners-luckin-coffee-to-take-china-coffee-market.html.</w:t>
      </w:r>
    </w:p>
  </w:endnote>
  <w:endnote w:id="35">
    <w:p w14:paraId="227C6535" w14:textId="396D4D4F"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Marrian Zhou, “Luckin on Track to be Largest Coffee Chain in China this Year,” </w:t>
      </w:r>
      <w:r w:rsidRPr="004B6AA4">
        <w:rPr>
          <w:rFonts w:ascii="Arial" w:hAnsi="Arial" w:cs="Arial"/>
          <w:i/>
          <w:sz w:val="17"/>
          <w:szCs w:val="17"/>
        </w:rPr>
        <w:t>Nikkei Asian</w:t>
      </w:r>
      <w:r w:rsidRPr="004B6AA4">
        <w:rPr>
          <w:rFonts w:ascii="Arial" w:hAnsi="Arial" w:cs="Arial"/>
          <w:sz w:val="17"/>
          <w:szCs w:val="17"/>
        </w:rPr>
        <w:t>,</w:t>
      </w:r>
      <w:r w:rsidRPr="004B6AA4">
        <w:rPr>
          <w:rFonts w:ascii="Arial" w:hAnsi="Arial" w:cs="Arial"/>
          <w:sz w:val="17"/>
          <w:szCs w:val="17"/>
          <w:lang w:val="en-US"/>
        </w:rPr>
        <w:t xml:space="preserve"> August 15, 2019, accessed June 5, 2020, htt</w:t>
      </w:r>
      <w:r w:rsidRPr="00EE6190">
        <w:rPr>
          <w:rFonts w:ascii="Arial" w:hAnsi="Arial" w:cs="Arial"/>
          <w:sz w:val="17"/>
          <w:szCs w:val="17"/>
          <w:lang w:val="en-US"/>
        </w:rPr>
        <w:t>ps://asia.nikkei.com/Business/Travel-Leisure/Luckin-on-track-to-be-largest-coffee-chain-in-China-this-year2.</w:t>
      </w:r>
    </w:p>
  </w:endnote>
  <w:endnote w:id="36">
    <w:p w14:paraId="1B675B4A" w14:textId="6DCA4310"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Xu, op. cit.</w:t>
      </w:r>
    </w:p>
  </w:endnote>
  <w:endnote w:id="37">
    <w:p w14:paraId="04BA7A36" w14:textId="1E38B3D3"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Ibid.</w:t>
      </w:r>
    </w:p>
  </w:endnote>
  <w:endnote w:id="38">
    <w:p w14:paraId="6A23D832" w14:textId="0BD5F862"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Li, op. cit. </w:t>
      </w:r>
    </w:p>
  </w:endnote>
  <w:endnote w:id="39">
    <w:p w14:paraId="7355D8D9" w14:textId="088BC706"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Xu, op. cit.</w:t>
      </w:r>
    </w:p>
  </w:endnote>
  <w:endnote w:id="40">
    <w:p w14:paraId="5CAA517A" w14:textId="162E8724"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lang w:val="en-CA"/>
        </w:rPr>
        <w:t xml:space="preserve"> </w:t>
      </w:r>
      <w:r w:rsidRPr="004B6AA4">
        <w:rPr>
          <w:rFonts w:ascii="Arial" w:hAnsi="Arial" w:cs="Arial"/>
          <w:sz w:val="17"/>
          <w:szCs w:val="17"/>
          <w:lang w:val="en-US"/>
        </w:rPr>
        <w:t>“Luckin Coffee Appoints Reinout Schakel as CFO, CSO</w:t>
      </w:r>
      <w:r w:rsidRPr="00EE6190">
        <w:rPr>
          <w:rFonts w:ascii="Arial" w:hAnsi="Arial" w:cs="Arial"/>
          <w:sz w:val="17"/>
          <w:szCs w:val="17"/>
          <w:lang w:val="en-US"/>
        </w:rPr>
        <w:t>,” China.Org.Cn, January 7, 2020, accessed July 12, 2020, www.china.org.cn/business/2019-01/07/content_74349098.htm.</w:t>
      </w:r>
    </w:p>
  </w:endnote>
  <w:endnote w:id="41">
    <w:p w14:paraId="2B98610A" w14:textId="63B3B72B"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“Credit Suisse ‘Dream’ Client </w:t>
      </w:r>
      <w:r w:rsidRPr="00EE6190">
        <w:rPr>
          <w:rFonts w:ascii="Arial" w:hAnsi="Arial" w:cs="Arial"/>
          <w:sz w:val="17"/>
          <w:szCs w:val="17"/>
          <w:lang w:val="en-US"/>
        </w:rPr>
        <w:t xml:space="preserve">Becomes Nightmare in Luckin Scandal, Banking News &amp; Top Stories,” </w:t>
      </w:r>
      <w:r w:rsidRPr="00EE6190">
        <w:rPr>
          <w:rFonts w:ascii="Arial" w:hAnsi="Arial" w:cs="Arial"/>
          <w:i/>
          <w:sz w:val="17"/>
          <w:szCs w:val="17"/>
          <w:lang w:val="en-US"/>
        </w:rPr>
        <w:t>Singapore News Today,</w:t>
      </w:r>
      <w:r w:rsidRPr="00EE6190">
        <w:rPr>
          <w:rFonts w:ascii="Arial" w:hAnsi="Arial" w:cs="Arial"/>
          <w:sz w:val="17"/>
          <w:szCs w:val="17"/>
          <w:lang w:val="en-US"/>
        </w:rPr>
        <w:t xml:space="preserve"> April 29, 2020, accessed August 5, 2020, https://singaporenewstoday.com/cr</w:t>
      </w:r>
      <w:r w:rsidRPr="004B6AA4">
        <w:rPr>
          <w:rFonts w:ascii="Arial" w:hAnsi="Arial" w:cs="Arial"/>
          <w:sz w:val="17"/>
          <w:szCs w:val="17"/>
          <w:lang w:val="en-US"/>
        </w:rPr>
        <w:t>edit-suisse-dream-client-becomes-nightmare-in-luckin-scandal-banking-news-top-stories/.</w:t>
      </w:r>
    </w:p>
  </w:endnote>
  <w:endnote w:id="42">
    <w:p w14:paraId="362820BB" w14:textId="1C5F9474" w:rsidR="001F3A0A" w:rsidRPr="004B6AA4" w:rsidRDefault="001F3A0A">
      <w:pPr>
        <w:pStyle w:val="Footnote"/>
      </w:pPr>
      <w:r w:rsidRPr="004B6AA4">
        <w:rPr>
          <w:rStyle w:val="EndnoteReference"/>
        </w:rPr>
        <w:endnoteRef/>
      </w:r>
      <w:r w:rsidRPr="004B6AA4">
        <w:t xml:space="preserve"> James Chen, “American Depositary Share (ADS)s,” Investopedia, updated October 10, 2020, accessed November 17, 2020, https://www.investopedia.com/terms/a/ads.asp.</w:t>
      </w:r>
    </w:p>
  </w:endnote>
  <w:endnote w:id="43">
    <w:p w14:paraId="1A8D0ACA" w14:textId="10DF5A91" w:rsidR="001F3A0A" w:rsidRPr="00EE6190" w:rsidRDefault="001F3A0A">
      <w:pPr>
        <w:pStyle w:val="Footnote"/>
      </w:pPr>
      <w:r w:rsidRPr="004B6AA4">
        <w:rPr>
          <w:rStyle w:val="EndnoteReference"/>
        </w:rPr>
        <w:endnoteRef/>
      </w:r>
      <w:r w:rsidRPr="004B6AA4">
        <w:t xml:space="preserve"> Ryder Seamons, “Investing in Chinese Companies is Un-Luckin,” </w:t>
      </w:r>
      <w:r w:rsidRPr="004B6AA4">
        <w:rPr>
          <w:i/>
        </w:rPr>
        <w:t>China Law Blog</w:t>
      </w:r>
      <w:r w:rsidRPr="004B6AA4">
        <w:t xml:space="preserve">, </w:t>
      </w:r>
      <w:r w:rsidRPr="00EE6190">
        <w:t xml:space="preserve">July 11, 2020, accessed August 3, 2020, www.chinalawblog.com/2020/07/investing-in-chinese-companies-is-un-luckin.html. </w:t>
      </w:r>
    </w:p>
  </w:endnote>
  <w:endnote w:id="44">
    <w:p w14:paraId="2B5FD64C" w14:textId="7400EFA0"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Xu, op. cit </w:t>
      </w:r>
    </w:p>
  </w:endnote>
  <w:endnote w:id="45">
    <w:p w14:paraId="20A24CB2" w14:textId="127FD061"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Zhou, op. cit.</w:t>
      </w:r>
    </w:p>
  </w:endnote>
  <w:endnote w:id="46">
    <w:p w14:paraId="075E96BF" w14:textId="50DD4519"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GB"/>
        </w:rPr>
        <w:t>“Luckin Coffee Appoints,”</w:t>
      </w:r>
      <w:r w:rsidRPr="004B6AA4">
        <w:rPr>
          <w:rFonts w:ascii="Arial" w:hAnsi="Arial" w:cs="Arial"/>
          <w:sz w:val="17"/>
          <w:szCs w:val="17"/>
          <w:lang w:val="en-US"/>
        </w:rPr>
        <w:t xml:space="preserve"> op. cit.</w:t>
      </w:r>
    </w:p>
  </w:endnote>
  <w:endnote w:id="47">
    <w:p w14:paraId="480EBF2E" w14:textId="6AF640F5" w:rsidR="001F3A0A" w:rsidRPr="00515CCA" w:rsidRDefault="001F3A0A">
      <w:pPr>
        <w:pStyle w:val="EndnoteText"/>
        <w:jc w:val="both"/>
        <w:rPr>
          <w:rFonts w:ascii="Arial" w:hAnsi="Arial" w:cs="Arial"/>
          <w:spacing w:val="-4"/>
          <w:sz w:val="17"/>
          <w:szCs w:val="17"/>
          <w:lang w:val="en-US"/>
        </w:rPr>
      </w:pPr>
      <w:r w:rsidRPr="00515CCA">
        <w:rPr>
          <w:rStyle w:val="EndnoteReference"/>
          <w:rFonts w:ascii="Arial" w:hAnsi="Arial" w:cs="Arial"/>
          <w:spacing w:val="-4"/>
          <w:sz w:val="17"/>
          <w:szCs w:val="17"/>
        </w:rPr>
        <w:endnoteRef/>
      </w:r>
      <w:r w:rsidRPr="00515CCA">
        <w:rPr>
          <w:rFonts w:ascii="Arial" w:hAnsi="Arial" w:cs="Arial"/>
          <w:spacing w:val="-4"/>
          <w:sz w:val="17"/>
          <w:szCs w:val="17"/>
        </w:rPr>
        <w:t xml:space="preserve"> </w:t>
      </w:r>
      <w:r w:rsidRPr="00515CCA">
        <w:rPr>
          <w:rFonts w:ascii="Arial" w:hAnsi="Arial" w:cs="Arial"/>
          <w:spacing w:val="-4"/>
          <w:sz w:val="17"/>
          <w:szCs w:val="17"/>
          <w:lang w:val="en-US"/>
        </w:rPr>
        <w:t xml:space="preserve">Alex Fang, “US Hedge Fund Titan Reveals $390M Stake in China’s Luckin Coffee”, </w:t>
      </w:r>
      <w:r w:rsidRPr="00515CCA">
        <w:rPr>
          <w:rFonts w:ascii="Arial" w:hAnsi="Arial" w:cs="Arial"/>
          <w:i/>
          <w:spacing w:val="-4"/>
          <w:sz w:val="17"/>
          <w:szCs w:val="17"/>
        </w:rPr>
        <w:t>Nikkei Asian</w:t>
      </w:r>
      <w:r w:rsidRPr="00515CCA">
        <w:rPr>
          <w:rFonts w:ascii="Arial" w:hAnsi="Arial" w:cs="Arial"/>
          <w:spacing w:val="-4"/>
          <w:sz w:val="17"/>
          <w:szCs w:val="17"/>
        </w:rPr>
        <w:t>,</w:t>
      </w:r>
      <w:r w:rsidRPr="00515CCA">
        <w:rPr>
          <w:rFonts w:ascii="Arial" w:hAnsi="Arial" w:cs="Arial"/>
          <w:spacing w:val="-4"/>
          <w:sz w:val="17"/>
          <w:szCs w:val="17"/>
          <w:lang w:val="en-US"/>
        </w:rPr>
        <w:t xml:space="preserve"> August 7, 2019, accessed June 5, 2020, https://asia.nikkei.com/Business/Business-deals/US-hedge-fund-titan-reveals-390m-stake-in-China-s-Luckin-Coffee.</w:t>
      </w:r>
    </w:p>
  </w:endnote>
  <w:endnote w:id="48">
    <w:p w14:paraId="20691F6D" w14:textId="4FAC9084"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Nikki Sun, “China’s Luckin Coffee Forms JV with Middle Eastern Partner,” </w:t>
      </w:r>
      <w:r w:rsidRPr="004B6AA4">
        <w:rPr>
          <w:rFonts w:ascii="Arial" w:hAnsi="Arial" w:cs="Arial"/>
          <w:i/>
          <w:sz w:val="17"/>
          <w:szCs w:val="17"/>
        </w:rPr>
        <w:t>Nikkei Asian</w:t>
      </w:r>
      <w:r w:rsidRPr="004B6AA4">
        <w:rPr>
          <w:rFonts w:ascii="Arial" w:hAnsi="Arial" w:cs="Arial"/>
          <w:i/>
          <w:sz w:val="17"/>
          <w:szCs w:val="17"/>
          <w:lang w:val="en-US"/>
        </w:rPr>
        <w:t>,</w:t>
      </w:r>
      <w:r w:rsidRPr="004B6AA4">
        <w:rPr>
          <w:rFonts w:ascii="Arial" w:hAnsi="Arial" w:cs="Arial"/>
          <w:sz w:val="17"/>
          <w:szCs w:val="17"/>
          <w:lang w:val="en-US"/>
        </w:rPr>
        <w:t xml:space="preserve"> July 22, 2019, accessed June 5, 2020, https://asia.nikkei.com/Business/Companies/China-s-Luckin-Coffee-forms-JV-with-Middle-Eastern-partner</w:t>
      </w:r>
      <w:r w:rsidRPr="00EE6190">
        <w:rPr>
          <w:rFonts w:ascii="Arial" w:hAnsi="Arial" w:cs="Arial"/>
          <w:sz w:val="17"/>
          <w:szCs w:val="17"/>
          <w:lang w:val="en-US"/>
        </w:rPr>
        <w:t>.</w:t>
      </w:r>
    </w:p>
  </w:endnote>
  <w:endnote w:id="49">
    <w:p w14:paraId="6BC461A6" w14:textId="2A31007B"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Alex Fang, “Luckin Coffee Squeezes into China Juice Space with Louis Dreyfus,” </w:t>
      </w:r>
      <w:r w:rsidRPr="004B6AA4">
        <w:rPr>
          <w:rFonts w:ascii="Arial" w:hAnsi="Arial" w:cs="Arial"/>
          <w:i/>
          <w:sz w:val="17"/>
          <w:szCs w:val="17"/>
        </w:rPr>
        <w:t>Nikkei Asian</w:t>
      </w:r>
      <w:r w:rsidRPr="004B6AA4">
        <w:rPr>
          <w:rFonts w:ascii="Arial" w:hAnsi="Arial" w:cs="Arial"/>
          <w:sz w:val="17"/>
          <w:szCs w:val="17"/>
          <w:lang w:val="en-US"/>
        </w:rPr>
        <w:t>, September 27, 2019, accessed June 5, 2020, https://asia.nikkei.com/Business/Companies/Luckin-Coffee-squeezes-into-China-juice-space-with-Louis-Dreyfus</w:t>
      </w:r>
      <w:r w:rsidRPr="00EE6190">
        <w:rPr>
          <w:rFonts w:ascii="Arial" w:hAnsi="Arial" w:cs="Arial"/>
          <w:sz w:val="17"/>
          <w:szCs w:val="17"/>
          <w:lang w:val="en-US"/>
        </w:rPr>
        <w:t>.</w:t>
      </w:r>
    </w:p>
  </w:endnote>
  <w:endnote w:id="50">
    <w:p w14:paraId="6DA9EF3F" w14:textId="2F821B9A"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Alex Fang, “Luckin Coffee Hatches Luckin Tea, for China’s Smaller Cities,” </w:t>
      </w:r>
      <w:r w:rsidRPr="004B6AA4">
        <w:rPr>
          <w:rFonts w:ascii="Arial" w:hAnsi="Arial" w:cs="Arial"/>
          <w:i/>
          <w:sz w:val="17"/>
          <w:szCs w:val="17"/>
        </w:rPr>
        <w:t>Nikkei Asian</w:t>
      </w:r>
      <w:r w:rsidRPr="004B6AA4">
        <w:rPr>
          <w:rFonts w:ascii="Arial" w:hAnsi="Arial" w:cs="Arial"/>
          <w:sz w:val="17"/>
          <w:szCs w:val="17"/>
          <w:lang w:val="en-US"/>
        </w:rPr>
        <w:t>, September 4, 2019, accessed June 5, 2020, https://asia.nikkei.com/Business/Companies/Luckin-Coffee-hatches-Luckin-Tea-for-China-s-smaller-cities</w:t>
      </w:r>
      <w:r w:rsidRPr="00EE6190">
        <w:rPr>
          <w:rFonts w:ascii="Arial" w:hAnsi="Arial" w:cs="Arial"/>
          <w:sz w:val="17"/>
          <w:szCs w:val="17"/>
          <w:lang w:val="en-US"/>
        </w:rPr>
        <w:t>.</w:t>
      </w:r>
    </w:p>
  </w:endnote>
  <w:endnote w:id="51">
    <w:p w14:paraId="77F5EEB1" w14:textId="58DABA37"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Announces Smart Unmanned,” op. cit. </w:t>
      </w:r>
    </w:p>
  </w:endnote>
  <w:endnote w:id="52">
    <w:p w14:paraId="255F0C0D" w14:textId="1046C679"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Alex Fang, “Luckin Coffee Zooms Past Starbucks in China Stores,” </w:t>
      </w:r>
      <w:r w:rsidRPr="004B6AA4">
        <w:rPr>
          <w:rFonts w:ascii="Arial" w:hAnsi="Arial" w:cs="Arial"/>
          <w:i/>
          <w:sz w:val="17"/>
          <w:szCs w:val="17"/>
        </w:rPr>
        <w:t>Nikkei Asian</w:t>
      </w:r>
      <w:r w:rsidRPr="004B6AA4">
        <w:rPr>
          <w:rFonts w:ascii="Arial" w:hAnsi="Arial" w:cs="Arial"/>
          <w:i/>
          <w:sz w:val="17"/>
          <w:szCs w:val="17"/>
          <w:lang w:val="en-US"/>
        </w:rPr>
        <w:t>,</w:t>
      </w:r>
      <w:r w:rsidRPr="004B6AA4">
        <w:rPr>
          <w:rFonts w:ascii="Arial" w:hAnsi="Arial" w:cs="Arial"/>
          <w:sz w:val="17"/>
          <w:szCs w:val="17"/>
          <w:lang w:val="en-US"/>
        </w:rPr>
        <w:t xml:space="preserve"> January 3, 2020, accessed June 5, 2020, https://asia.nikkei.com/Business/Startups/Luckin-Coffee-zooms-past-Starbucks-in-China-store-count</w:t>
      </w:r>
      <w:r w:rsidRPr="00EE6190">
        <w:rPr>
          <w:rFonts w:ascii="Arial" w:hAnsi="Arial" w:cs="Arial"/>
          <w:sz w:val="17"/>
          <w:szCs w:val="17"/>
          <w:lang w:val="en-US"/>
        </w:rPr>
        <w:t>.</w:t>
      </w:r>
    </w:p>
  </w:endnote>
  <w:endnote w:id="53">
    <w:p w14:paraId="212C358F" w14:textId="59089D38"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Announces Proposed Offering of US$400 Million Convertible Senior Notes,”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lang w:val="en-US"/>
        </w:rPr>
        <w:t xml:space="preserve"> (press release), </w:t>
      </w:r>
      <w:r w:rsidRPr="00EE6190">
        <w:rPr>
          <w:rFonts w:ascii="Arial" w:hAnsi="Arial" w:cs="Arial"/>
          <w:sz w:val="17"/>
          <w:szCs w:val="17"/>
          <w:lang w:val="en-US"/>
        </w:rPr>
        <w:t>January 7, 2020, accessed July 18, 2020, https://investor.luckincoffee.com/news-releases/news-release-details/luckin-coffee-inc-announces-proposed-offering-us400-million.</w:t>
      </w:r>
    </w:p>
  </w:endnote>
  <w:endnote w:id="54">
    <w:p w14:paraId="663B4659" w14:textId="300B7405"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Announces Pricing of Upsized Follow-On Public Offering of American Depositary Shares,”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lang w:val="en-US"/>
        </w:rPr>
        <w:t xml:space="preserve"> (press release),</w:t>
      </w:r>
      <w:r w:rsidRPr="00EE6190">
        <w:rPr>
          <w:rFonts w:ascii="Arial" w:hAnsi="Arial" w:cs="Arial"/>
          <w:sz w:val="17"/>
          <w:szCs w:val="17"/>
          <w:lang w:val="en-US"/>
        </w:rPr>
        <w:t xml:space="preserve"> January 10, 2020, accessed July 18, 2020, https://investor.luckincoffee.com/news-releases/news-release-details/luckin-cof</w:t>
      </w:r>
      <w:r w:rsidRPr="004B6AA4">
        <w:rPr>
          <w:rFonts w:ascii="Arial" w:hAnsi="Arial" w:cs="Arial"/>
          <w:sz w:val="17"/>
          <w:szCs w:val="17"/>
          <w:lang w:val="en-US"/>
        </w:rPr>
        <w:t>fee-inc-announces-pricing-upsized-follow-public.</w:t>
      </w:r>
    </w:p>
  </w:endnote>
  <w:endnote w:id="55">
    <w:p w14:paraId="2EB4F7BE" w14:textId="5759B333"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Announces Full Exercise of Option by Initial Purchasers to Purchase Additional Convertible Senior Notes,” </w:t>
      </w:r>
      <w:r w:rsidRPr="00EE6190">
        <w:rPr>
          <w:rFonts w:ascii="Arial" w:hAnsi="Arial" w:cs="Arial"/>
          <w:sz w:val="17"/>
          <w:szCs w:val="17"/>
          <w:lang w:val="en-US"/>
        </w:rPr>
        <w:t>luckin coffee (press release), January 17, 2020 accessed July 18, 2020, https://investor.luckincoffee.com/news-releases/news-release-details/luckin-coffee-inc-announces-full-exercise-option-initial.</w:t>
      </w:r>
    </w:p>
  </w:endnote>
  <w:endnote w:id="56">
    <w:p w14:paraId="04899D92" w14:textId="40C1B329" w:rsidR="001F3A0A" w:rsidRPr="00515CCA" w:rsidRDefault="001F3A0A" w:rsidP="00515CC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”Luckin Coffee Inc. (LKNCY),” op cit.</w:t>
      </w:r>
    </w:p>
  </w:endnote>
  <w:endnote w:id="57">
    <w:p w14:paraId="5408D26B" w14:textId="715CE75C" w:rsidR="001F3A0A" w:rsidRPr="004B6AA4"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Wang and Campbell, op. cit.</w:t>
      </w:r>
    </w:p>
  </w:endnote>
  <w:endnote w:id="58">
    <w:p w14:paraId="09869115" w14:textId="47FE3F24"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Sophie Yu and Brenda Goh, “Analysis: Want to Make Profits from Coffee in China? It’s Actually a Grind,” </w:t>
      </w:r>
      <w:r w:rsidRPr="004B6AA4">
        <w:rPr>
          <w:rFonts w:ascii="Arial" w:hAnsi="Arial" w:cs="Arial"/>
          <w:sz w:val="17"/>
          <w:szCs w:val="17"/>
        </w:rPr>
        <w:t>N</w:t>
      </w:r>
      <w:r w:rsidRPr="004B6AA4">
        <w:rPr>
          <w:rFonts w:ascii="Arial" w:hAnsi="Arial" w:cs="Arial"/>
          <w:sz w:val="17"/>
          <w:szCs w:val="17"/>
          <w:lang w:val="en-US"/>
        </w:rPr>
        <w:t>asdaq</w:t>
      </w:r>
      <w:r w:rsidRPr="00EE6190">
        <w:rPr>
          <w:rFonts w:ascii="Arial" w:hAnsi="Arial" w:cs="Arial"/>
          <w:sz w:val="17"/>
          <w:szCs w:val="17"/>
        </w:rPr>
        <w:t>,</w:t>
      </w:r>
      <w:r w:rsidRPr="00EE6190">
        <w:rPr>
          <w:rFonts w:ascii="Arial" w:hAnsi="Arial" w:cs="Arial"/>
          <w:sz w:val="17"/>
          <w:szCs w:val="17"/>
          <w:lang w:val="en-US"/>
        </w:rPr>
        <w:t xml:space="preserve"> July 21, 2020, accessed August 3, 2020, www.nasdaq.com/articles/analysis-want-to-make-profits-from-coffee-in-china-its-actually-a-grind-2020-07-21.</w:t>
      </w:r>
    </w:p>
  </w:endnote>
  <w:endnote w:id="59">
    <w:p w14:paraId="5BE89EB4" w14:textId="19302D89" w:rsidR="001F3A0A" w:rsidRPr="004B6AA4"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Ibid.</w:t>
      </w:r>
    </w:p>
  </w:endnote>
  <w:endnote w:id="60">
    <w:p w14:paraId="0CACD1F8" w14:textId="3A8E0433" w:rsidR="001F3A0A" w:rsidRPr="00EE6190" w:rsidRDefault="001F3A0A" w:rsidP="004B6AA4">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Siyan Li, “Starbucks: 20 Years in China,” </w:t>
      </w:r>
      <w:r w:rsidRPr="004B6AA4">
        <w:rPr>
          <w:rFonts w:ascii="Arial" w:hAnsi="Arial" w:cs="Arial"/>
          <w:iCs/>
          <w:sz w:val="17"/>
          <w:szCs w:val="17"/>
          <w:lang w:val="en-US"/>
        </w:rPr>
        <w:t>The Start Up</w:t>
      </w:r>
      <w:r w:rsidRPr="004B6AA4">
        <w:rPr>
          <w:rFonts w:ascii="Arial" w:hAnsi="Arial" w:cs="Arial"/>
          <w:sz w:val="17"/>
          <w:szCs w:val="17"/>
          <w:lang w:val="en-US"/>
        </w:rPr>
        <w:t>, January 24, 2019, accessed June 10, 2020, https://medium.com/swlh/starbucks-20-years-in-china-9fa8e0c33cf1</w:t>
      </w:r>
      <w:r w:rsidRPr="00EE6190">
        <w:rPr>
          <w:rFonts w:ascii="Arial" w:hAnsi="Arial" w:cs="Arial"/>
          <w:sz w:val="17"/>
          <w:szCs w:val="17"/>
          <w:lang w:val="en-US"/>
        </w:rPr>
        <w:t>.</w:t>
      </w:r>
    </w:p>
  </w:endnote>
  <w:endnote w:id="61">
    <w:p w14:paraId="722FAD8E" w14:textId="44E96641" w:rsidR="001F3A0A" w:rsidRPr="004B6AA4" w:rsidRDefault="001F3A0A" w:rsidP="00EE6190">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“Luckin Coffee Appoints,” op. cit.</w:t>
      </w:r>
    </w:p>
  </w:endnote>
  <w:endnote w:id="62">
    <w:p w14:paraId="16E5E1A2" w14:textId="648431E7" w:rsidR="001F3A0A" w:rsidRPr="004B6AA4" w:rsidRDefault="001F3A0A" w:rsidP="00EE6190">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Matsuda, op. cit.</w:t>
      </w:r>
    </w:p>
  </w:endnote>
  <w:endnote w:id="63">
    <w:p w14:paraId="4F367A72" w14:textId="6402AD40"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Daniel Shane, “This Coffee Company Thinks It Can Beat Starbucks in China,” </w:t>
      </w:r>
      <w:r w:rsidRPr="004B6AA4">
        <w:rPr>
          <w:rFonts w:ascii="Arial" w:hAnsi="Arial" w:cs="Arial"/>
          <w:iCs/>
          <w:sz w:val="17"/>
          <w:szCs w:val="17"/>
          <w:lang w:val="en-US"/>
        </w:rPr>
        <w:t>CNN Philippines,</w:t>
      </w:r>
      <w:r w:rsidRPr="004B6AA4">
        <w:rPr>
          <w:rFonts w:ascii="Arial" w:hAnsi="Arial" w:cs="Arial"/>
          <w:sz w:val="17"/>
          <w:szCs w:val="17"/>
          <w:lang w:val="en-US"/>
        </w:rPr>
        <w:t xml:space="preserve"> December 29, 2018, accessed June 10, 2020, https://cnnphilippines.com/world/2018/12/29/Luckin-Coffee-Starbucks-Coffee-China.html</w:t>
      </w:r>
      <w:r w:rsidRPr="00EE6190">
        <w:rPr>
          <w:rFonts w:ascii="Arial" w:hAnsi="Arial" w:cs="Arial"/>
          <w:sz w:val="17"/>
          <w:szCs w:val="17"/>
          <w:lang w:val="en-US"/>
        </w:rPr>
        <w:t>.</w:t>
      </w:r>
    </w:p>
  </w:endnote>
  <w:endnote w:id="64">
    <w:p w14:paraId="592BF3F1" w14:textId="0E8157ED"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vs Starbucks: A Luckin Success in China,” </w:t>
      </w:r>
      <w:r w:rsidRPr="00EE6190">
        <w:rPr>
          <w:rFonts w:ascii="Arial" w:hAnsi="Arial" w:cs="Arial"/>
          <w:iCs/>
          <w:sz w:val="17"/>
          <w:szCs w:val="17"/>
          <w:lang w:val="en-US"/>
        </w:rPr>
        <w:t>Adam Cogan</w:t>
      </w:r>
      <w:r w:rsidRPr="00EE6190">
        <w:rPr>
          <w:rFonts w:ascii="Arial" w:hAnsi="Arial" w:cs="Arial"/>
          <w:i/>
          <w:iCs/>
          <w:sz w:val="17"/>
          <w:szCs w:val="17"/>
          <w:lang w:val="en-US"/>
        </w:rPr>
        <w:t xml:space="preserve"> </w:t>
      </w:r>
      <w:r w:rsidRPr="00EE6190">
        <w:rPr>
          <w:rFonts w:ascii="Arial" w:hAnsi="Arial" w:cs="Arial"/>
          <w:iCs/>
          <w:sz w:val="17"/>
          <w:szCs w:val="17"/>
          <w:lang w:val="en-US"/>
        </w:rPr>
        <w:t>(blog)</w:t>
      </w:r>
      <w:r w:rsidRPr="00EE6190">
        <w:rPr>
          <w:rFonts w:ascii="Arial" w:hAnsi="Arial" w:cs="Arial"/>
          <w:sz w:val="17"/>
          <w:szCs w:val="17"/>
          <w:lang w:val="en-US"/>
        </w:rPr>
        <w:t>, December 5, 2018, accessed August 3, 2020, h</w:t>
      </w:r>
      <w:r w:rsidRPr="004B6AA4">
        <w:rPr>
          <w:rFonts w:ascii="Arial" w:hAnsi="Arial" w:cs="Arial"/>
          <w:sz w:val="17"/>
          <w:szCs w:val="17"/>
          <w:lang w:val="en-US"/>
        </w:rPr>
        <w:t>ttps://adamcogan.com/2018/12/05/luckin-coffee-vs-starbucks-a-luckin-success-in-china/.</w:t>
      </w:r>
    </w:p>
  </w:endnote>
  <w:endnote w:id="65">
    <w:p w14:paraId="68E96262" w14:textId="0FD74C5A"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Maggie Fitzgerald, “Wall Street Sees Major Growth Potential for Luckin in Untapped Chinese Coffee Market,” </w:t>
      </w:r>
      <w:r w:rsidRPr="004B6AA4">
        <w:rPr>
          <w:rFonts w:ascii="Arial" w:hAnsi="Arial" w:cs="Arial"/>
          <w:iCs/>
          <w:sz w:val="17"/>
          <w:szCs w:val="17"/>
          <w:lang w:val="en-US"/>
        </w:rPr>
        <w:t>CNBC</w:t>
      </w:r>
      <w:r w:rsidRPr="00EE6190">
        <w:rPr>
          <w:rFonts w:ascii="Arial" w:hAnsi="Arial" w:cs="Arial"/>
          <w:sz w:val="17"/>
          <w:szCs w:val="17"/>
          <w:lang w:val="en-US"/>
        </w:rPr>
        <w:t>, June 16, 2019, accessed June 20, 2020, www.cnbc.com/20</w:t>
      </w:r>
      <w:r w:rsidRPr="004B6AA4">
        <w:rPr>
          <w:rFonts w:ascii="Arial" w:hAnsi="Arial" w:cs="Arial"/>
          <w:sz w:val="17"/>
          <w:szCs w:val="17"/>
          <w:lang w:val="en-US"/>
        </w:rPr>
        <w:t>19/06/14/wall-street-sees-major-growth-potential-for-luckin-in-untapped-chinese-coffee-market.html.</w:t>
      </w:r>
    </w:p>
  </w:endnote>
  <w:endnote w:id="66">
    <w:p w14:paraId="1353FF66" w14:textId="04D196F8"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Helen Wang, “Five Things Starbucks Did to Get China Right,” </w:t>
      </w:r>
      <w:r w:rsidRPr="004B6AA4">
        <w:rPr>
          <w:rFonts w:ascii="Arial" w:hAnsi="Arial" w:cs="Arial"/>
          <w:i/>
          <w:iCs/>
          <w:sz w:val="17"/>
          <w:szCs w:val="17"/>
          <w:lang w:val="en-US"/>
        </w:rPr>
        <w:t>Forbes</w:t>
      </w:r>
      <w:r w:rsidRPr="00EE6190">
        <w:rPr>
          <w:rFonts w:ascii="Arial" w:hAnsi="Arial" w:cs="Arial"/>
          <w:sz w:val="17"/>
          <w:szCs w:val="17"/>
          <w:lang w:val="en-US"/>
        </w:rPr>
        <w:t>, August 10, 2012, accessed June 10, 2020, www.forbes.com/sites/helenwang/2012/08/10/fiv</w:t>
      </w:r>
      <w:r w:rsidRPr="004B6AA4">
        <w:rPr>
          <w:rFonts w:ascii="Arial" w:hAnsi="Arial" w:cs="Arial"/>
          <w:sz w:val="17"/>
          <w:szCs w:val="17"/>
          <w:lang w:val="en-US"/>
        </w:rPr>
        <w:t>e-things-starbucks-did-to-get-china-right/#65e3203853af 1/.</w:t>
      </w:r>
    </w:p>
  </w:endnote>
  <w:endnote w:id="67">
    <w:p w14:paraId="65A34B73" w14:textId="2B5DD681" w:rsidR="001F3A0A" w:rsidRPr="004B6AA4" w:rsidRDefault="001F3A0A">
      <w:pPr>
        <w:pStyle w:val="Footnote"/>
        <w:rPr>
          <w:lang w:val="en-US"/>
        </w:rPr>
      </w:pPr>
      <w:r w:rsidRPr="004B6AA4">
        <w:rPr>
          <w:rStyle w:val="EndnoteReference"/>
        </w:rPr>
        <w:endnoteRef/>
      </w:r>
      <w:r w:rsidRPr="004B6AA4">
        <w:t xml:space="preserve"> </w:t>
      </w:r>
      <w:r w:rsidRPr="00C62FF9">
        <w:rPr>
          <w:iCs/>
          <w:color w:val="000000" w:themeColor="text1"/>
          <w:spacing w:val="-4"/>
        </w:rPr>
        <w:t>Luckin Coffee</w:t>
      </w:r>
      <w:r w:rsidRPr="004B6AA4">
        <w:t xml:space="preserve">, </w:t>
      </w:r>
      <w:r w:rsidRPr="004B6AA4">
        <w:rPr>
          <w:i/>
        </w:rPr>
        <w:t xml:space="preserve">13,800,000 American Depositary Shares: Luckin Coffee Inc. Representing 110,400,000 Class A Ordinary Shares, </w:t>
      </w:r>
      <w:r w:rsidRPr="00EE6190">
        <w:t>January 9, 2020, accessed August 5, 2020, https://investor.luckincoffee.com/static-files/8fc12b81-9b27-46ee-a117-63ce9364fc43.</w:t>
      </w:r>
    </w:p>
  </w:endnote>
  <w:endnote w:id="68">
    <w:p w14:paraId="5DBF8252" w14:textId="16B69BBB"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Shane, op. cit. </w:t>
      </w:r>
    </w:p>
  </w:endnote>
  <w:endnote w:id="69">
    <w:p w14:paraId="5B3439CE" w14:textId="41261084"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Wang and Campbell, op. cit.</w:t>
      </w:r>
    </w:p>
  </w:endnote>
  <w:endnote w:id="70">
    <w:p w14:paraId="2BDDEFF3" w14:textId="643BA231"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Fraud + Fundamentally Broken Business,” accessed August 3, 2020, </w:t>
      </w:r>
      <w:r w:rsidRPr="00EE6190">
        <w:rPr>
          <w:rFonts w:ascii="Arial" w:hAnsi="Arial" w:cs="Arial"/>
          <w:sz w:val="17"/>
          <w:szCs w:val="17"/>
          <w:lang w:val="en-US"/>
        </w:rPr>
        <w:t>https://drive.google.com/file/d/1LKOYMpXVo1ssbWQx8j4G3-strg6mpQ7F/view.</w:t>
      </w:r>
    </w:p>
  </w:endnote>
  <w:endnote w:id="71">
    <w:p w14:paraId="20390F9E" w14:textId="570EA686"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Pete Sweeney, “Breakingviews: China Fortune Hard to Read in Luckin Coffee Beans,” Reuters</w:t>
      </w:r>
      <w:r w:rsidRPr="004B6AA4">
        <w:rPr>
          <w:rFonts w:ascii="Arial" w:hAnsi="Arial" w:cs="Arial"/>
          <w:sz w:val="17"/>
          <w:szCs w:val="17"/>
        </w:rPr>
        <w:t>,</w:t>
      </w:r>
      <w:r w:rsidRPr="00EE6190">
        <w:rPr>
          <w:rFonts w:ascii="Arial" w:hAnsi="Arial" w:cs="Arial"/>
          <w:sz w:val="17"/>
          <w:szCs w:val="17"/>
          <w:lang w:val="en-US"/>
        </w:rPr>
        <w:t xml:space="preserve"> February 5, 2020, accessed July 25, 2020, www.reuters.com/article/us-luckin-coffee-stock-breakingviews-idUSKBN1ZZ0E9.</w:t>
      </w:r>
    </w:p>
  </w:endnote>
  <w:endnote w:id="72">
    <w:p w14:paraId="6905020A" w14:textId="56A8C2D2"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Wang and Campbell, op. cit.</w:t>
      </w:r>
    </w:p>
  </w:endnote>
  <w:endnote w:id="73">
    <w:p w14:paraId="26D21006" w14:textId="55F5002A" w:rsidR="001F3A0A" w:rsidRPr="00EE6190" w:rsidRDefault="001F3A0A">
      <w:pPr>
        <w:pStyle w:val="Footnote"/>
      </w:pPr>
      <w:r w:rsidRPr="004B6AA4">
        <w:rPr>
          <w:rStyle w:val="EndnoteReference"/>
        </w:rPr>
        <w:endnoteRef/>
      </w:r>
      <w:r w:rsidRPr="004B6AA4">
        <w:t xml:space="preserve"> Amelia Lucas, “Shares of China’s Luckin Coffee Plummet 80% a</w:t>
      </w:r>
      <w:r w:rsidRPr="00EE6190">
        <w:t>fter Investigation Finds COO Fabricated Sales,” CNBC, April 2, 2020, accessed July 25, 2020, www.cnbc.com/2020/04/02/luckin-coffee-stock-plummets-after-investigation-finds-coo-fabricated-sales.html.</w:t>
      </w:r>
    </w:p>
  </w:endnote>
  <w:endnote w:id="74">
    <w:p w14:paraId="6C588468" w14:textId="3BF7DB25"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Wang and Campbell, op. cit.</w:t>
      </w:r>
    </w:p>
  </w:endnote>
  <w:endnote w:id="75">
    <w:p w14:paraId="13DD8554" w14:textId="2883ACC3"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Shen Xinyue, Qu Yunxu, Yuan Ruiyang, and Han Wei, “In Depth: Investors Sip Bitter Taste of Luckin Coffee Scandal,” </w:t>
      </w:r>
      <w:r w:rsidRPr="00EE6190">
        <w:rPr>
          <w:rFonts w:ascii="Arial" w:hAnsi="Arial" w:cs="Arial"/>
          <w:i/>
          <w:sz w:val="17"/>
          <w:szCs w:val="17"/>
          <w:lang w:val="en-US"/>
        </w:rPr>
        <w:t>Nikkei Asian</w:t>
      </w:r>
      <w:r w:rsidRPr="00EE6190">
        <w:rPr>
          <w:rFonts w:ascii="Arial" w:hAnsi="Arial" w:cs="Arial"/>
          <w:sz w:val="17"/>
          <w:szCs w:val="17"/>
        </w:rPr>
        <w:t>,</w:t>
      </w:r>
      <w:r w:rsidRPr="00EE6190">
        <w:rPr>
          <w:rFonts w:ascii="Arial" w:hAnsi="Arial" w:cs="Arial"/>
          <w:sz w:val="17"/>
          <w:szCs w:val="17"/>
          <w:lang w:val="en-US"/>
        </w:rPr>
        <w:t xml:space="preserve"> April 21, 2020, accessed June 5, 2020, https://asia.nikkei.com/Spotlight/Caixin/In-Depth-Investors-sip-bitter-taste-of-Luckin-Coffee-scandal.</w:t>
      </w:r>
    </w:p>
  </w:endnote>
  <w:endnote w:id="76">
    <w:p w14:paraId="1AA4F157" w14:textId="64F51F35" w:rsidR="001F3A0A" w:rsidRPr="004B6AA4" w:rsidRDefault="001F3A0A">
      <w:pPr>
        <w:pStyle w:val="Footnote"/>
        <w:rPr>
          <w:color w:val="000000" w:themeColor="text1"/>
        </w:rPr>
      </w:pPr>
      <w:r w:rsidRPr="004B6AA4">
        <w:rPr>
          <w:rStyle w:val="EndnoteReference"/>
        </w:rPr>
        <w:endnoteRef/>
      </w:r>
      <w:r w:rsidRPr="004B6AA4">
        <w:t xml:space="preserve"> </w:t>
      </w:r>
      <w:bookmarkStart w:id="12" w:name="_Hlk48142255"/>
      <w:r w:rsidRPr="004B6AA4">
        <w:t>“</w:t>
      </w:r>
      <w:r w:rsidRPr="004B6AA4">
        <w:rPr>
          <w:color w:val="000000" w:themeColor="text1"/>
        </w:rPr>
        <w:t xml:space="preserve">Luckin Announces the Substantial Completion of the Internal Investigation,” </w:t>
      </w:r>
      <w:r w:rsidRPr="00C62FF9">
        <w:rPr>
          <w:iCs/>
          <w:color w:val="000000" w:themeColor="text1"/>
          <w:spacing w:val="-4"/>
        </w:rPr>
        <w:t>Luckin Coffee</w:t>
      </w:r>
      <w:r w:rsidRPr="004B6AA4">
        <w:rPr>
          <w:color w:val="000000" w:themeColor="text1"/>
        </w:rPr>
        <w:t xml:space="preserve"> (press release), July 1</w:t>
      </w:r>
      <w:r w:rsidRPr="00EE6190">
        <w:rPr>
          <w:color w:val="000000" w:themeColor="text1"/>
        </w:rPr>
        <w:t>, 2020, accessed August 5, 2020, https://investor.luckincoffee.com/news-releases/news-release-detai</w:t>
      </w:r>
      <w:r w:rsidRPr="004B6AA4">
        <w:rPr>
          <w:color w:val="000000" w:themeColor="text1"/>
        </w:rPr>
        <w:t>ls/luckin-announces-substantial-completion-internal-investigation</w:t>
      </w:r>
      <w:bookmarkEnd w:id="12"/>
      <w:r w:rsidRPr="004B6AA4">
        <w:rPr>
          <w:color w:val="000000" w:themeColor="text1"/>
        </w:rPr>
        <w:t>.</w:t>
      </w:r>
    </w:p>
  </w:endnote>
  <w:endnote w:id="77">
    <w:p w14:paraId="23CA8C76" w14:textId="35CD1DBA" w:rsidR="001F3A0A" w:rsidRPr="004B6AA4"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US"/>
        </w:rPr>
        <w:t xml:space="preserve">Seamons, op. cit. </w:t>
      </w:r>
    </w:p>
  </w:endnote>
  <w:endnote w:id="78">
    <w:p w14:paraId="2CCBCC70" w14:textId="4567FFCB" w:rsidR="001F3A0A" w:rsidRPr="004B6AA4" w:rsidRDefault="001F3A0A">
      <w:pPr>
        <w:pStyle w:val="Footnote"/>
        <w:rPr>
          <w:color w:val="000000" w:themeColor="text1"/>
        </w:rPr>
      </w:pPr>
      <w:r w:rsidRPr="004B6AA4">
        <w:rPr>
          <w:rStyle w:val="EndnoteReference"/>
          <w:color w:val="000000" w:themeColor="text1"/>
        </w:rPr>
        <w:endnoteRef/>
      </w:r>
      <w:r w:rsidRPr="004B6AA4">
        <w:rPr>
          <w:color w:val="000000" w:themeColor="text1"/>
        </w:rPr>
        <w:t xml:space="preserve"> “Luckin Coffee Announces Formation,” op cit.</w:t>
      </w:r>
    </w:p>
  </w:endnote>
  <w:endnote w:id="79">
    <w:p w14:paraId="0C9A71A9" w14:textId="5D53237B" w:rsidR="001F3A0A" w:rsidRPr="004B6AA4" w:rsidRDefault="001F3A0A">
      <w:pPr>
        <w:pStyle w:val="Footnote"/>
      </w:pPr>
      <w:r w:rsidRPr="004B6AA4">
        <w:rPr>
          <w:rStyle w:val="EndnoteReference"/>
        </w:rPr>
        <w:endnoteRef/>
      </w:r>
      <w:r w:rsidRPr="004B6AA4">
        <w:t xml:space="preserve"> ¥ = CNY = Chinese yuan renminbi; ¥1 = US$0.14408 in August 2020.</w:t>
      </w:r>
    </w:p>
  </w:endnote>
  <w:endnote w:id="80">
    <w:p w14:paraId="430756BA" w14:textId="05A0DF3F"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“Luckin Announces the Substantial Completion,” </w:t>
      </w:r>
      <w:r w:rsidRPr="004B6AA4">
        <w:rPr>
          <w:rFonts w:ascii="Arial" w:hAnsi="Arial" w:cs="Arial"/>
          <w:sz w:val="17"/>
          <w:szCs w:val="17"/>
          <w:lang w:val="en-US"/>
        </w:rPr>
        <w:t xml:space="preserve">op. cit. </w:t>
      </w:r>
    </w:p>
  </w:endnote>
  <w:endnote w:id="81">
    <w:p w14:paraId="6139D03B" w14:textId="2FEF3989" w:rsidR="001F3A0A" w:rsidRPr="004B6AA4"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US"/>
        </w:rPr>
        <w:t>Jing Yang, “Behind the Fall of China’s</w:t>
      </w:r>
      <w:r w:rsidRPr="00EE6190">
        <w:rPr>
          <w:rFonts w:ascii="Arial" w:hAnsi="Arial" w:cs="Arial"/>
          <w:color w:val="000000" w:themeColor="text1"/>
          <w:sz w:val="17"/>
          <w:szCs w:val="17"/>
          <w:lang w:val="en-US"/>
        </w:rPr>
        <w:t xml:space="preserve"> Luckin Coffee: A Network of Fake Buyers and a Fictitious Employee,” </w:t>
      </w:r>
      <w:r w:rsidRPr="00EE6190">
        <w:rPr>
          <w:rFonts w:ascii="Arial" w:hAnsi="Arial" w:cs="Arial"/>
          <w:i/>
          <w:color w:val="000000" w:themeColor="text1"/>
          <w:sz w:val="17"/>
          <w:szCs w:val="17"/>
          <w:lang w:val="en-US"/>
        </w:rPr>
        <w:t>Wall Street Journal</w:t>
      </w:r>
      <w:r w:rsidRPr="004B6AA4">
        <w:rPr>
          <w:rFonts w:ascii="Arial" w:hAnsi="Arial" w:cs="Arial"/>
          <w:color w:val="000000" w:themeColor="text1"/>
          <w:sz w:val="17"/>
          <w:szCs w:val="17"/>
        </w:rPr>
        <w:t>,</w:t>
      </w:r>
      <w:r w:rsidRPr="004B6AA4">
        <w:rPr>
          <w:rFonts w:ascii="Arial" w:hAnsi="Arial" w:cs="Arial"/>
          <w:color w:val="000000" w:themeColor="text1"/>
          <w:sz w:val="17"/>
          <w:szCs w:val="17"/>
          <w:lang w:val="en-US"/>
        </w:rPr>
        <w:t xml:space="preserve"> May 24, 2020, accessed August 15, 2020, www.wsj.com/articles/behind-the-fall-of-chinas-luckin-coffee-a-network-of-fake-buyers-and-a-fictitious-employee-11590682336.</w:t>
      </w:r>
    </w:p>
  </w:endnote>
  <w:endnote w:id="82">
    <w:p w14:paraId="3791B230" w14:textId="1A687C2D" w:rsidR="001F3A0A" w:rsidRPr="00EE6190"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US"/>
        </w:rPr>
        <w:t>Joe Tenebruso, “Why Luckin Coffee Stocks Plunged Today,” The Motley Fool</w:t>
      </w:r>
      <w:r w:rsidRPr="004B6AA4">
        <w:rPr>
          <w:rFonts w:ascii="Arial" w:hAnsi="Arial" w:cs="Arial"/>
          <w:color w:val="000000" w:themeColor="text1"/>
          <w:sz w:val="17"/>
          <w:szCs w:val="17"/>
        </w:rPr>
        <w:t>,</w:t>
      </w:r>
      <w:r w:rsidRPr="004B6AA4">
        <w:rPr>
          <w:rFonts w:ascii="Arial" w:hAnsi="Arial" w:cs="Arial"/>
          <w:color w:val="000000" w:themeColor="text1"/>
          <w:sz w:val="17"/>
          <w:szCs w:val="17"/>
          <w:lang w:val="en-US"/>
        </w:rPr>
        <w:t xml:space="preserve"> </w:t>
      </w:r>
      <w:r w:rsidRPr="00EE6190">
        <w:rPr>
          <w:rFonts w:ascii="Arial" w:hAnsi="Arial" w:cs="Arial"/>
          <w:color w:val="000000" w:themeColor="text1"/>
          <w:sz w:val="17"/>
          <w:szCs w:val="17"/>
          <w:lang w:val="en-US"/>
        </w:rPr>
        <w:t>May 28, 2020, accessed June 15, 2020, www.fool.com/investing/2020/05/28/why-luckin-coffee-stock-plunged-today.aspx.</w:t>
      </w:r>
    </w:p>
  </w:endnote>
  <w:endnote w:id="83">
    <w:p w14:paraId="3CBF14A0" w14:textId="58E6E7C4" w:rsidR="001F3A0A" w:rsidRPr="00EE6190"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US"/>
        </w:rPr>
        <w:t>Jing Yang, “Luckin Coffee Chairman Culpable Probe Finds,” MarketWatch</w:t>
      </w:r>
      <w:r w:rsidRPr="004B6AA4">
        <w:rPr>
          <w:rFonts w:ascii="Arial" w:hAnsi="Arial" w:cs="Arial"/>
          <w:color w:val="000000" w:themeColor="text1"/>
          <w:sz w:val="17"/>
          <w:szCs w:val="17"/>
        </w:rPr>
        <w:t>,</w:t>
      </w:r>
      <w:r w:rsidRPr="00EE6190">
        <w:rPr>
          <w:rFonts w:ascii="Arial" w:hAnsi="Arial" w:cs="Arial"/>
          <w:color w:val="000000" w:themeColor="text1"/>
          <w:sz w:val="17"/>
          <w:szCs w:val="17"/>
          <w:lang w:val="en-US"/>
        </w:rPr>
        <w:t xml:space="preserve"> July 5, 2020, accessed August 3, 2020, www.marketwatch.com/story/luckin-coffee-chairman-culpable-probe-finds-2020-07-05.</w:t>
      </w:r>
    </w:p>
  </w:endnote>
  <w:endnote w:id="84">
    <w:p w14:paraId="664EB4B9" w14:textId="6D702D5E" w:rsidR="001F3A0A" w:rsidRPr="00EE6190"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US"/>
        </w:rPr>
        <w:t xml:space="preserve">Yang, “Behind the Fall,” </w:t>
      </w:r>
      <w:r w:rsidRPr="00EE6190">
        <w:rPr>
          <w:rFonts w:ascii="Arial" w:hAnsi="Arial" w:cs="Arial"/>
          <w:color w:val="000000" w:themeColor="text1"/>
          <w:sz w:val="17"/>
          <w:szCs w:val="17"/>
          <w:lang w:val="en-US"/>
        </w:rPr>
        <w:t>op. cit.</w:t>
      </w:r>
    </w:p>
  </w:endnote>
  <w:endnote w:id="85">
    <w:p w14:paraId="7CE65D36" w14:textId="66BC2D82"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Responds to Anonymous Report Containing </w:t>
      </w:r>
      <w:r w:rsidRPr="00EE6190">
        <w:rPr>
          <w:rFonts w:ascii="Arial" w:hAnsi="Arial" w:cs="Arial"/>
          <w:sz w:val="17"/>
          <w:szCs w:val="17"/>
          <w:lang w:val="en-US"/>
        </w:rPr>
        <w:t xml:space="preserve">Misleading and False Allegations,” </w:t>
      </w:r>
      <w:r w:rsidRPr="00C62FF9">
        <w:rPr>
          <w:rFonts w:ascii="Arial" w:hAnsi="Arial" w:cs="Arial"/>
          <w:iCs/>
          <w:color w:val="000000" w:themeColor="text1"/>
          <w:spacing w:val="-4"/>
          <w:sz w:val="17"/>
          <w:szCs w:val="17"/>
          <w:lang w:val="en-GB"/>
        </w:rPr>
        <w:t>Luckin Coffee</w:t>
      </w:r>
      <w:r w:rsidRPr="00EE6190">
        <w:rPr>
          <w:rFonts w:ascii="Arial" w:hAnsi="Arial" w:cs="Arial"/>
          <w:sz w:val="17"/>
          <w:szCs w:val="17"/>
          <w:lang w:val="en-US"/>
        </w:rPr>
        <w:t xml:space="preserve"> (press release), February 3, 2020, accessed June 5, 2020, https://investor.luckincoffee.com/news-releases/news-release-details/luckin-coffee-responds-anonymous-report-containing-misleading.</w:t>
      </w:r>
    </w:p>
  </w:endnote>
  <w:endnote w:id="86">
    <w:p w14:paraId="22B87110" w14:textId="1C714C2B" w:rsidR="001F3A0A" w:rsidRPr="00EE6190" w:rsidRDefault="001F3A0A">
      <w:pPr>
        <w:pStyle w:val="Footnote"/>
        <w:rPr>
          <w:color w:val="000000" w:themeColor="text1"/>
        </w:rPr>
      </w:pPr>
      <w:r w:rsidRPr="004B6AA4">
        <w:rPr>
          <w:rStyle w:val="EndnoteReference"/>
          <w:color w:val="000000" w:themeColor="text1"/>
        </w:rPr>
        <w:endnoteRef/>
      </w:r>
      <w:r w:rsidRPr="004B6AA4">
        <w:rPr>
          <w:color w:val="000000" w:themeColor="text1"/>
        </w:rPr>
        <w:t xml:space="preserve"> “Luckin Announces the Substantial Completion” </w:t>
      </w:r>
      <w:r w:rsidRPr="00C62FF9">
        <w:rPr>
          <w:iCs/>
          <w:color w:val="000000" w:themeColor="text1"/>
          <w:spacing w:val="-4"/>
        </w:rPr>
        <w:t>Luckin Coffee</w:t>
      </w:r>
      <w:r w:rsidRPr="004B6AA4">
        <w:rPr>
          <w:color w:val="000000" w:themeColor="text1"/>
        </w:rPr>
        <w:t xml:space="preserve"> (</w:t>
      </w:r>
      <w:r w:rsidRPr="00EE6190">
        <w:rPr>
          <w:color w:val="000000" w:themeColor="text1"/>
        </w:rPr>
        <w:t xml:space="preserve">press release), February 3, 2020, accessed August 5, 2020, https://investor.luckincoffee.com/news-releases/news-release-details/luckin-announces-substantial-completion-internal-investigation. </w:t>
      </w:r>
    </w:p>
  </w:endnote>
  <w:endnote w:id="87">
    <w:p w14:paraId="7BD081DE" w14:textId="7728A0F3"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Yang Ge and Shen Xinyue, “Change Grinds Luckin Board: Is it Real or For Founder’s Benefit?,” </w:t>
      </w:r>
      <w:r w:rsidRPr="00EE6190">
        <w:rPr>
          <w:rFonts w:ascii="Arial" w:hAnsi="Arial" w:cs="Arial"/>
          <w:i/>
          <w:sz w:val="17"/>
          <w:szCs w:val="17"/>
          <w:lang w:val="en-US"/>
        </w:rPr>
        <w:t>Asia Times</w:t>
      </w:r>
      <w:r w:rsidRPr="00EE6190">
        <w:rPr>
          <w:rFonts w:ascii="Arial" w:hAnsi="Arial" w:cs="Arial"/>
          <w:sz w:val="17"/>
          <w:szCs w:val="17"/>
        </w:rPr>
        <w:t>,</w:t>
      </w:r>
      <w:r w:rsidRPr="00EE6190">
        <w:rPr>
          <w:rFonts w:ascii="Arial" w:hAnsi="Arial" w:cs="Arial"/>
          <w:sz w:val="17"/>
          <w:szCs w:val="17"/>
          <w:lang w:val="en-US"/>
        </w:rPr>
        <w:t xml:space="preserve"> June 23, 2020, accessed July 25, 2020,</w:t>
      </w:r>
      <w:r w:rsidRPr="004B6AA4">
        <w:rPr>
          <w:rFonts w:ascii="Arial" w:hAnsi="Arial" w:cs="Arial"/>
          <w:sz w:val="17"/>
          <w:szCs w:val="17"/>
        </w:rPr>
        <w:t xml:space="preserve"> https://asia.nikkei.com/Spotlight/Caixin/Change-grinds-Luckin-board-Is-it-real-or-for-founder-s-benefit</w:t>
      </w:r>
      <w:r w:rsidRPr="004B6AA4">
        <w:rPr>
          <w:rFonts w:ascii="Arial" w:hAnsi="Arial" w:cs="Arial"/>
          <w:sz w:val="17"/>
          <w:szCs w:val="17"/>
          <w:lang w:val="en-CA"/>
        </w:rPr>
        <w:t>.</w:t>
      </w:r>
      <w:r w:rsidRPr="004B6AA4">
        <w:rPr>
          <w:rFonts w:ascii="Arial" w:hAnsi="Arial" w:cs="Arial"/>
          <w:sz w:val="17"/>
          <w:szCs w:val="17"/>
          <w:lang w:val="en-US"/>
        </w:rPr>
        <w:t xml:space="preserve"> </w:t>
      </w:r>
    </w:p>
  </w:endnote>
  <w:endnote w:id="88">
    <w:p w14:paraId="4FF28BB3" w14:textId="30B3026D" w:rsidR="001F3A0A" w:rsidRPr="004B6AA4" w:rsidRDefault="001F3A0A">
      <w:pPr>
        <w:pStyle w:val="Footnote"/>
        <w:rPr>
          <w:color w:val="000000" w:themeColor="text1"/>
        </w:rPr>
      </w:pPr>
      <w:r w:rsidRPr="004B6AA4">
        <w:rPr>
          <w:rStyle w:val="EndnoteReference"/>
          <w:color w:val="000000" w:themeColor="text1"/>
        </w:rPr>
        <w:endnoteRef/>
      </w:r>
      <w:r w:rsidRPr="004B6AA4">
        <w:rPr>
          <w:color w:val="000000" w:themeColor="text1"/>
        </w:rPr>
        <w:t xml:space="preserve"> “Luckin Coffee Announces Formation of Independent Special Committee,” op. cit. </w:t>
      </w:r>
    </w:p>
  </w:endnote>
  <w:endnote w:id="89">
    <w:p w14:paraId="2DC10234" w14:textId="35D8C60A" w:rsidR="001F3A0A" w:rsidRPr="004B6AA4"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sz w:val="17"/>
          <w:szCs w:val="17"/>
        </w:rPr>
        <w:t xml:space="preserve">”Luckin Coffee Announces Changes to Board of Directors and the Appointment of a New Chairman,”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lang w:val="en-GB"/>
        </w:rPr>
        <w:t xml:space="preserve"> (</w:t>
      </w:r>
      <w:r w:rsidRPr="004B6AA4">
        <w:rPr>
          <w:rFonts w:ascii="Arial" w:hAnsi="Arial" w:cs="Arial"/>
          <w:sz w:val="17"/>
          <w:szCs w:val="17"/>
          <w:lang w:val="en-CA"/>
        </w:rPr>
        <w:t>press release</w:t>
      </w:r>
      <w:r w:rsidRPr="00EE6190">
        <w:rPr>
          <w:rFonts w:ascii="Arial" w:hAnsi="Arial" w:cs="Arial"/>
          <w:sz w:val="17"/>
          <w:szCs w:val="17"/>
          <w:lang w:val="en-CA"/>
        </w:rPr>
        <w:t>),</w:t>
      </w:r>
      <w:r w:rsidRPr="00EE6190">
        <w:rPr>
          <w:rFonts w:ascii="Arial" w:hAnsi="Arial" w:cs="Arial"/>
          <w:sz w:val="17"/>
          <w:szCs w:val="17"/>
          <w:lang w:val="en-GB"/>
        </w:rPr>
        <w:t xml:space="preserve"> </w:t>
      </w:r>
      <w:r w:rsidRPr="00EE6190">
        <w:rPr>
          <w:rFonts w:ascii="Arial" w:hAnsi="Arial" w:cs="Arial"/>
          <w:sz w:val="17"/>
          <w:szCs w:val="17"/>
        </w:rPr>
        <w:t>July 13, 2020, accessed August 5, 2020, https://investor.luckincoffee.com/news-releases/news-release-details/luckin-coffee-announces-changes-board-directors-and-appointment</w:t>
      </w:r>
      <w:r w:rsidRPr="004B6AA4">
        <w:rPr>
          <w:rFonts w:ascii="Arial" w:hAnsi="Arial" w:cs="Arial"/>
          <w:sz w:val="17"/>
          <w:szCs w:val="17"/>
          <w:lang w:val="en-CA"/>
        </w:rPr>
        <w:t>.</w:t>
      </w:r>
      <w:r w:rsidRPr="004B6AA4">
        <w:rPr>
          <w:rFonts w:ascii="Arial" w:hAnsi="Arial" w:cs="Arial"/>
          <w:color w:val="000000" w:themeColor="text1"/>
          <w:sz w:val="17"/>
          <w:szCs w:val="17"/>
          <w:lang w:val="en-US"/>
        </w:rPr>
        <w:t xml:space="preserve"> </w:t>
      </w:r>
    </w:p>
  </w:endnote>
  <w:endnote w:id="90">
    <w:p w14:paraId="13BFBE7A" w14:textId="59CC4ED4" w:rsidR="001F3A0A" w:rsidRPr="004B6AA4" w:rsidRDefault="001F3A0A">
      <w:pPr>
        <w:pStyle w:val="Footnote"/>
      </w:pPr>
      <w:r w:rsidRPr="004B6AA4">
        <w:rPr>
          <w:rStyle w:val="EndnoteReference"/>
          <w:color w:val="000000" w:themeColor="text1"/>
        </w:rPr>
        <w:endnoteRef/>
      </w:r>
      <w:r w:rsidRPr="004B6AA4">
        <w:rPr>
          <w:color w:val="000000" w:themeColor="text1"/>
        </w:rPr>
        <w:t xml:space="preserve"> “Luckin Announces the Substantial Completion,” op. cit.</w:t>
      </w:r>
      <w:r w:rsidRPr="004B6AA4">
        <w:t xml:space="preserve"> </w:t>
      </w:r>
    </w:p>
  </w:endnote>
  <w:endnote w:id="91">
    <w:p w14:paraId="4416FE38" w14:textId="399FFC3E" w:rsidR="001F3A0A" w:rsidRPr="00EE6190" w:rsidRDefault="001F3A0A">
      <w:pPr>
        <w:pStyle w:val="Footnote"/>
      </w:pPr>
      <w:r w:rsidRPr="004B6AA4">
        <w:rPr>
          <w:rStyle w:val="EndnoteReference"/>
        </w:rPr>
        <w:endnoteRef/>
      </w:r>
      <w:r w:rsidRPr="004B6AA4">
        <w:t xml:space="preserve"> Yujing Liu, “Luckin Coffee Co-Founder Charles Lu Tightens Grip in Boardroom Fight after Accounting Scandal,” </w:t>
      </w:r>
      <w:r w:rsidRPr="004B6AA4">
        <w:rPr>
          <w:i/>
        </w:rPr>
        <w:t>South China Mo</w:t>
      </w:r>
      <w:r w:rsidRPr="00EE6190">
        <w:rPr>
          <w:i/>
        </w:rPr>
        <w:t>rning Post</w:t>
      </w:r>
      <w:r w:rsidRPr="00EE6190">
        <w:t>, July 6, 2020, accessed August 3, 2020, www.scmp.com/business/china-business/article/3091968/luckin-coffee-co-founder-charles-lu-tightens-grip-boardroom.</w:t>
      </w:r>
    </w:p>
  </w:endnote>
  <w:endnote w:id="92">
    <w:p w14:paraId="06E6FBCE" w14:textId="673B5ACC" w:rsidR="001F3A0A" w:rsidRPr="00515CCA" w:rsidRDefault="001F3A0A">
      <w:pPr>
        <w:pStyle w:val="EndnoteText"/>
        <w:jc w:val="both"/>
        <w:rPr>
          <w:rFonts w:ascii="Arial" w:hAnsi="Arial" w:cs="Arial"/>
          <w:sz w:val="17"/>
          <w:szCs w:val="17"/>
          <w:lang w:val="en-CA"/>
        </w:rPr>
      </w:pPr>
      <w:r w:rsidRPr="004B6AA4">
        <w:rPr>
          <w:rStyle w:val="EndnoteReference"/>
          <w:rFonts w:ascii="Arial" w:hAnsi="Arial" w:cs="Arial"/>
          <w:sz w:val="17"/>
          <w:szCs w:val="17"/>
        </w:rPr>
        <w:endnoteRef/>
      </w:r>
      <w:r w:rsidRPr="004B6AA4">
        <w:rPr>
          <w:rFonts w:ascii="Arial" w:hAnsi="Arial" w:cs="Arial"/>
          <w:sz w:val="17"/>
          <w:szCs w:val="17"/>
        </w:rPr>
        <w:t xml:space="preserve"> ”Luckin Coffee Announces Changes to Board of Directors,” </w:t>
      </w:r>
      <w:r w:rsidRPr="004B6AA4">
        <w:rPr>
          <w:rFonts w:ascii="Arial" w:hAnsi="Arial" w:cs="Arial"/>
          <w:sz w:val="17"/>
          <w:szCs w:val="17"/>
          <w:lang w:val="en-US"/>
        </w:rPr>
        <w:t>op cit.</w:t>
      </w:r>
    </w:p>
  </w:endnote>
  <w:endnote w:id="93">
    <w:p w14:paraId="3A0C1145" w14:textId="673A8AC0"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Ge and Xinyue, op. cit. </w:t>
      </w:r>
    </w:p>
  </w:endnote>
  <w:endnote w:id="94">
    <w:p w14:paraId="3CD98BD5" w14:textId="41BA9504" w:rsidR="001F3A0A" w:rsidRPr="004B6AA4" w:rsidRDefault="001F3A0A">
      <w:pPr>
        <w:pStyle w:val="Footnote"/>
      </w:pPr>
      <w:r w:rsidRPr="004B6AA4">
        <w:rPr>
          <w:rStyle w:val="EndnoteReference"/>
        </w:rPr>
        <w:endnoteRef/>
      </w:r>
      <w:r w:rsidRPr="004B6AA4">
        <w:t xml:space="preserve"> Chris Markoch, “Only the Names Have Changed for Luckin Coffee,” </w:t>
      </w:r>
      <w:r w:rsidRPr="00EE6190">
        <w:t>MSN Money, July 17, 2020, accessed August 5, 2020, www.msn.com/en-us/money/topstocks/only-the-names-have-changed-for-luckin-coffee/ar-BB16Rt</w:t>
      </w:r>
      <w:r w:rsidRPr="004B6AA4">
        <w:t>bP.</w:t>
      </w:r>
    </w:p>
  </w:endnote>
  <w:endnote w:id="95">
    <w:p w14:paraId="169EFCEA" w14:textId="3FFBE2A3"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Yang and Shen, op. cit. </w:t>
      </w:r>
    </w:p>
  </w:endnote>
  <w:endnote w:id="96">
    <w:p w14:paraId="69EDA1CF" w14:textId="10D27A28" w:rsidR="001F3A0A" w:rsidRPr="004B6AA4" w:rsidRDefault="001F3A0A">
      <w:pPr>
        <w:pStyle w:val="Footnote"/>
      </w:pPr>
      <w:r w:rsidRPr="004B6AA4">
        <w:rPr>
          <w:rStyle w:val="EndnoteReference"/>
        </w:rPr>
        <w:endnoteRef/>
      </w:r>
      <w:r w:rsidRPr="004B6AA4">
        <w:t xml:space="preserve"> “Luckin Coffee Appoints Liquidators, Financial Advisers to Restructure and Salvage Business </w:t>
      </w:r>
      <w:r w:rsidRPr="00EE6190">
        <w:t xml:space="preserve">after Accounting Scandal,” </w:t>
      </w:r>
      <w:r w:rsidRPr="00EE6190">
        <w:rPr>
          <w:i/>
        </w:rPr>
        <w:t>South China Morning Post</w:t>
      </w:r>
      <w:r w:rsidRPr="00DB6638">
        <w:t>, July 16, 2020, accessed August 3, 2020, www.scmp.com/business/companies/articl</w:t>
      </w:r>
      <w:r w:rsidRPr="004B6AA4">
        <w:t>e/3093364/luckin-coffee-appoints-liquidators-financial-advisers.</w:t>
      </w:r>
    </w:p>
  </w:endnote>
  <w:endnote w:id="97">
    <w:p w14:paraId="3B26EB2B" w14:textId="4A19FE7E"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Shen, Qu, Yuan, and Han, op. cit. </w:t>
      </w:r>
    </w:p>
  </w:endnote>
  <w:endnote w:id="98">
    <w:p w14:paraId="5351EAEC" w14:textId="7A551269"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Lu Zhao, “Luckin Chairman Lu Zhengyao’s Shares in UCAR Have Been Frozen,” Pandaily</w:t>
      </w:r>
      <w:r w:rsidRPr="004B6AA4">
        <w:rPr>
          <w:rFonts w:ascii="Arial" w:hAnsi="Arial" w:cs="Arial"/>
          <w:sz w:val="17"/>
          <w:szCs w:val="17"/>
        </w:rPr>
        <w:t>,</w:t>
      </w:r>
      <w:r w:rsidRPr="00EE6190">
        <w:rPr>
          <w:rFonts w:ascii="Arial" w:hAnsi="Arial" w:cs="Arial"/>
          <w:sz w:val="17"/>
          <w:szCs w:val="17"/>
          <w:lang w:val="en-US"/>
        </w:rPr>
        <w:t xml:space="preserve"> June 11, 2020, accessed August 10, 2020, https://pandaily.com/ucar-c</w:t>
      </w:r>
      <w:r w:rsidRPr="004B6AA4">
        <w:rPr>
          <w:rFonts w:ascii="Arial" w:hAnsi="Arial" w:cs="Arial"/>
          <w:sz w:val="17"/>
          <w:szCs w:val="17"/>
          <w:lang w:val="en-US"/>
        </w:rPr>
        <w:t>hairman-lu-zhengyaos-shares-in-the-company-have-been-frozen/.</w:t>
      </w:r>
    </w:p>
  </w:endnote>
  <w:endnote w:id="99">
    <w:p w14:paraId="1A89E966" w14:textId="1D556830"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Leps, “Shenzhou Youche: The S</w:t>
      </w:r>
      <w:r w:rsidRPr="00EE6190">
        <w:rPr>
          <w:rFonts w:ascii="Arial" w:hAnsi="Arial" w:cs="Arial"/>
          <w:sz w:val="17"/>
          <w:szCs w:val="17"/>
          <w:lang w:val="en-US"/>
        </w:rPr>
        <w:t>hares Held by Chairman Lu Zhengyao Have All Been Frozen by the Judiciary,” June 11, 2020, accessed August 7, 2020, www.rayradar.com/2020/06/11/shenzhou-youche-the-</w:t>
      </w:r>
      <w:r w:rsidRPr="004B6AA4">
        <w:rPr>
          <w:rFonts w:ascii="Arial" w:hAnsi="Arial" w:cs="Arial"/>
          <w:sz w:val="17"/>
          <w:szCs w:val="17"/>
          <w:lang w:val="en-US"/>
        </w:rPr>
        <w:t>shares-held-by-chairman-lu-zhengyao-have-all-been-frozen-by-the-judiciary/.</w:t>
      </w:r>
    </w:p>
  </w:endnote>
  <w:endnote w:id="100">
    <w:p w14:paraId="21C46178" w14:textId="6DC1D721"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“Luckin Coffee to Hold an Extraordinary General Meeting on September 2, 2020, Pursuant to a Shareholder Requisition to Re-Appoint Mr. Sean Shao, an Independent Dir</w:t>
      </w:r>
      <w:r w:rsidRPr="00EE6190">
        <w:rPr>
          <w:rFonts w:ascii="Arial" w:hAnsi="Arial" w:cs="Arial"/>
          <w:sz w:val="17"/>
          <w:szCs w:val="17"/>
          <w:lang w:val="en-US"/>
        </w:rPr>
        <w:t xml:space="preserve">ector, to the Board,” </w:t>
      </w:r>
      <w:r w:rsidRPr="00C62FF9">
        <w:rPr>
          <w:rFonts w:ascii="Arial" w:hAnsi="Arial" w:cs="Arial"/>
          <w:iCs/>
          <w:color w:val="000000" w:themeColor="text1"/>
          <w:spacing w:val="-4"/>
          <w:sz w:val="17"/>
          <w:szCs w:val="17"/>
          <w:lang w:val="en-GB"/>
        </w:rPr>
        <w:t>Luckin Coffee</w:t>
      </w:r>
      <w:r w:rsidRPr="00EE6190">
        <w:rPr>
          <w:rFonts w:ascii="Arial" w:hAnsi="Arial" w:cs="Arial"/>
          <w:sz w:val="17"/>
          <w:szCs w:val="17"/>
          <w:lang w:val="en-US"/>
        </w:rPr>
        <w:t xml:space="preserve"> (press release), August 3, 2020, accessed August 10, 2020, https://investor.luckincoffee.com/news-releases/news-release-details/luckin-coffee-hold-extraordinary-general-meeting-september-2.</w:t>
      </w:r>
    </w:p>
  </w:endnote>
  <w:endnote w:id="101">
    <w:p w14:paraId="7D3F8497" w14:textId="24B6063D" w:rsidR="001F3A0A" w:rsidRPr="00EE6190" w:rsidRDefault="001F3A0A">
      <w:pPr>
        <w:pStyle w:val="Footnote"/>
      </w:pPr>
      <w:r w:rsidRPr="004B6AA4">
        <w:rPr>
          <w:rStyle w:val="EndnoteReference"/>
        </w:rPr>
        <w:endnoteRef/>
      </w:r>
      <w:r w:rsidRPr="004B6AA4">
        <w:t xml:space="preserve"> “Luckin Coffee Receives Delisting Notice from Nasdaq and Plans to Request Hearing,” </w:t>
      </w:r>
      <w:r w:rsidRPr="00C62FF9">
        <w:rPr>
          <w:iCs/>
          <w:color w:val="000000" w:themeColor="text1"/>
          <w:spacing w:val="-4"/>
        </w:rPr>
        <w:t>Luckin Coffee</w:t>
      </w:r>
      <w:r w:rsidRPr="004B6AA4">
        <w:t xml:space="preserve"> (press release), May 19, 2020</w:t>
      </w:r>
      <w:r w:rsidRPr="00EE6190">
        <w:t>, accessed August 1, 2020, https://investor.luckincoffee.com/news-releases/news-release-details/luckin-coffee-receives-delisting-notice-nasdaq-and-plans-request.</w:t>
      </w:r>
    </w:p>
  </w:endnote>
  <w:endnote w:id="102">
    <w:p w14:paraId="2835D9BB" w14:textId="4196B043" w:rsidR="001F3A0A" w:rsidRPr="004B6AA4" w:rsidRDefault="001F3A0A">
      <w:pPr>
        <w:pStyle w:val="Footnote"/>
      </w:pPr>
      <w:r w:rsidRPr="004B6AA4">
        <w:rPr>
          <w:rStyle w:val="EndnoteReference"/>
        </w:rPr>
        <w:endnoteRef/>
      </w:r>
      <w:r w:rsidRPr="004B6AA4">
        <w:t xml:space="preserve"> “Luckin Coffee Receives Delisting Notice from Nasdaq for Failure to File its Annual Report,” </w:t>
      </w:r>
      <w:r w:rsidRPr="00C62FF9">
        <w:rPr>
          <w:iCs/>
          <w:color w:val="000000" w:themeColor="text1"/>
          <w:spacing w:val="-4"/>
        </w:rPr>
        <w:t>Luckin Coffee</w:t>
      </w:r>
      <w:r w:rsidRPr="004B6AA4">
        <w:t xml:space="preserve"> (press release), </w:t>
      </w:r>
      <w:r w:rsidRPr="00EE6190">
        <w:t>June 23, 2020, accessed August 1, 2020, https://investor.luckincoffee.com/news-releases/news-release-details/luckin-coffee-receives-delistin</w:t>
      </w:r>
      <w:r w:rsidRPr="004B6AA4">
        <w:t>g-notice-nasdaq-failure-file-its.</w:t>
      </w:r>
    </w:p>
  </w:endnote>
  <w:endnote w:id="103">
    <w:p w14:paraId="7AE030E5" w14:textId="6827DAFA" w:rsidR="001F3A0A" w:rsidRPr="00EE6190" w:rsidRDefault="001F3A0A">
      <w:pPr>
        <w:pStyle w:val="Footnote"/>
      </w:pPr>
      <w:r w:rsidRPr="004B6AA4">
        <w:rPr>
          <w:rStyle w:val="EndnoteReference"/>
        </w:rPr>
        <w:endnoteRef/>
      </w:r>
      <w:r w:rsidRPr="004B6AA4">
        <w:t xml:space="preserve"> “Luckin Coffee Announces Withdrawal of its Request for Nasdaq Hearing,” </w:t>
      </w:r>
      <w:r w:rsidRPr="00C62FF9">
        <w:rPr>
          <w:iCs/>
          <w:color w:val="000000" w:themeColor="text1"/>
          <w:spacing w:val="-4"/>
        </w:rPr>
        <w:t>Luckin Coffee</w:t>
      </w:r>
      <w:r w:rsidRPr="004B6AA4">
        <w:t xml:space="preserve"> (press release), June 26, 2020, accessed</w:t>
      </w:r>
      <w:r w:rsidRPr="00EE6190">
        <w:t xml:space="preserve"> August 1, 2020, https://investor.luckincoffee.com/news-releases/news-release-details/luckin-coffee-announces-withdrawal-its-request-nasdaq-hearing.</w:t>
      </w:r>
    </w:p>
  </w:endnote>
  <w:endnote w:id="104">
    <w:p w14:paraId="0EBC4768" w14:textId="034D30E8" w:rsidR="001F3A0A" w:rsidRPr="004B6AA4" w:rsidRDefault="001F3A0A">
      <w:pPr>
        <w:pStyle w:val="Footnote"/>
      </w:pPr>
      <w:r w:rsidRPr="004B6AA4">
        <w:rPr>
          <w:rStyle w:val="EndnoteReference"/>
        </w:rPr>
        <w:endnoteRef/>
      </w:r>
      <w:r w:rsidRPr="004B6AA4">
        <w:t xml:space="preserve"> Seamons, op. cit. </w:t>
      </w:r>
    </w:p>
  </w:endnote>
  <w:endnote w:id="105">
    <w:p w14:paraId="271E816F" w14:textId="542FB452" w:rsidR="001F3A0A" w:rsidRPr="004B6AA4" w:rsidRDefault="001F3A0A">
      <w:pPr>
        <w:pStyle w:val="Footnote"/>
      </w:pPr>
      <w:r w:rsidRPr="004B6AA4">
        <w:rPr>
          <w:rStyle w:val="EndnoteReference"/>
        </w:rPr>
        <w:endnoteRef/>
      </w:r>
      <w:r w:rsidRPr="004B6AA4">
        <w:t xml:space="preserve"> Shen Xinyue and Lin Jinbing, “Luckin Boss to Face Fraud Charges in China: Source,” </w:t>
      </w:r>
      <w:r w:rsidRPr="004B6AA4">
        <w:rPr>
          <w:i/>
        </w:rPr>
        <w:t>Nikkei Asian</w:t>
      </w:r>
      <w:r w:rsidRPr="00EE6190">
        <w:t>, June 8, 2020, accessed August 3, 2020, https://asia.nikkei.com/Spotlight/Caixin/L</w:t>
      </w:r>
      <w:r w:rsidRPr="004B6AA4">
        <w:t>uckin-boss-to-face-fraud-charges-in-China-source.</w:t>
      </w:r>
    </w:p>
  </w:endnote>
  <w:endnote w:id="106">
    <w:p w14:paraId="38CBAEA2" w14:textId="21967BBE" w:rsidR="001F3A0A" w:rsidRPr="00EE6190" w:rsidRDefault="001F3A0A">
      <w:pPr>
        <w:pStyle w:val="Footnote"/>
      </w:pPr>
      <w:r w:rsidRPr="004B6AA4">
        <w:rPr>
          <w:rStyle w:val="EndnoteReference"/>
        </w:rPr>
        <w:endnoteRef/>
      </w:r>
      <w:r w:rsidRPr="004B6AA4">
        <w:t xml:space="preserve"> “Chinese Regulators to Impose Administrative Penalties on Luckin Coffee, Related Firms,” </w:t>
      </w:r>
      <w:r w:rsidRPr="004B6AA4">
        <w:rPr>
          <w:i/>
        </w:rPr>
        <w:t>Global Times</w:t>
      </w:r>
      <w:r w:rsidRPr="004B6AA4">
        <w:t>, July 31, 2020, accessed</w:t>
      </w:r>
      <w:r w:rsidRPr="00EE6190">
        <w:t xml:space="preserve"> August 1, 2020, www.globaltimes.cn/content/1196311.shtml.</w:t>
      </w:r>
    </w:p>
  </w:endnote>
  <w:endnote w:id="107">
    <w:p w14:paraId="529B02A8" w14:textId="54FF8AAC"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Yang and Shen, op. cit. </w:t>
      </w:r>
    </w:p>
  </w:endnote>
  <w:endnote w:id="108">
    <w:p w14:paraId="7960567C" w14:textId="6AE061FB"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Shen, Qu, Yuan, and Han, op. cit. </w:t>
      </w:r>
    </w:p>
  </w:endnote>
  <w:endnote w:id="109">
    <w:p w14:paraId="6BCFD6D2" w14:textId="4EE24F8C"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C62FF9">
        <w:rPr>
          <w:rFonts w:ascii="Arial" w:hAnsi="Arial" w:cs="Arial"/>
          <w:iCs/>
          <w:color w:val="000000" w:themeColor="text1"/>
          <w:spacing w:val="-4"/>
          <w:sz w:val="17"/>
          <w:szCs w:val="17"/>
          <w:lang w:val="en-GB"/>
        </w:rPr>
        <w:t>Luckin Coffee</w:t>
      </w:r>
      <w:r w:rsidRPr="004B6AA4">
        <w:rPr>
          <w:rFonts w:ascii="Arial" w:hAnsi="Arial" w:cs="Arial"/>
          <w:sz w:val="17"/>
          <w:szCs w:val="17"/>
        </w:rPr>
        <w:t xml:space="preserve">, </w:t>
      </w:r>
      <w:r w:rsidRPr="004B6AA4">
        <w:rPr>
          <w:rFonts w:ascii="Arial" w:hAnsi="Arial" w:cs="Arial"/>
          <w:i/>
          <w:sz w:val="17"/>
          <w:szCs w:val="17"/>
          <w:lang w:val="en-GB"/>
        </w:rPr>
        <w:t>13,800,000 American Depositary Shares</w:t>
      </w:r>
      <w:r w:rsidRPr="004B6AA4">
        <w:rPr>
          <w:rFonts w:ascii="Arial" w:hAnsi="Arial" w:cs="Arial"/>
          <w:sz w:val="17"/>
          <w:szCs w:val="17"/>
          <w:lang w:val="en-GB"/>
        </w:rPr>
        <w:t xml:space="preserve">, </w:t>
      </w:r>
      <w:r w:rsidRPr="00EE6190">
        <w:rPr>
          <w:rFonts w:ascii="Arial" w:hAnsi="Arial" w:cs="Arial"/>
          <w:sz w:val="17"/>
          <w:szCs w:val="17"/>
          <w:lang w:val="en-US"/>
        </w:rPr>
        <w:t xml:space="preserve">op. cit. </w:t>
      </w:r>
    </w:p>
  </w:endnote>
  <w:endnote w:id="110">
    <w:p w14:paraId="57FD9257" w14:textId="1288C1A0"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“China’s Scandal-Hit Luckin Coffee Ousts Chairman,” </w:t>
      </w:r>
      <w:r w:rsidRPr="004B6AA4">
        <w:rPr>
          <w:rFonts w:ascii="Arial" w:hAnsi="Arial" w:cs="Arial"/>
          <w:i/>
          <w:sz w:val="17"/>
          <w:szCs w:val="17"/>
          <w:lang w:val="en-US"/>
        </w:rPr>
        <w:t>Asia Times</w:t>
      </w:r>
      <w:r w:rsidRPr="004B6AA4">
        <w:rPr>
          <w:rFonts w:ascii="Arial" w:hAnsi="Arial" w:cs="Arial"/>
          <w:sz w:val="17"/>
          <w:szCs w:val="17"/>
        </w:rPr>
        <w:t>,</w:t>
      </w:r>
      <w:r w:rsidRPr="004B6AA4">
        <w:rPr>
          <w:rFonts w:ascii="Arial" w:hAnsi="Arial" w:cs="Arial"/>
          <w:sz w:val="17"/>
          <w:szCs w:val="17"/>
          <w:lang w:val="en-US"/>
        </w:rPr>
        <w:t xml:space="preserve"> </w:t>
      </w:r>
      <w:r w:rsidRPr="00EE6190">
        <w:rPr>
          <w:rFonts w:ascii="Arial" w:hAnsi="Arial" w:cs="Arial"/>
          <w:sz w:val="17"/>
          <w:szCs w:val="17"/>
          <w:lang w:val="en-US"/>
        </w:rPr>
        <w:t>July 14, 2020, accessed August 3, 2020,</w:t>
      </w:r>
      <w:r w:rsidRPr="00515CCA">
        <w:rPr>
          <w:rFonts w:ascii="Arial" w:hAnsi="Arial" w:cs="Arial"/>
          <w:sz w:val="17"/>
          <w:szCs w:val="17"/>
        </w:rPr>
        <w:t xml:space="preserve"> </w:t>
      </w:r>
      <w:r w:rsidRPr="004B6AA4">
        <w:rPr>
          <w:rFonts w:ascii="Arial" w:hAnsi="Arial" w:cs="Arial"/>
          <w:sz w:val="17"/>
          <w:szCs w:val="17"/>
          <w:lang w:val="en-US"/>
        </w:rPr>
        <w:t xml:space="preserve">https://asiatimes.com/2020/07/chinas-scandal-hit-luckin-coffee-ousts-chairman/. </w:t>
      </w:r>
    </w:p>
  </w:endnote>
  <w:endnote w:id="111">
    <w:p w14:paraId="66B3BC93" w14:textId="2CF5F842"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“Luckin Coffee Responds to Anonymous Report,” op. cit. </w:t>
      </w:r>
    </w:p>
  </w:endnote>
  <w:endnote w:id="112">
    <w:p w14:paraId="36F477A9" w14:textId="4737964A" w:rsidR="001F3A0A" w:rsidRPr="004B6AA4" w:rsidRDefault="001F3A0A" w:rsidP="00DB6638">
      <w:pPr>
        <w:pStyle w:val="EndnoteText"/>
        <w:jc w:val="both"/>
        <w:rPr>
          <w:rFonts w:ascii="Arial" w:hAnsi="Arial" w:cs="Arial"/>
          <w:sz w:val="17"/>
          <w:szCs w:val="17"/>
          <w:lang w:val="en-CA"/>
        </w:rPr>
      </w:pPr>
      <w:r w:rsidRPr="004B6AA4">
        <w:rPr>
          <w:rStyle w:val="EndnoteReference"/>
          <w:rFonts w:ascii="Arial" w:hAnsi="Arial" w:cs="Arial"/>
          <w:sz w:val="17"/>
          <w:szCs w:val="17"/>
        </w:rPr>
        <w:endnoteRef/>
      </w:r>
      <w:r w:rsidRPr="004B6AA4">
        <w:rPr>
          <w:rFonts w:ascii="Arial" w:hAnsi="Arial" w:cs="Arial"/>
          <w:sz w:val="17"/>
          <w:szCs w:val="17"/>
        </w:rPr>
        <w:t xml:space="preserve"> </w:t>
      </w:r>
      <w:r>
        <w:rPr>
          <w:rFonts w:ascii="Arial" w:hAnsi="Arial" w:cs="Arial"/>
          <w:sz w:val="17"/>
          <w:szCs w:val="17"/>
          <w:lang w:val="en-US"/>
        </w:rPr>
        <w:t>“</w:t>
      </w:r>
      <w:r w:rsidRPr="004B6AA4">
        <w:rPr>
          <w:rFonts w:ascii="Arial" w:hAnsi="Arial" w:cs="Arial"/>
          <w:sz w:val="17"/>
          <w:szCs w:val="17"/>
          <w:lang w:val="en-US"/>
        </w:rPr>
        <w:t>Luckin Coffee Inc. (LKNCY),” op. cit.</w:t>
      </w:r>
    </w:p>
  </w:endnote>
  <w:endnote w:id="113">
    <w:p w14:paraId="15058711" w14:textId="2A70ED76" w:rsidR="001F3A0A" w:rsidRPr="004B6AA4" w:rsidRDefault="001F3A0A" w:rsidP="00DB6638">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CA"/>
        </w:rPr>
        <w:t>Fang</w:t>
      </w:r>
      <w:r w:rsidRPr="004B6AA4">
        <w:rPr>
          <w:rFonts w:ascii="Arial" w:hAnsi="Arial" w:cs="Arial"/>
          <w:color w:val="000000" w:themeColor="text1"/>
          <w:sz w:val="17"/>
          <w:szCs w:val="17"/>
          <w:lang w:val="en-US"/>
        </w:rPr>
        <w:t xml:space="preserve">, “Luckin Coffee Fires Top Executives,” op. cit. </w:t>
      </w:r>
    </w:p>
  </w:endnote>
  <w:endnote w:id="114">
    <w:p w14:paraId="3A35D4DA" w14:textId="48765886" w:rsidR="001F3A0A" w:rsidRPr="00EE6190" w:rsidRDefault="001F3A0A" w:rsidP="00DB6638">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Brad Moon, “Trust Is an Issue but Luckin Stock Could Provide a Risky Opportunity,” </w:t>
      </w:r>
      <w:r w:rsidRPr="004B6AA4">
        <w:rPr>
          <w:rFonts w:ascii="Arial" w:hAnsi="Arial" w:cs="Arial"/>
          <w:iCs/>
          <w:sz w:val="17"/>
          <w:szCs w:val="17"/>
          <w:lang w:val="en-US"/>
        </w:rPr>
        <w:t>Nasdaq,</w:t>
      </w:r>
      <w:r w:rsidRPr="004B6AA4">
        <w:rPr>
          <w:rFonts w:ascii="Arial" w:hAnsi="Arial" w:cs="Arial"/>
          <w:sz w:val="17"/>
          <w:szCs w:val="17"/>
          <w:lang w:val="en-US"/>
        </w:rPr>
        <w:t xml:space="preserve"> July 29, 2020, accessed August 3, 2020, www.nasdaq.com/articles/trust-is-an-issue-but-luckin-stock-could-provid</w:t>
      </w:r>
      <w:r w:rsidRPr="00EE6190">
        <w:rPr>
          <w:rFonts w:ascii="Arial" w:hAnsi="Arial" w:cs="Arial"/>
          <w:sz w:val="17"/>
          <w:szCs w:val="17"/>
          <w:lang w:val="en-US"/>
        </w:rPr>
        <w:t>e-a-risky-opportunity-2020-07-29.</w:t>
      </w:r>
    </w:p>
  </w:endnote>
  <w:endnote w:id="115">
    <w:p w14:paraId="6A6F2D71" w14:textId="4ED323C9" w:rsidR="001F3A0A" w:rsidRPr="00515CCA" w:rsidRDefault="001F3A0A" w:rsidP="00DB6638">
      <w:pPr>
        <w:pStyle w:val="EndnoteText"/>
        <w:jc w:val="both"/>
        <w:rPr>
          <w:rFonts w:ascii="Arial" w:hAnsi="Arial" w:cs="Arial"/>
          <w:spacing w:val="-2"/>
          <w:sz w:val="17"/>
          <w:szCs w:val="17"/>
          <w:lang w:val="en-US"/>
        </w:rPr>
      </w:pPr>
      <w:r w:rsidRPr="00515CCA">
        <w:rPr>
          <w:rStyle w:val="EndnoteReference"/>
          <w:rFonts w:ascii="Arial" w:hAnsi="Arial" w:cs="Arial"/>
          <w:spacing w:val="-2"/>
          <w:sz w:val="17"/>
          <w:szCs w:val="17"/>
        </w:rPr>
        <w:endnoteRef/>
      </w:r>
      <w:r w:rsidRPr="00515CCA">
        <w:rPr>
          <w:rFonts w:ascii="Arial" w:hAnsi="Arial" w:cs="Arial"/>
          <w:spacing w:val="-2"/>
          <w:sz w:val="17"/>
          <w:szCs w:val="17"/>
        </w:rPr>
        <w:t xml:space="preserve"> </w:t>
      </w:r>
      <w:r w:rsidRPr="00515CCA">
        <w:rPr>
          <w:rFonts w:ascii="Arial" w:hAnsi="Arial" w:cs="Arial"/>
          <w:spacing w:val="-2"/>
          <w:sz w:val="17"/>
          <w:szCs w:val="17"/>
          <w:lang w:val="en-US"/>
        </w:rPr>
        <w:t>Faizan Farooque, “Time for Luckin Coffee to Pick Up the Pieces and Move On,” MSN Money</w:t>
      </w:r>
      <w:r w:rsidRPr="00515CCA">
        <w:rPr>
          <w:rFonts w:ascii="Arial" w:hAnsi="Arial" w:cs="Arial"/>
          <w:spacing w:val="-2"/>
          <w:sz w:val="17"/>
          <w:szCs w:val="17"/>
        </w:rPr>
        <w:t>,</w:t>
      </w:r>
      <w:r w:rsidRPr="00515CCA">
        <w:rPr>
          <w:rFonts w:ascii="Arial" w:hAnsi="Arial" w:cs="Arial"/>
          <w:spacing w:val="-2"/>
          <w:sz w:val="17"/>
          <w:szCs w:val="17"/>
          <w:lang w:val="en-US"/>
        </w:rPr>
        <w:t xml:space="preserve"> July 9, 2020, accessed August 3, 2020, www.msn.com/en-us/finance/topstocks/time-for-luckin-coffee-to-pick-up-the-pieces-and-move-on/ar-BB16xxC6.</w:t>
      </w:r>
    </w:p>
  </w:endnote>
  <w:endnote w:id="116">
    <w:p w14:paraId="62921BED" w14:textId="2B016834"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Caplinger, op. cit. </w:t>
      </w:r>
    </w:p>
  </w:endnote>
  <w:endnote w:id="117">
    <w:p w14:paraId="7406FF4D" w14:textId="7B0E3974"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“Point72 Asset Management, L.P. Discloses 1.20% Ownership in LK / Luckin Coffee Inc.,” </w:t>
      </w:r>
      <w:r w:rsidRPr="00EE6190">
        <w:rPr>
          <w:rFonts w:ascii="Arial" w:hAnsi="Arial" w:cs="Arial"/>
          <w:iCs/>
          <w:sz w:val="17"/>
          <w:szCs w:val="17"/>
          <w:lang w:val="en-US"/>
        </w:rPr>
        <w:t>Fintel</w:t>
      </w:r>
      <w:r w:rsidRPr="00EE6190">
        <w:rPr>
          <w:rFonts w:ascii="Arial" w:hAnsi="Arial" w:cs="Arial"/>
          <w:sz w:val="17"/>
          <w:szCs w:val="17"/>
          <w:lang w:val="en-US"/>
        </w:rPr>
        <w:t>, February 14, 2020, accessed August 15, 2020, https://fintel.io/so/us/lk/point72-asset-management.</w:t>
      </w:r>
    </w:p>
  </w:endnote>
  <w:endnote w:id="118">
    <w:p w14:paraId="6FC3F52E" w14:textId="036B5702" w:rsidR="001F3A0A" w:rsidRPr="004B6AA4"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Fang, “Luckin Coffee Fires Top Executives,” op. cit. </w:t>
      </w:r>
    </w:p>
  </w:endnote>
  <w:endnote w:id="119">
    <w:p w14:paraId="4E1407AC" w14:textId="77777777" w:rsidR="001F3A0A" w:rsidRPr="004B6AA4"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US"/>
        </w:rPr>
        <w:t>Ibid.</w:t>
      </w:r>
    </w:p>
  </w:endnote>
  <w:endnote w:id="120">
    <w:p w14:paraId="0215D7F7" w14:textId="001CEB35" w:rsidR="001F3A0A" w:rsidRPr="004B6AA4" w:rsidRDefault="001F3A0A">
      <w:pPr>
        <w:pStyle w:val="EndnoteText"/>
        <w:jc w:val="both"/>
        <w:rPr>
          <w:rFonts w:ascii="Arial" w:hAnsi="Arial" w:cs="Arial"/>
          <w:sz w:val="17"/>
          <w:szCs w:val="17"/>
          <w:lang w:val="en-CA"/>
        </w:rPr>
      </w:pPr>
      <w:r w:rsidRPr="004B6AA4">
        <w:rPr>
          <w:rStyle w:val="EndnoteReference"/>
          <w:rFonts w:ascii="Arial" w:hAnsi="Arial" w:cs="Arial"/>
          <w:sz w:val="17"/>
          <w:szCs w:val="17"/>
        </w:rPr>
        <w:endnoteRef/>
      </w:r>
      <w:hyperlink w:history="1"/>
      <w:r w:rsidRPr="004B6AA4">
        <w:rPr>
          <w:rFonts w:ascii="Arial" w:hAnsi="Arial" w:cs="Arial"/>
          <w:sz w:val="17"/>
          <w:szCs w:val="17"/>
          <w:lang w:val="en-US"/>
        </w:rPr>
        <w:t xml:space="preserve"> “BlackRock Inc. Closes Position in LK / Luckin Coffee Inc.</w:t>
      </w:r>
      <w:r w:rsidRPr="00EE6190">
        <w:rPr>
          <w:rFonts w:ascii="Arial" w:hAnsi="Arial" w:cs="Arial"/>
          <w:sz w:val="17"/>
          <w:szCs w:val="17"/>
          <w:lang w:val="en-US"/>
        </w:rPr>
        <w:t>,” Fintel, August 14, 2020, accessed December 19, 2020, https://fintel.io/so/us/lk/blackrock</w:t>
      </w:r>
      <w:r w:rsidRPr="004B6AA4">
        <w:rPr>
          <w:rFonts w:ascii="Arial" w:hAnsi="Arial" w:cs="Arial"/>
          <w:sz w:val="17"/>
          <w:szCs w:val="17"/>
          <w:lang w:val="en-CA"/>
        </w:rPr>
        <w:t>.</w:t>
      </w:r>
    </w:p>
  </w:endnote>
  <w:endnote w:id="121">
    <w:p w14:paraId="409487AB" w14:textId="2853B18F" w:rsidR="001F3A0A" w:rsidRPr="00EE6190"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Alex Fang, “China’s Luckin Coffee Faked $310m in Sales, in In-House Probe Finds,” </w:t>
      </w:r>
      <w:r w:rsidRPr="004B6AA4">
        <w:rPr>
          <w:rFonts w:ascii="Arial" w:hAnsi="Arial" w:cs="Arial"/>
          <w:i/>
          <w:sz w:val="17"/>
          <w:szCs w:val="17"/>
          <w:lang w:val="en-US"/>
        </w:rPr>
        <w:t>Nikkei Asian</w:t>
      </w:r>
      <w:r w:rsidRPr="004B6AA4">
        <w:rPr>
          <w:rFonts w:ascii="Arial" w:hAnsi="Arial" w:cs="Arial"/>
          <w:sz w:val="17"/>
          <w:szCs w:val="17"/>
          <w:lang w:val="en-US"/>
        </w:rPr>
        <w:t>, April 3, 2020, accessed June 5, 2020, https://a</w:t>
      </w:r>
      <w:r w:rsidRPr="00EE6190">
        <w:rPr>
          <w:rFonts w:ascii="Arial" w:hAnsi="Arial" w:cs="Arial"/>
          <w:sz w:val="17"/>
          <w:szCs w:val="17"/>
          <w:lang w:val="en-US"/>
        </w:rPr>
        <w:t>sia.nikkei.com/Business/Markets/China-s-Luckin-Coffee-faked-310m-in-sales-in-house-probe-finds.</w:t>
      </w:r>
    </w:p>
  </w:endnote>
  <w:endnote w:id="122">
    <w:p w14:paraId="71EA670C" w14:textId="054A3339"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Li Qiaoyi and Zhou Zheng</w:t>
      </w:r>
      <w:r w:rsidRPr="004B6AA4">
        <w:rPr>
          <w:rFonts w:ascii="Arial" w:hAnsi="Arial" w:cs="Arial"/>
          <w:sz w:val="17"/>
          <w:szCs w:val="17"/>
          <w:lang w:val="en-US"/>
        </w:rPr>
        <w:t>, “Luckin Investors P</w:t>
      </w:r>
      <w:r w:rsidRPr="00EE6190">
        <w:rPr>
          <w:rFonts w:ascii="Arial" w:hAnsi="Arial" w:cs="Arial"/>
          <w:sz w:val="17"/>
          <w:szCs w:val="17"/>
          <w:lang w:val="en-US"/>
        </w:rPr>
        <w:t xml:space="preserve">repare Class Action Response Against Upstart Coffee Chain,” </w:t>
      </w:r>
      <w:r w:rsidRPr="00EE6190">
        <w:rPr>
          <w:rFonts w:ascii="Arial" w:hAnsi="Arial" w:cs="Arial"/>
          <w:i/>
          <w:sz w:val="17"/>
          <w:szCs w:val="17"/>
          <w:lang w:val="en-US"/>
        </w:rPr>
        <w:t>Global Times</w:t>
      </w:r>
      <w:r w:rsidRPr="00EE6190">
        <w:rPr>
          <w:rFonts w:ascii="Arial" w:hAnsi="Arial" w:cs="Arial"/>
          <w:sz w:val="17"/>
          <w:szCs w:val="17"/>
        </w:rPr>
        <w:t>,</w:t>
      </w:r>
      <w:r w:rsidRPr="00EE6190">
        <w:rPr>
          <w:rFonts w:ascii="Arial" w:hAnsi="Arial" w:cs="Arial"/>
          <w:sz w:val="17"/>
          <w:szCs w:val="17"/>
          <w:lang w:val="en-US"/>
        </w:rPr>
        <w:t xml:space="preserve"> April 3, 2020, accessed August 7, 2020, www.globaltime</w:t>
      </w:r>
      <w:r w:rsidRPr="004B6AA4">
        <w:rPr>
          <w:rFonts w:ascii="Arial" w:hAnsi="Arial" w:cs="Arial"/>
          <w:sz w:val="17"/>
          <w:szCs w:val="17"/>
          <w:lang w:val="en-US"/>
        </w:rPr>
        <w:t>s.cn/content/1184601.shtml.</w:t>
      </w:r>
    </w:p>
  </w:endnote>
  <w:endnote w:id="123">
    <w:p w14:paraId="0AC854E7" w14:textId="77777777"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Ibid.</w:t>
      </w:r>
    </w:p>
  </w:endnote>
  <w:endnote w:id="124">
    <w:p w14:paraId="02096F17" w14:textId="6B67CC0D" w:rsidR="001F3A0A" w:rsidRPr="00515CCA" w:rsidRDefault="001F3A0A">
      <w:pPr>
        <w:pStyle w:val="Footnote"/>
        <w:rPr>
          <w:rStyle w:val="EndnoteReference"/>
          <w:vertAlign w:val="baseline"/>
          <w:lang w:val="en-US"/>
        </w:rPr>
      </w:pPr>
      <w:r w:rsidRPr="004B6AA4">
        <w:rPr>
          <w:rStyle w:val="EndnoteReference"/>
        </w:rPr>
        <w:endnoteRef/>
      </w:r>
      <w:r w:rsidRPr="004B6AA4">
        <w:rPr>
          <w:rStyle w:val="EndnoteReference"/>
          <w:vertAlign w:val="baseline"/>
        </w:rPr>
        <w:t xml:space="preserve"> Georgina Lee, “Luckin Coffee </w:t>
      </w:r>
      <w:r w:rsidRPr="004B6AA4">
        <w:t>I</w:t>
      </w:r>
      <w:r w:rsidRPr="004B6AA4">
        <w:rPr>
          <w:rStyle w:val="EndnoteReference"/>
          <w:vertAlign w:val="baseline"/>
        </w:rPr>
        <w:t>nvestors Rue the I</w:t>
      </w:r>
      <w:r w:rsidRPr="00EE6190">
        <w:rPr>
          <w:rStyle w:val="EndnoteReference"/>
          <w:vertAlign w:val="baseline"/>
        </w:rPr>
        <w:t>mplosion of US$400 Million Bond Bet</w:t>
      </w:r>
      <w:r w:rsidRPr="00EE6190">
        <w:t xml:space="preserve"> after Accounting Scandal</w:t>
      </w:r>
      <w:r w:rsidRPr="00EE6190">
        <w:rPr>
          <w:rStyle w:val="EndnoteReference"/>
          <w:vertAlign w:val="baseline"/>
        </w:rPr>
        <w:t xml:space="preserve">,” </w:t>
      </w:r>
      <w:r w:rsidRPr="00EE6190">
        <w:rPr>
          <w:rStyle w:val="EndnoteReference"/>
          <w:i/>
          <w:vertAlign w:val="baseline"/>
        </w:rPr>
        <w:t>South China Morning Post</w:t>
      </w:r>
      <w:r w:rsidRPr="004B6AA4">
        <w:rPr>
          <w:rStyle w:val="EndnoteReference"/>
          <w:vertAlign w:val="baseline"/>
        </w:rPr>
        <w:t>, April 24, 2020, accessed August 23, 2020, www.scmp.com/business/companies/article/3081304/luckin-coffee-investors-rue-implosion-us400-million-bond-bet.</w:t>
      </w:r>
    </w:p>
  </w:endnote>
  <w:endnote w:id="125">
    <w:p w14:paraId="0CFF778C" w14:textId="0E1BC2FB" w:rsidR="001F3A0A" w:rsidRPr="00515CCA" w:rsidRDefault="001F3A0A">
      <w:pPr>
        <w:pStyle w:val="EndnoteText"/>
        <w:jc w:val="both"/>
        <w:rPr>
          <w:rFonts w:ascii="Arial" w:hAnsi="Arial" w:cs="Arial"/>
          <w:sz w:val="17"/>
          <w:szCs w:val="17"/>
          <w:lang w:val="en-CA"/>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Todd Shriber, “Luckin Stock Likely Is a Lost Cause, At Least For Now,” Investor Place, July 20, 2020, accessed August 6, 2020, </w:t>
      </w:r>
      <w:r w:rsidRPr="004B6AA4">
        <w:rPr>
          <w:rFonts w:ascii="Arial" w:eastAsiaTheme="minorHAnsi" w:hAnsi="Arial" w:cs="Arial"/>
          <w:sz w:val="17"/>
          <w:szCs w:val="17"/>
        </w:rPr>
        <w:t>https://investorplace.com/2020/07/luckin-stock-a-lost-cause-lkncy/</w:t>
      </w:r>
      <w:r w:rsidRPr="004B6AA4">
        <w:rPr>
          <w:rFonts w:ascii="Arial" w:eastAsiaTheme="minorHAnsi" w:hAnsi="Arial" w:cs="Arial"/>
          <w:sz w:val="17"/>
          <w:szCs w:val="17"/>
          <w:lang w:val="en-CA"/>
        </w:rPr>
        <w:t>.</w:t>
      </w:r>
    </w:p>
  </w:endnote>
  <w:endnote w:id="126">
    <w:p w14:paraId="261292CE" w14:textId="38B3FE71" w:rsidR="00990C25" w:rsidRPr="00990C25" w:rsidRDefault="00990C25" w:rsidP="00990C25">
      <w:pPr>
        <w:pStyle w:val="Footnote"/>
      </w:pPr>
      <w:r>
        <w:rPr>
          <w:rStyle w:val="EndnoteReference"/>
        </w:rPr>
        <w:endnoteRef/>
      </w:r>
      <w:r>
        <w:t xml:space="preserve"> </w:t>
      </w:r>
      <w:r w:rsidRPr="004B6AA4">
        <w:t xml:space="preserve">Fang Bing and Lin Yang, “China’s </w:t>
      </w:r>
      <w:r w:rsidRPr="004B6AA4">
        <w:t xml:space="preserve">Luckin Coffee Scandal Renews US Call for Stricter Oversight,” </w:t>
      </w:r>
      <w:r w:rsidRPr="004B6AA4">
        <w:rPr>
          <w:i/>
        </w:rPr>
        <w:t>VOA News</w:t>
      </w:r>
      <w:r w:rsidRPr="004B6AA4">
        <w:t>,</w:t>
      </w:r>
      <w:r w:rsidRPr="00EE6190">
        <w:t xml:space="preserve"> May 20, 2020, accessed August 7, 2020, www.voanews.com/east-asia-pacific/voa-news-china/chinas-luckin-coffee-scandal-renews-us-call-stric</w:t>
      </w:r>
      <w:r w:rsidRPr="004B6AA4">
        <w:t>ter-oversight</w:t>
      </w:r>
      <w:r>
        <w:t>.</w:t>
      </w:r>
    </w:p>
  </w:endnote>
  <w:endnote w:id="127">
    <w:p w14:paraId="4459EB05" w14:textId="3DC0C081" w:rsidR="001F3A0A" w:rsidRPr="00EE6190" w:rsidRDefault="001F3A0A">
      <w:pPr>
        <w:pStyle w:val="Footnote"/>
      </w:pPr>
      <w:r w:rsidRPr="004B6AA4">
        <w:rPr>
          <w:rStyle w:val="EndnoteReference"/>
        </w:rPr>
        <w:endnoteRef/>
      </w:r>
      <w:r w:rsidRPr="004B6AA4">
        <w:t xml:space="preserve"> Shang-Jin Wei, “Opinion: America’s Threat to Delist Chinese Companies Could Make Everybody Better Off,” Market Watch, May 27, 2020, accessed July 30, 2020, www.marketwatch.com/story/americas-threat-to-delist-chinese-companies</w:t>
      </w:r>
      <w:r w:rsidRPr="00EE6190">
        <w:t>-could-make-everybody-better-off-2020-05-26.</w:t>
      </w:r>
    </w:p>
  </w:endnote>
  <w:endnote w:id="128">
    <w:p w14:paraId="4135AD20" w14:textId="54B69219" w:rsidR="001F3A0A" w:rsidRPr="00EE6190" w:rsidRDefault="001F3A0A" w:rsidP="00DB6638">
      <w:pPr>
        <w:pStyle w:val="Footnote"/>
      </w:pPr>
      <w:r w:rsidRPr="004B6AA4">
        <w:rPr>
          <w:rStyle w:val="EndnoteReference"/>
        </w:rPr>
        <w:endnoteRef/>
      </w:r>
      <w:r w:rsidRPr="004B6AA4">
        <w:t xml:space="preserve"> George Calhoun, “What Happens if Chinese Firms are Kicked Out of the U.S. Stock Market</w:t>
      </w:r>
      <w:r w:rsidRPr="00EE6190">
        <w:t xml:space="preserve">,” </w:t>
      </w:r>
      <w:r w:rsidRPr="00EE6190">
        <w:rPr>
          <w:i/>
        </w:rPr>
        <w:t>Forbes</w:t>
      </w:r>
      <w:r w:rsidRPr="00EE6190">
        <w:t>, August 11, 2020, accessed August 12, 2020, www.forbes.com/sites/georgecalhoun/2020/08/11/what-happens-if-chinese-firms-are-kicked-out-of-the-us-stock-market/#f845152287e3.</w:t>
      </w:r>
    </w:p>
  </w:endnote>
  <w:endnote w:id="129">
    <w:p w14:paraId="5CC9A3BE" w14:textId="48921682" w:rsidR="001F3A0A" w:rsidRPr="004B6AA4" w:rsidRDefault="001F3A0A" w:rsidP="00DB6638">
      <w:pPr>
        <w:pStyle w:val="Footnote"/>
      </w:pPr>
      <w:r w:rsidRPr="004B6AA4">
        <w:rPr>
          <w:rStyle w:val="EndnoteReference"/>
        </w:rPr>
        <w:endnoteRef/>
      </w:r>
      <w:r w:rsidRPr="004B6AA4">
        <w:t xml:space="preserve"> Yen Nee Lee, “Think Tank </w:t>
      </w:r>
      <w:r w:rsidRPr="00EE6190">
        <w:t>Explains Why It’s ‘Pointless’ to Delist Chinese Companies from U.S. Stock Markets,” CNBC, July 3, 2020, accessed August 7, 2020, www.cnbc.com/2020/07/03/pointless-to-delist-chinese</w:t>
      </w:r>
      <w:r w:rsidRPr="004B6AA4">
        <w:t>-companies-from-us-stock-markets-piie-says.html.</w:t>
      </w:r>
    </w:p>
  </w:endnote>
  <w:endnote w:id="130">
    <w:p w14:paraId="06E86865" w14:textId="16C25603" w:rsidR="001F3A0A" w:rsidRPr="004B6AA4" w:rsidRDefault="001F3A0A">
      <w:pPr>
        <w:pStyle w:val="Footnote"/>
      </w:pPr>
      <w:r w:rsidRPr="004B6AA4">
        <w:rPr>
          <w:rStyle w:val="EndnoteReference"/>
        </w:rPr>
        <w:endnoteRef/>
      </w:r>
      <w:r w:rsidRPr="004B6AA4">
        <w:t xml:space="preserve"> Calhoun, op. cit.</w:t>
      </w:r>
    </w:p>
  </w:endnote>
  <w:endnote w:id="131">
    <w:p w14:paraId="2C9FC1E7" w14:textId="2F4F822C" w:rsidR="001F3A0A" w:rsidRPr="00EE6190" w:rsidRDefault="001F3A0A">
      <w:pPr>
        <w:pStyle w:val="Footnote"/>
      </w:pPr>
      <w:r w:rsidRPr="004B6AA4">
        <w:rPr>
          <w:rStyle w:val="EndnoteReference"/>
        </w:rPr>
        <w:endnoteRef/>
      </w:r>
      <w:r w:rsidRPr="004B6AA4">
        <w:t xml:space="preserve"> Narayanan Somasundaram, Nikki Sun, and Grace Li, “Chinese Startups Soar in Shenzhen Market Debut under New IPO Rules,</w:t>
      </w:r>
      <w:r w:rsidRPr="00EE6190">
        <w:t xml:space="preserve">” </w:t>
      </w:r>
      <w:r w:rsidRPr="00EE6190">
        <w:rPr>
          <w:i/>
        </w:rPr>
        <w:t xml:space="preserve">Nikkei Asian, </w:t>
      </w:r>
      <w:r w:rsidRPr="00EE6190">
        <w:t>August 24, 2020, accessed August 25, 2020, https://asia.nikkei.com/Business/Markets/Chinese-startups-soar-in-Shenzhen-market-debut-under-new-IPO-rules?utm_campaign=RN.</w:t>
      </w:r>
    </w:p>
  </w:endnote>
  <w:endnote w:id="132">
    <w:p w14:paraId="5CB7CB7F" w14:textId="215190D1" w:rsidR="001F3A0A" w:rsidRPr="004B6AA4" w:rsidRDefault="001F3A0A">
      <w:pPr>
        <w:pStyle w:val="Footnote"/>
      </w:pPr>
      <w:r w:rsidRPr="004B6AA4">
        <w:rPr>
          <w:rStyle w:val="EndnoteReference"/>
        </w:rPr>
        <w:endnoteRef/>
      </w:r>
      <w:r w:rsidRPr="004B6AA4">
        <w:t xml:space="preserve"> Wei, op. cit. </w:t>
      </w:r>
    </w:p>
  </w:endnote>
  <w:endnote w:id="133">
    <w:p w14:paraId="192C6448" w14:textId="40C7778B" w:rsidR="001F3A0A" w:rsidRPr="004B6AA4" w:rsidRDefault="001F3A0A">
      <w:pPr>
        <w:pStyle w:val="Footnote"/>
      </w:pPr>
      <w:r w:rsidRPr="004B6AA4">
        <w:rPr>
          <w:rStyle w:val="EndnoteReference"/>
        </w:rPr>
        <w:endnoteRef/>
      </w:r>
      <w:r w:rsidRPr="004B6AA4">
        <w:t xml:space="preserve"> “President Trump Considers De-Listing Chinese Companies from US Exchanges,” Blackwell Global, accessed </w:t>
      </w:r>
      <w:r w:rsidRPr="00EE6190">
        <w:t>August 12, 2020, h</w:t>
      </w:r>
      <w:r w:rsidRPr="004B6AA4">
        <w:t>ttps://blackwellglobal.com/president-trump-considers-de-listing-chinese-companies-from-us-exchanges/.</w:t>
      </w:r>
    </w:p>
  </w:endnote>
  <w:endnote w:id="134">
    <w:p w14:paraId="78E3BE74" w14:textId="00EEB901" w:rsidR="001F3A0A" w:rsidRPr="004B6AA4" w:rsidRDefault="001F3A0A">
      <w:pPr>
        <w:pStyle w:val="Footnote"/>
      </w:pPr>
      <w:r w:rsidRPr="004B6AA4">
        <w:rPr>
          <w:rStyle w:val="EndnoteReference"/>
        </w:rPr>
        <w:endnoteRef/>
      </w:r>
      <w:r w:rsidRPr="004B6AA4">
        <w:t xml:space="preserve"> Narayanan Somasundaram, “Chinese Companies Rush for US IPOs Ahead of New Restrictions,” </w:t>
      </w:r>
      <w:r w:rsidRPr="004B6AA4">
        <w:rPr>
          <w:i/>
        </w:rPr>
        <w:t>Nikkei Asian</w:t>
      </w:r>
      <w:r w:rsidRPr="00EE6190">
        <w:t>, August 10, 2020, accessed August 12, 2020, https:/</w:t>
      </w:r>
      <w:r w:rsidRPr="004B6AA4">
        <w:t>/asia.nikkei.com/Business/Markets/Chinese-companies-rush-for-US-IPOs-ahead-of-new-restrictions.</w:t>
      </w:r>
    </w:p>
  </w:endnote>
  <w:endnote w:id="135">
    <w:p w14:paraId="09EA8BE9" w14:textId="63DFB6E3" w:rsidR="001F3A0A" w:rsidRPr="00EE6190" w:rsidRDefault="001F3A0A">
      <w:pPr>
        <w:pStyle w:val="Footnote"/>
      </w:pPr>
      <w:r w:rsidRPr="004B6AA4">
        <w:rPr>
          <w:rStyle w:val="EndnoteReference"/>
        </w:rPr>
        <w:endnoteRef/>
      </w:r>
      <w:r w:rsidRPr="004B6AA4">
        <w:t xml:space="preserve"> “Our Mission: Empower Enterprises with Cloud Services -- Corporate Profile,” Kingsoft Cloud</w:t>
      </w:r>
      <w:r w:rsidRPr="00EE6190">
        <w:t>, accessed August 12, 2020, https://ir.ksyun.com/.</w:t>
      </w:r>
    </w:p>
  </w:endnote>
  <w:endnote w:id="136">
    <w:p w14:paraId="39DC05E3" w14:textId="4BB08293" w:rsidR="001F3A0A" w:rsidRPr="00EE6190" w:rsidRDefault="001F3A0A">
      <w:pPr>
        <w:pStyle w:val="Footnote"/>
      </w:pPr>
      <w:r w:rsidRPr="004B6AA4">
        <w:rPr>
          <w:rStyle w:val="EndnoteReference"/>
        </w:rPr>
        <w:endnoteRef/>
      </w:r>
      <w:r w:rsidRPr="004B6AA4">
        <w:t xml:space="preserve"> Alex Fang, “No Bitterness: Chinese Company Raises 500M in US Despite Luckin</w:t>
      </w:r>
      <w:r w:rsidRPr="00EE6190">
        <w:t xml:space="preserve">,” </w:t>
      </w:r>
      <w:r w:rsidRPr="00EE6190">
        <w:rPr>
          <w:i/>
        </w:rPr>
        <w:t>Nikkei Asian</w:t>
      </w:r>
      <w:r w:rsidRPr="00EE6190">
        <w:t>, May 9, 2020, accessed June 5, 2020, https://asia.nikkei.com/Business/Finance/No-bitterness-Chinese-company-raises-500m-in-US-despite-Luckin.</w:t>
      </w:r>
    </w:p>
  </w:endnote>
  <w:endnote w:id="137">
    <w:p w14:paraId="06BE19A3" w14:textId="24AFFC9C" w:rsidR="001F3A0A" w:rsidRPr="004B6AA4" w:rsidRDefault="001F3A0A">
      <w:pPr>
        <w:pStyle w:val="Footnote"/>
      </w:pPr>
      <w:r w:rsidRPr="004B6AA4">
        <w:rPr>
          <w:rStyle w:val="EndnoteReference"/>
        </w:rPr>
        <w:endnoteRef/>
      </w:r>
      <w:r w:rsidRPr="004B6AA4">
        <w:t xml:space="preserve"> “Luckin Coffee Announces the Appointment of ‘Light Touch,’” op. cit.</w:t>
      </w:r>
    </w:p>
  </w:endnote>
  <w:endnote w:id="138">
    <w:p w14:paraId="18797D1D" w14:textId="54722484" w:rsidR="001F3A0A" w:rsidRPr="004B6AA4" w:rsidRDefault="001F3A0A">
      <w:pPr>
        <w:pStyle w:val="Footnote"/>
      </w:pPr>
      <w:r w:rsidRPr="004B6AA4">
        <w:rPr>
          <w:rStyle w:val="EndnoteReference"/>
        </w:rPr>
        <w:endnoteRef/>
      </w:r>
      <w:r w:rsidRPr="004B6AA4">
        <w:t xml:space="preserve"> Ibid.</w:t>
      </w:r>
    </w:p>
  </w:endnote>
  <w:endnote w:id="139">
    <w:p w14:paraId="3F0C7AF7" w14:textId="34847B78"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Cheryl Arcibal, “Luckin Coffee Asked to </w:t>
      </w:r>
      <w:r w:rsidRPr="00EE6190">
        <w:rPr>
          <w:rFonts w:ascii="Arial" w:hAnsi="Arial" w:cs="Arial"/>
          <w:sz w:val="17"/>
          <w:szCs w:val="17"/>
          <w:lang w:val="en-US"/>
        </w:rPr>
        <w:t xml:space="preserve">Reverse Boardroom Changes after Co-Founder’s Ouster, as China Prepares to Wield Big Stick for Accounting Fraud,” </w:t>
      </w:r>
      <w:r w:rsidRPr="004B6AA4">
        <w:rPr>
          <w:rFonts w:ascii="Arial" w:hAnsi="Arial" w:cs="Arial"/>
          <w:i/>
          <w:iCs/>
          <w:sz w:val="17"/>
          <w:szCs w:val="17"/>
          <w:lang w:val="en-US"/>
        </w:rPr>
        <w:t>South China Morning Post</w:t>
      </w:r>
      <w:r w:rsidRPr="004B6AA4">
        <w:rPr>
          <w:rFonts w:ascii="Arial" w:hAnsi="Arial" w:cs="Arial"/>
          <w:sz w:val="17"/>
          <w:szCs w:val="17"/>
        </w:rPr>
        <w:t>,</w:t>
      </w:r>
      <w:r w:rsidRPr="004B6AA4">
        <w:rPr>
          <w:rFonts w:ascii="Arial" w:hAnsi="Arial" w:cs="Arial"/>
          <w:sz w:val="17"/>
          <w:szCs w:val="17"/>
          <w:lang w:val="en-US"/>
        </w:rPr>
        <w:t xml:space="preserve"> August 4, 2020, accessed August 10, 2020, www.scmp.com/news/article/3095887/luckin-coffee-asked-reverse-boardroom-changes-after-co-founders-ouster-china.</w:t>
      </w:r>
    </w:p>
  </w:endnote>
  <w:endnote w:id="140">
    <w:p w14:paraId="12F86B24" w14:textId="220AC3D9"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Michael Norris, “From Jail to Java: How Luckin’s CMO is Hacking China’s Coffee Market,” </w:t>
      </w:r>
      <w:r w:rsidRPr="004B6AA4">
        <w:rPr>
          <w:rFonts w:ascii="Arial" w:hAnsi="Arial" w:cs="Arial"/>
          <w:iCs/>
          <w:sz w:val="17"/>
          <w:szCs w:val="17"/>
          <w:lang w:val="en-US"/>
        </w:rPr>
        <w:t>TechNode</w:t>
      </w:r>
      <w:r w:rsidRPr="00EE6190">
        <w:rPr>
          <w:rFonts w:ascii="Arial" w:hAnsi="Arial" w:cs="Arial"/>
          <w:sz w:val="17"/>
          <w:szCs w:val="17"/>
        </w:rPr>
        <w:t>,</w:t>
      </w:r>
      <w:r w:rsidRPr="00EE6190">
        <w:rPr>
          <w:rFonts w:ascii="Arial" w:hAnsi="Arial" w:cs="Arial"/>
          <w:sz w:val="17"/>
          <w:szCs w:val="17"/>
          <w:lang w:val="en-US"/>
        </w:rPr>
        <w:t xml:space="preserve"> March 25, 2019, accessed August 10,</w:t>
      </w:r>
      <w:r w:rsidRPr="004B6AA4">
        <w:rPr>
          <w:rFonts w:ascii="Arial" w:hAnsi="Arial" w:cs="Arial"/>
          <w:sz w:val="17"/>
          <w:szCs w:val="17"/>
          <w:lang w:val="en-US"/>
        </w:rPr>
        <w:t xml:space="preserve"> 2020, https://technode.com/2019/03/25/from-jail-to-java-how-luckins-cmo-is-hacking-chinas-coffee-market/.</w:t>
      </w:r>
    </w:p>
  </w:endnote>
  <w:endnote w:id="141">
    <w:p w14:paraId="536935A6" w14:textId="10BDC4C6" w:rsidR="001F3A0A" w:rsidRPr="004B6AA4" w:rsidRDefault="001F3A0A">
      <w:pPr>
        <w:pStyle w:val="EndnoteText"/>
        <w:jc w:val="both"/>
        <w:rPr>
          <w:rFonts w:ascii="Arial" w:hAnsi="Arial" w:cs="Arial"/>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Thomas Yeung, “Luckin Stock Holders Will Have to Settle for $1,” Investor Place</w:t>
      </w:r>
      <w:r w:rsidRPr="00EE6190">
        <w:rPr>
          <w:rFonts w:ascii="Arial" w:hAnsi="Arial" w:cs="Arial"/>
          <w:sz w:val="17"/>
          <w:szCs w:val="17"/>
          <w:lang w:val="en-US"/>
        </w:rPr>
        <w:t>, August 6, 2020 accessed August 12, 2020, https://investorplace.com</w:t>
      </w:r>
      <w:r w:rsidRPr="004B6AA4">
        <w:rPr>
          <w:rFonts w:ascii="Arial" w:hAnsi="Arial" w:cs="Arial"/>
          <w:sz w:val="17"/>
          <w:szCs w:val="17"/>
          <w:lang w:val="en-US"/>
        </w:rPr>
        <w:t>/2020/08/luckin-stock-lkncy-going-to-one-dollar/.</w:t>
      </w:r>
    </w:p>
  </w:endnote>
  <w:endnote w:id="142">
    <w:p w14:paraId="62FE8243" w14:textId="2964C146" w:rsidR="001F3A0A" w:rsidRPr="004B6AA4" w:rsidRDefault="001F3A0A">
      <w:pPr>
        <w:pStyle w:val="EndnoteText"/>
        <w:jc w:val="both"/>
        <w:rPr>
          <w:rFonts w:ascii="Arial" w:hAnsi="Arial" w:cs="Arial"/>
          <w:color w:val="000000" w:themeColor="text1"/>
          <w:sz w:val="17"/>
          <w:szCs w:val="17"/>
          <w:lang w:val="en-US"/>
        </w:rPr>
      </w:pPr>
      <w:r w:rsidRPr="004B6AA4">
        <w:rPr>
          <w:rStyle w:val="EndnoteReference"/>
          <w:rFonts w:ascii="Arial" w:hAnsi="Arial" w:cs="Arial"/>
          <w:sz w:val="17"/>
          <w:szCs w:val="17"/>
        </w:rPr>
        <w:endnoteRef/>
      </w:r>
      <w:r w:rsidRPr="004B6AA4">
        <w:rPr>
          <w:rFonts w:ascii="Arial" w:hAnsi="Arial" w:cs="Arial"/>
          <w:sz w:val="17"/>
          <w:szCs w:val="17"/>
        </w:rPr>
        <w:t xml:space="preserve"> </w:t>
      </w:r>
      <w:r w:rsidRPr="004B6AA4">
        <w:rPr>
          <w:rFonts w:ascii="Arial" w:hAnsi="Arial" w:cs="Arial"/>
          <w:sz w:val="17"/>
          <w:szCs w:val="17"/>
          <w:lang w:val="en-US"/>
        </w:rPr>
        <w:t xml:space="preserve">Nikki Sun and CK Tan, “Chinese Customers and Regulators Push Own Claims on Luckin Coffee,” </w:t>
      </w:r>
      <w:r w:rsidRPr="004B6AA4">
        <w:rPr>
          <w:rFonts w:ascii="Arial" w:hAnsi="Arial" w:cs="Arial"/>
          <w:i/>
          <w:sz w:val="17"/>
          <w:szCs w:val="17"/>
          <w:lang w:val="en-US"/>
        </w:rPr>
        <w:t>Nikkei Asian</w:t>
      </w:r>
      <w:r w:rsidRPr="004B6AA4">
        <w:rPr>
          <w:rFonts w:ascii="Arial" w:hAnsi="Arial" w:cs="Arial"/>
          <w:sz w:val="17"/>
          <w:szCs w:val="17"/>
          <w:lang w:val="en-US"/>
        </w:rPr>
        <w:t xml:space="preserve">, April 3, </w:t>
      </w:r>
      <w:r w:rsidRPr="00EE6190">
        <w:rPr>
          <w:rFonts w:ascii="Arial" w:hAnsi="Arial" w:cs="Arial"/>
          <w:sz w:val="17"/>
          <w:szCs w:val="17"/>
          <w:lang w:val="en-US"/>
        </w:rPr>
        <w:t>2020, accessed July 11, 2020 https://asia.nikkei.com/Business/Food-Beverage/Chinese-customers-and-regulators-push-own-claims-on-Luckin-Coffee.</w:t>
      </w:r>
      <w:r w:rsidRPr="004B6AA4">
        <w:rPr>
          <w:rFonts w:ascii="Arial" w:hAnsi="Arial" w:cs="Arial"/>
          <w:color w:val="000000" w:themeColor="text1"/>
          <w:sz w:val="17"/>
          <w:szCs w:val="17"/>
          <w:lang w:val="en-US"/>
        </w:rPr>
        <w:t xml:space="preserve"> </w:t>
      </w:r>
    </w:p>
  </w:endnote>
  <w:endnote w:id="143">
    <w:p w14:paraId="6C788C40" w14:textId="774A047D" w:rsidR="001F3A0A" w:rsidRPr="005803E2" w:rsidRDefault="001F3A0A">
      <w:pPr>
        <w:pStyle w:val="EndnoteText"/>
        <w:jc w:val="both"/>
        <w:rPr>
          <w:rFonts w:ascii="Arial" w:hAnsi="Arial" w:cs="Arial"/>
          <w:color w:val="000000" w:themeColor="text1"/>
          <w:sz w:val="17"/>
          <w:szCs w:val="17"/>
          <w:lang w:val="en-CA"/>
        </w:rPr>
      </w:pPr>
      <w:r w:rsidRPr="004B6AA4">
        <w:rPr>
          <w:rStyle w:val="EndnoteReference"/>
          <w:rFonts w:ascii="Arial" w:hAnsi="Arial" w:cs="Arial"/>
          <w:color w:val="000000" w:themeColor="text1"/>
          <w:sz w:val="17"/>
          <w:szCs w:val="17"/>
        </w:rPr>
        <w:endnoteRef/>
      </w:r>
      <w:r w:rsidRPr="004B6AA4">
        <w:rPr>
          <w:rFonts w:ascii="Arial" w:hAnsi="Arial" w:cs="Arial"/>
          <w:color w:val="000000" w:themeColor="text1"/>
          <w:sz w:val="17"/>
          <w:szCs w:val="17"/>
        </w:rPr>
        <w:t xml:space="preserve"> </w:t>
      </w:r>
      <w:r w:rsidRPr="004B6AA4">
        <w:rPr>
          <w:rFonts w:ascii="Arial" w:hAnsi="Arial" w:cs="Arial"/>
          <w:color w:val="000000" w:themeColor="text1"/>
          <w:sz w:val="17"/>
          <w:szCs w:val="17"/>
          <w:lang w:val="en-US"/>
        </w:rPr>
        <w:t>Connie Lin, “Embattled Luckin Coffee Sees Wild Surge as Customers Scramble t</w:t>
      </w:r>
      <w:r w:rsidRPr="00EE6190">
        <w:rPr>
          <w:rFonts w:ascii="Arial" w:hAnsi="Arial" w:cs="Arial"/>
          <w:color w:val="000000" w:themeColor="text1"/>
          <w:sz w:val="17"/>
          <w:szCs w:val="17"/>
          <w:lang w:val="en-US"/>
        </w:rPr>
        <w:t>o Cash In on Free Drink Vouchers,”</w:t>
      </w:r>
      <w:r w:rsidRPr="00EE6190">
        <w:rPr>
          <w:rFonts w:ascii="Arial" w:hAnsi="Arial" w:cs="Arial"/>
          <w:i/>
          <w:iCs/>
          <w:color w:val="000000" w:themeColor="text1"/>
          <w:sz w:val="17"/>
          <w:szCs w:val="17"/>
          <w:lang w:val="en-US"/>
        </w:rPr>
        <w:t xml:space="preserve"> </w:t>
      </w:r>
      <w:r w:rsidRPr="00EE6190">
        <w:rPr>
          <w:rFonts w:ascii="Arial" w:hAnsi="Arial" w:cs="Arial"/>
          <w:iCs/>
          <w:color w:val="000000" w:themeColor="text1"/>
          <w:sz w:val="17"/>
          <w:szCs w:val="17"/>
          <w:lang w:val="en-US"/>
        </w:rPr>
        <w:t>Fast Company</w:t>
      </w:r>
      <w:r w:rsidRPr="004B6AA4">
        <w:rPr>
          <w:rFonts w:ascii="Arial" w:hAnsi="Arial" w:cs="Arial"/>
          <w:color w:val="000000" w:themeColor="text1"/>
          <w:sz w:val="17"/>
          <w:szCs w:val="17"/>
          <w:lang w:val="en-US"/>
        </w:rPr>
        <w:t xml:space="preserve">, April 7, 2020, accessed August 5, 2020, </w:t>
      </w:r>
      <w:r w:rsidRPr="004B6AA4">
        <w:rPr>
          <w:rStyle w:val="Hyperlink"/>
          <w:rFonts w:ascii="Arial" w:hAnsi="Arial" w:cs="Arial"/>
          <w:color w:val="000000" w:themeColor="text1"/>
          <w:sz w:val="17"/>
          <w:szCs w:val="17"/>
          <w:u w:val="none"/>
        </w:rPr>
        <w:t>www.fastcompany.com/90487535/embattled-luckin-coffee-sees-wild-surge-as-customers-scramble-to-cash-in-on-free-drink-vouchers</w:t>
      </w:r>
      <w:r w:rsidRPr="004B6AA4">
        <w:rPr>
          <w:rStyle w:val="Hyperlink"/>
          <w:rFonts w:ascii="Arial" w:hAnsi="Arial" w:cs="Arial"/>
          <w:color w:val="000000" w:themeColor="text1"/>
          <w:sz w:val="17"/>
          <w:szCs w:val="17"/>
          <w:u w:val="none"/>
          <w:lang w:val="en-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6F800" w14:textId="77777777" w:rsidR="001F3A0A" w:rsidRDefault="001F3A0A" w:rsidP="00D75295">
      <w:r>
        <w:separator/>
      </w:r>
    </w:p>
  </w:footnote>
  <w:footnote w:type="continuationSeparator" w:id="0">
    <w:p w14:paraId="4AF63CB8" w14:textId="77777777" w:rsidR="001F3A0A" w:rsidRDefault="001F3A0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FA522FC" w:rsidR="001F3A0A" w:rsidRPr="00C92CC4" w:rsidRDefault="001F3A0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16</w:t>
    </w:r>
    <w:r>
      <w:rPr>
        <w:rFonts w:ascii="Arial" w:hAnsi="Arial"/>
        <w:b/>
      </w:rPr>
      <w:fldChar w:fldCharType="end"/>
    </w:r>
    <w:r>
      <w:rPr>
        <w:rFonts w:ascii="Arial" w:hAnsi="Arial"/>
        <w:b/>
      </w:rPr>
      <w:tab/>
      <w:t>9B21N001</w:t>
    </w:r>
  </w:p>
  <w:p w14:paraId="2B53C0A0" w14:textId="77777777" w:rsidR="001F3A0A" w:rsidRDefault="001F3A0A" w:rsidP="00D13667">
    <w:pPr>
      <w:pStyle w:val="Header"/>
      <w:tabs>
        <w:tab w:val="clear" w:pos="4680"/>
      </w:tabs>
      <w:rPr>
        <w:sz w:val="18"/>
        <w:szCs w:val="18"/>
      </w:rPr>
    </w:pPr>
  </w:p>
  <w:p w14:paraId="47119730" w14:textId="77777777" w:rsidR="001F3A0A" w:rsidRPr="00C92CC4" w:rsidRDefault="001F3A0A"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2AFC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A868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E29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CE35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CE41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4EB4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60D0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2B7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A89C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BC75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5D0D8C"/>
    <w:multiLevelType w:val="hybridMultilevel"/>
    <w:tmpl w:val="33B411B6"/>
    <w:lvl w:ilvl="0" w:tplc="E0108B44">
      <w:start w:val="1"/>
      <w:numFmt w:val="decimal"/>
      <w:lvlText w:val="%1."/>
      <w:lvlJc w:val="left"/>
      <w:pPr>
        <w:ind w:left="630" w:hanging="360"/>
      </w:pPr>
      <w:rPr>
        <w:rFonts w:asciiTheme="minorHAnsi" w:hAnsiTheme="minorHAnsi"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B065022"/>
    <w:multiLevelType w:val="hybridMultilevel"/>
    <w:tmpl w:val="F41C8F54"/>
    <w:lvl w:ilvl="0" w:tplc="A8D0BF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206930"/>
    <w:multiLevelType w:val="hybridMultilevel"/>
    <w:tmpl w:val="7BAE3BE4"/>
    <w:lvl w:ilvl="0" w:tplc="A36E353A">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A16CA"/>
    <w:multiLevelType w:val="hybridMultilevel"/>
    <w:tmpl w:val="0764C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4"/>
  </w:num>
  <w:num w:numId="4">
    <w:abstractNumId w:val="23"/>
  </w:num>
  <w:num w:numId="5">
    <w:abstractNumId w:val="15"/>
  </w:num>
  <w:num w:numId="6">
    <w:abstractNumId w:val="21"/>
  </w:num>
  <w:num w:numId="7">
    <w:abstractNumId w:val="10"/>
  </w:num>
  <w:num w:numId="8">
    <w:abstractNumId w:val="25"/>
  </w:num>
  <w:num w:numId="9">
    <w:abstractNumId w:val="22"/>
  </w:num>
  <w:num w:numId="10">
    <w:abstractNumId w:val="13"/>
  </w:num>
  <w:num w:numId="11">
    <w:abstractNumId w:val="19"/>
  </w:num>
  <w:num w:numId="12">
    <w:abstractNumId w:val="20"/>
  </w:num>
  <w:num w:numId="13">
    <w:abstractNumId w:val="11"/>
  </w:num>
  <w:num w:numId="14">
    <w:abstractNumId w:val="12"/>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4096" w:nlCheck="1" w:checkStyle="1"/>
  <w:activeWritingStyle w:appName="MSWord" w:lang="en-US" w:vendorID="64" w:dllVersion="4096" w:nlCheck="1" w:checkStyle="0"/>
  <w:activeWritingStyle w:appName="MSWord" w:lang="en-PH"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CA" w:vendorID="64" w:dllVersion="6" w:nlCheck="1" w:checkStyle="1"/>
  <w:activeWritingStyle w:appName="MSWord" w:lang="en-CA" w:vendorID="64" w:dllVersion="4096" w:nlCheck="1" w:checkStyle="0"/>
  <w:activeWritingStyle w:appName="MSWord" w:lang="en-PH" w:vendorID="64" w:dllVersion="6" w:nlCheck="1" w:checkStyle="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A36"/>
    <w:rsid w:val="00002BCB"/>
    <w:rsid w:val="000036BD"/>
    <w:rsid w:val="0001124B"/>
    <w:rsid w:val="00011F7C"/>
    <w:rsid w:val="00013360"/>
    <w:rsid w:val="00014131"/>
    <w:rsid w:val="00015D7E"/>
    <w:rsid w:val="00016759"/>
    <w:rsid w:val="00016E41"/>
    <w:rsid w:val="0002101F"/>
    <w:rsid w:val="000216CE"/>
    <w:rsid w:val="000222D9"/>
    <w:rsid w:val="0002322A"/>
    <w:rsid w:val="00024ED4"/>
    <w:rsid w:val="00025DC7"/>
    <w:rsid w:val="0002784C"/>
    <w:rsid w:val="00031AA6"/>
    <w:rsid w:val="00032DB2"/>
    <w:rsid w:val="000356C0"/>
    <w:rsid w:val="00035F09"/>
    <w:rsid w:val="00036F97"/>
    <w:rsid w:val="000405CA"/>
    <w:rsid w:val="00041D18"/>
    <w:rsid w:val="00044ECC"/>
    <w:rsid w:val="00045C3B"/>
    <w:rsid w:val="00047CDE"/>
    <w:rsid w:val="0005067F"/>
    <w:rsid w:val="000531D3"/>
    <w:rsid w:val="0005414A"/>
    <w:rsid w:val="00054CA9"/>
    <w:rsid w:val="0005646B"/>
    <w:rsid w:val="00060312"/>
    <w:rsid w:val="000603C6"/>
    <w:rsid w:val="00060AC1"/>
    <w:rsid w:val="000615D1"/>
    <w:rsid w:val="000630C5"/>
    <w:rsid w:val="000648FC"/>
    <w:rsid w:val="00064F43"/>
    <w:rsid w:val="00066A86"/>
    <w:rsid w:val="00067480"/>
    <w:rsid w:val="00071C10"/>
    <w:rsid w:val="00072814"/>
    <w:rsid w:val="00073FA7"/>
    <w:rsid w:val="000746DB"/>
    <w:rsid w:val="00075F9A"/>
    <w:rsid w:val="00076783"/>
    <w:rsid w:val="00076DBF"/>
    <w:rsid w:val="0008102D"/>
    <w:rsid w:val="00082B95"/>
    <w:rsid w:val="000839DC"/>
    <w:rsid w:val="0008405F"/>
    <w:rsid w:val="00084DCC"/>
    <w:rsid w:val="00086524"/>
    <w:rsid w:val="00086B26"/>
    <w:rsid w:val="0008744B"/>
    <w:rsid w:val="0009158F"/>
    <w:rsid w:val="00092EDA"/>
    <w:rsid w:val="00093054"/>
    <w:rsid w:val="00094C0E"/>
    <w:rsid w:val="00096893"/>
    <w:rsid w:val="00097ACF"/>
    <w:rsid w:val="000A146D"/>
    <w:rsid w:val="000A16AC"/>
    <w:rsid w:val="000A6102"/>
    <w:rsid w:val="000A6781"/>
    <w:rsid w:val="000A743E"/>
    <w:rsid w:val="000B2A94"/>
    <w:rsid w:val="000B3BDF"/>
    <w:rsid w:val="000B4E27"/>
    <w:rsid w:val="000B55E5"/>
    <w:rsid w:val="000B5EDA"/>
    <w:rsid w:val="000B5EF3"/>
    <w:rsid w:val="000B6BFC"/>
    <w:rsid w:val="000B6E4D"/>
    <w:rsid w:val="000B746B"/>
    <w:rsid w:val="000B7A2A"/>
    <w:rsid w:val="000B7D04"/>
    <w:rsid w:val="000C056A"/>
    <w:rsid w:val="000C069A"/>
    <w:rsid w:val="000C0CDE"/>
    <w:rsid w:val="000C1004"/>
    <w:rsid w:val="000C2404"/>
    <w:rsid w:val="000D1B36"/>
    <w:rsid w:val="000D27D8"/>
    <w:rsid w:val="000D2A2F"/>
    <w:rsid w:val="000D3B71"/>
    <w:rsid w:val="000D4012"/>
    <w:rsid w:val="000D5636"/>
    <w:rsid w:val="000D6206"/>
    <w:rsid w:val="000D7091"/>
    <w:rsid w:val="000D77D6"/>
    <w:rsid w:val="000D7C0D"/>
    <w:rsid w:val="000E293F"/>
    <w:rsid w:val="000E78F6"/>
    <w:rsid w:val="000F00C2"/>
    <w:rsid w:val="000F0C22"/>
    <w:rsid w:val="000F1477"/>
    <w:rsid w:val="000F1FAE"/>
    <w:rsid w:val="000F47EA"/>
    <w:rsid w:val="000F6B09"/>
    <w:rsid w:val="000F6FDC"/>
    <w:rsid w:val="00100A8F"/>
    <w:rsid w:val="001026AE"/>
    <w:rsid w:val="00103465"/>
    <w:rsid w:val="00104567"/>
    <w:rsid w:val="00104916"/>
    <w:rsid w:val="00104AA7"/>
    <w:rsid w:val="00110097"/>
    <w:rsid w:val="00110818"/>
    <w:rsid w:val="00112E18"/>
    <w:rsid w:val="00120DFA"/>
    <w:rsid w:val="0012299C"/>
    <w:rsid w:val="00126EB9"/>
    <w:rsid w:val="0012732D"/>
    <w:rsid w:val="00130BC6"/>
    <w:rsid w:val="00130E63"/>
    <w:rsid w:val="00131F38"/>
    <w:rsid w:val="001321B0"/>
    <w:rsid w:val="00133567"/>
    <w:rsid w:val="0013432E"/>
    <w:rsid w:val="00135502"/>
    <w:rsid w:val="001402C9"/>
    <w:rsid w:val="0014061C"/>
    <w:rsid w:val="00142E1E"/>
    <w:rsid w:val="00143F25"/>
    <w:rsid w:val="001442A7"/>
    <w:rsid w:val="001454EC"/>
    <w:rsid w:val="0014555A"/>
    <w:rsid w:val="00151435"/>
    <w:rsid w:val="00152682"/>
    <w:rsid w:val="00153421"/>
    <w:rsid w:val="00154FC9"/>
    <w:rsid w:val="00155E6E"/>
    <w:rsid w:val="00156F8F"/>
    <w:rsid w:val="001615C7"/>
    <w:rsid w:val="00161707"/>
    <w:rsid w:val="0016197A"/>
    <w:rsid w:val="00163522"/>
    <w:rsid w:val="00163804"/>
    <w:rsid w:val="00165877"/>
    <w:rsid w:val="00166344"/>
    <w:rsid w:val="00166A3C"/>
    <w:rsid w:val="00166F02"/>
    <w:rsid w:val="0017066F"/>
    <w:rsid w:val="001725FB"/>
    <w:rsid w:val="001728FA"/>
    <w:rsid w:val="001767F7"/>
    <w:rsid w:val="001769C5"/>
    <w:rsid w:val="00176F75"/>
    <w:rsid w:val="00176FB7"/>
    <w:rsid w:val="001804BF"/>
    <w:rsid w:val="00182CE8"/>
    <w:rsid w:val="00187DCE"/>
    <w:rsid w:val="00187F02"/>
    <w:rsid w:val="0019009F"/>
    <w:rsid w:val="001901C0"/>
    <w:rsid w:val="001912B1"/>
    <w:rsid w:val="0019241A"/>
    <w:rsid w:val="00192A18"/>
    <w:rsid w:val="00192C5E"/>
    <w:rsid w:val="00194809"/>
    <w:rsid w:val="00197207"/>
    <w:rsid w:val="001A0858"/>
    <w:rsid w:val="001A22D1"/>
    <w:rsid w:val="001A41A7"/>
    <w:rsid w:val="001A507D"/>
    <w:rsid w:val="001A61AB"/>
    <w:rsid w:val="001A6D12"/>
    <w:rsid w:val="001A752D"/>
    <w:rsid w:val="001A757E"/>
    <w:rsid w:val="001B0F01"/>
    <w:rsid w:val="001B4E64"/>
    <w:rsid w:val="001B5032"/>
    <w:rsid w:val="001B6D7B"/>
    <w:rsid w:val="001B763D"/>
    <w:rsid w:val="001C08C3"/>
    <w:rsid w:val="001C1BC4"/>
    <w:rsid w:val="001C3692"/>
    <w:rsid w:val="001C65D6"/>
    <w:rsid w:val="001C70DE"/>
    <w:rsid w:val="001C7777"/>
    <w:rsid w:val="001D195D"/>
    <w:rsid w:val="001D2EC2"/>
    <w:rsid w:val="001D344B"/>
    <w:rsid w:val="001E0CE3"/>
    <w:rsid w:val="001E364F"/>
    <w:rsid w:val="001E650C"/>
    <w:rsid w:val="001E696B"/>
    <w:rsid w:val="001E7369"/>
    <w:rsid w:val="001E774C"/>
    <w:rsid w:val="001F1D6F"/>
    <w:rsid w:val="001F2881"/>
    <w:rsid w:val="001F2E56"/>
    <w:rsid w:val="001F315D"/>
    <w:rsid w:val="001F3A0A"/>
    <w:rsid w:val="001F4066"/>
    <w:rsid w:val="001F4222"/>
    <w:rsid w:val="001F5EEB"/>
    <w:rsid w:val="001F7B7A"/>
    <w:rsid w:val="0020188F"/>
    <w:rsid w:val="00201B13"/>
    <w:rsid w:val="00203AA1"/>
    <w:rsid w:val="00204541"/>
    <w:rsid w:val="002105FE"/>
    <w:rsid w:val="00212126"/>
    <w:rsid w:val="00212FFB"/>
    <w:rsid w:val="00213E98"/>
    <w:rsid w:val="00215BF1"/>
    <w:rsid w:val="00217532"/>
    <w:rsid w:val="00217793"/>
    <w:rsid w:val="002219EF"/>
    <w:rsid w:val="002231E8"/>
    <w:rsid w:val="00224221"/>
    <w:rsid w:val="00224D27"/>
    <w:rsid w:val="00224D3C"/>
    <w:rsid w:val="0022724F"/>
    <w:rsid w:val="00230150"/>
    <w:rsid w:val="002305FA"/>
    <w:rsid w:val="0023081A"/>
    <w:rsid w:val="00231C2E"/>
    <w:rsid w:val="00231F86"/>
    <w:rsid w:val="00233111"/>
    <w:rsid w:val="0023419E"/>
    <w:rsid w:val="00235AD8"/>
    <w:rsid w:val="0024064F"/>
    <w:rsid w:val="0024066D"/>
    <w:rsid w:val="00240D7E"/>
    <w:rsid w:val="0024467D"/>
    <w:rsid w:val="00245F29"/>
    <w:rsid w:val="00250889"/>
    <w:rsid w:val="00251157"/>
    <w:rsid w:val="00251548"/>
    <w:rsid w:val="00251B23"/>
    <w:rsid w:val="0025768C"/>
    <w:rsid w:val="0026058E"/>
    <w:rsid w:val="002633C9"/>
    <w:rsid w:val="00265BB9"/>
    <w:rsid w:val="00265FA8"/>
    <w:rsid w:val="00267695"/>
    <w:rsid w:val="0027023D"/>
    <w:rsid w:val="00270DB2"/>
    <w:rsid w:val="0027333D"/>
    <w:rsid w:val="002734A6"/>
    <w:rsid w:val="0027404A"/>
    <w:rsid w:val="00274692"/>
    <w:rsid w:val="00275BCA"/>
    <w:rsid w:val="00275E61"/>
    <w:rsid w:val="002766B7"/>
    <w:rsid w:val="002777E6"/>
    <w:rsid w:val="002807FD"/>
    <w:rsid w:val="002835FC"/>
    <w:rsid w:val="00283815"/>
    <w:rsid w:val="002840A0"/>
    <w:rsid w:val="002867C5"/>
    <w:rsid w:val="00293133"/>
    <w:rsid w:val="00295672"/>
    <w:rsid w:val="00297DCE"/>
    <w:rsid w:val="002A2A24"/>
    <w:rsid w:val="002A3FAA"/>
    <w:rsid w:val="002A47F2"/>
    <w:rsid w:val="002A4E14"/>
    <w:rsid w:val="002A5718"/>
    <w:rsid w:val="002B2CDF"/>
    <w:rsid w:val="002B3B50"/>
    <w:rsid w:val="002B40FF"/>
    <w:rsid w:val="002B6A7B"/>
    <w:rsid w:val="002B6A7E"/>
    <w:rsid w:val="002C320F"/>
    <w:rsid w:val="002C3363"/>
    <w:rsid w:val="002C3BD3"/>
    <w:rsid w:val="002C4E29"/>
    <w:rsid w:val="002C500C"/>
    <w:rsid w:val="002C539A"/>
    <w:rsid w:val="002C5857"/>
    <w:rsid w:val="002D0B4A"/>
    <w:rsid w:val="002D0E6A"/>
    <w:rsid w:val="002D114C"/>
    <w:rsid w:val="002D44EF"/>
    <w:rsid w:val="002D55C8"/>
    <w:rsid w:val="002D5A29"/>
    <w:rsid w:val="002D69FE"/>
    <w:rsid w:val="002E3411"/>
    <w:rsid w:val="002F13B3"/>
    <w:rsid w:val="002F1A41"/>
    <w:rsid w:val="002F2029"/>
    <w:rsid w:val="002F460C"/>
    <w:rsid w:val="002F48D6"/>
    <w:rsid w:val="002F4B24"/>
    <w:rsid w:val="002F5BA6"/>
    <w:rsid w:val="002F650D"/>
    <w:rsid w:val="00301D63"/>
    <w:rsid w:val="00303AE1"/>
    <w:rsid w:val="00304F34"/>
    <w:rsid w:val="003060B9"/>
    <w:rsid w:val="00311D4E"/>
    <w:rsid w:val="00313DC3"/>
    <w:rsid w:val="003145A9"/>
    <w:rsid w:val="003172FA"/>
    <w:rsid w:val="00317391"/>
    <w:rsid w:val="0032143C"/>
    <w:rsid w:val="00321485"/>
    <w:rsid w:val="00325E90"/>
    <w:rsid w:val="00326216"/>
    <w:rsid w:val="0032656D"/>
    <w:rsid w:val="003277BA"/>
    <w:rsid w:val="00330466"/>
    <w:rsid w:val="00332CC7"/>
    <w:rsid w:val="00333077"/>
    <w:rsid w:val="00334907"/>
    <w:rsid w:val="0033511D"/>
    <w:rsid w:val="0033597E"/>
    <w:rsid w:val="00336580"/>
    <w:rsid w:val="00336714"/>
    <w:rsid w:val="0034378A"/>
    <w:rsid w:val="003451BA"/>
    <w:rsid w:val="003457D6"/>
    <w:rsid w:val="003477D3"/>
    <w:rsid w:val="0034798B"/>
    <w:rsid w:val="00350162"/>
    <w:rsid w:val="0035194E"/>
    <w:rsid w:val="003536B8"/>
    <w:rsid w:val="00353A4F"/>
    <w:rsid w:val="00354899"/>
    <w:rsid w:val="00355EBA"/>
    <w:rsid w:val="00355FD6"/>
    <w:rsid w:val="003566F5"/>
    <w:rsid w:val="003572E3"/>
    <w:rsid w:val="00360C3A"/>
    <w:rsid w:val="003610E5"/>
    <w:rsid w:val="00361150"/>
    <w:rsid w:val="00361DA5"/>
    <w:rsid w:val="00361E3A"/>
    <w:rsid w:val="00362FCA"/>
    <w:rsid w:val="00363F6D"/>
    <w:rsid w:val="00364A5C"/>
    <w:rsid w:val="00365C32"/>
    <w:rsid w:val="003668C2"/>
    <w:rsid w:val="003672CB"/>
    <w:rsid w:val="00367CBE"/>
    <w:rsid w:val="00371767"/>
    <w:rsid w:val="00372583"/>
    <w:rsid w:val="0037291E"/>
    <w:rsid w:val="00372E9C"/>
    <w:rsid w:val="00373420"/>
    <w:rsid w:val="00373BBF"/>
    <w:rsid w:val="00373ED0"/>
    <w:rsid w:val="00373FB1"/>
    <w:rsid w:val="0037423E"/>
    <w:rsid w:val="00374240"/>
    <w:rsid w:val="00377E84"/>
    <w:rsid w:val="003828A2"/>
    <w:rsid w:val="00382A09"/>
    <w:rsid w:val="00383485"/>
    <w:rsid w:val="00392781"/>
    <w:rsid w:val="0039355B"/>
    <w:rsid w:val="00393846"/>
    <w:rsid w:val="003943DD"/>
    <w:rsid w:val="003947D1"/>
    <w:rsid w:val="00396C76"/>
    <w:rsid w:val="003976A7"/>
    <w:rsid w:val="003A135F"/>
    <w:rsid w:val="003A3624"/>
    <w:rsid w:val="003A4134"/>
    <w:rsid w:val="003A4146"/>
    <w:rsid w:val="003A4BDD"/>
    <w:rsid w:val="003A615B"/>
    <w:rsid w:val="003A728B"/>
    <w:rsid w:val="003B02E1"/>
    <w:rsid w:val="003B0BCB"/>
    <w:rsid w:val="003B15FC"/>
    <w:rsid w:val="003B30D8"/>
    <w:rsid w:val="003B3C72"/>
    <w:rsid w:val="003B7EF2"/>
    <w:rsid w:val="003C13E1"/>
    <w:rsid w:val="003C1A07"/>
    <w:rsid w:val="003C3FA4"/>
    <w:rsid w:val="003C659E"/>
    <w:rsid w:val="003D06A5"/>
    <w:rsid w:val="003D0A4D"/>
    <w:rsid w:val="003D0BA1"/>
    <w:rsid w:val="003D15E1"/>
    <w:rsid w:val="003D16E2"/>
    <w:rsid w:val="003D3C85"/>
    <w:rsid w:val="003D40B5"/>
    <w:rsid w:val="003E01BA"/>
    <w:rsid w:val="003E12BA"/>
    <w:rsid w:val="003E22FE"/>
    <w:rsid w:val="003E3E7D"/>
    <w:rsid w:val="003F09DC"/>
    <w:rsid w:val="003F0A45"/>
    <w:rsid w:val="003F0AD8"/>
    <w:rsid w:val="003F2B0C"/>
    <w:rsid w:val="003F4513"/>
    <w:rsid w:val="003F5FF0"/>
    <w:rsid w:val="0040175A"/>
    <w:rsid w:val="00401A21"/>
    <w:rsid w:val="00402705"/>
    <w:rsid w:val="00403326"/>
    <w:rsid w:val="004038EE"/>
    <w:rsid w:val="00405D80"/>
    <w:rsid w:val="00405EFD"/>
    <w:rsid w:val="004105B2"/>
    <w:rsid w:val="0041145A"/>
    <w:rsid w:val="00412900"/>
    <w:rsid w:val="00413D7D"/>
    <w:rsid w:val="00413FE7"/>
    <w:rsid w:val="00417693"/>
    <w:rsid w:val="0041777D"/>
    <w:rsid w:val="0041792C"/>
    <w:rsid w:val="004205EA"/>
    <w:rsid w:val="00420836"/>
    <w:rsid w:val="004219A5"/>
    <w:rsid w:val="004221E4"/>
    <w:rsid w:val="004234BF"/>
    <w:rsid w:val="00425049"/>
    <w:rsid w:val="0042605A"/>
    <w:rsid w:val="004263BD"/>
    <w:rsid w:val="004273F8"/>
    <w:rsid w:val="00430DCA"/>
    <w:rsid w:val="00433A11"/>
    <w:rsid w:val="00434F9E"/>
    <w:rsid w:val="004355A3"/>
    <w:rsid w:val="00435966"/>
    <w:rsid w:val="00435A76"/>
    <w:rsid w:val="00435B2E"/>
    <w:rsid w:val="00436461"/>
    <w:rsid w:val="00437E6A"/>
    <w:rsid w:val="00440CBC"/>
    <w:rsid w:val="00446546"/>
    <w:rsid w:val="00446887"/>
    <w:rsid w:val="00446EC0"/>
    <w:rsid w:val="00447156"/>
    <w:rsid w:val="00450917"/>
    <w:rsid w:val="00450D84"/>
    <w:rsid w:val="004524C3"/>
    <w:rsid w:val="00452769"/>
    <w:rsid w:val="004532EC"/>
    <w:rsid w:val="0045419B"/>
    <w:rsid w:val="00454FA7"/>
    <w:rsid w:val="0046111A"/>
    <w:rsid w:val="0046116C"/>
    <w:rsid w:val="00462E0C"/>
    <w:rsid w:val="00463782"/>
    <w:rsid w:val="00465348"/>
    <w:rsid w:val="0046771A"/>
    <w:rsid w:val="00467CBC"/>
    <w:rsid w:val="004705DC"/>
    <w:rsid w:val="00471A5A"/>
    <w:rsid w:val="00471C39"/>
    <w:rsid w:val="004729D9"/>
    <w:rsid w:val="0047563B"/>
    <w:rsid w:val="00476DCF"/>
    <w:rsid w:val="0047735B"/>
    <w:rsid w:val="004775EC"/>
    <w:rsid w:val="004779A3"/>
    <w:rsid w:val="00483363"/>
    <w:rsid w:val="00483743"/>
    <w:rsid w:val="00483EF2"/>
    <w:rsid w:val="00483F7E"/>
    <w:rsid w:val="00485DAE"/>
    <w:rsid w:val="004905F3"/>
    <w:rsid w:val="00490CA3"/>
    <w:rsid w:val="00491140"/>
    <w:rsid w:val="00494E8B"/>
    <w:rsid w:val="0049583E"/>
    <w:rsid w:val="00497487"/>
    <w:rsid w:val="004979A5"/>
    <w:rsid w:val="004A0CAF"/>
    <w:rsid w:val="004A0FB0"/>
    <w:rsid w:val="004A147A"/>
    <w:rsid w:val="004A1DFA"/>
    <w:rsid w:val="004A25E0"/>
    <w:rsid w:val="004A3213"/>
    <w:rsid w:val="004A43E0"/>
    <w:rsid w:val="004B1CCB"/>
    <w:rsid w:val="004B22BA"/>
    <w:rsid w:val="004B4ACF"/>
    <w:rsid w:val="004B4CCB"/>
    <w:rsid w:val="004B5A33"/>
    <w:rsid w:val="004B632F"/>
    <w:rsid w:val="004B652D"/>
    <w:rsid w:val="004B6AA4"/>
    <w:rsid w:val="004B6D97"/>
    <w:rsid w:val="004C2712"/>
    <w:rsid w:val="004C368D"/>
    <w:rsid w:val="004C5C3F"/>
    <w:rsid w:val="004D0B91"/>
    <w:rsid w:val="004D3FB1"/>
    <w:rsid w:val="004D6482"/>
    <w:rsid w:val="004D6F21"/>
    <w:rsid w:val="004D73A5"/>
    <w:rsid w:val="004E112D"/>
    <w:rsid w:val="004E24DB"/>
    <w:rsid w:val="004E2C7B"/>
    <w:rsid w:val="004E67F9"/>
    <w:rsid w:val="004E7DB7"/>
    <w:rsid w:val="004F24A5"/>
    <w:rsid w:val="004F4D56"/>
    <w:rsid w:val="004F5440"/>
    <w:rsid w:val="004F5AEB"/>
    <w:rsid w:val="004F6E62"/>
    <w:rsid w:val="00500947"/>
    <w:rsid w:val="00500C3E"/>
    <w:rsid w:val="0050172D"/>
    <w:rsid w:val="00503ABF"/>
    <w:rsid w:val="00506ECC"/>
    <w:rsid w:val="00510267"/>
    <w:rsid w:val="00511AC9"/>
    <w:rsid w:val="00511D30"/>
    <w:rsid w:val="00515137"/>
    <w:rsid w:val="00515CCA"/>
    <w:rsid w:val="00516076"/>
    <w:rsid w:val="005160F1"/>
    <w:rsid w:val="00517346"/>
    <w:rsid w:val="005215C8"/>
    <w:rsid w:val="0052419A"/>
    <w:rsid w:val="00524F2F"/>
    <w:rsid w:val="00527603"/>
    <w:rsid w:val="00527E5C"/>
    <w:rsid w:val="00530B44"/>
    <w:rsid w:val="00531EFC"/>
    <w:rsid w:val="00532CF5"/>
    <w:rsid w:val="00537257"/>
    <w:rsid w:val="00542709"/>
    <w:rsid w:val="00544377"/>
    <w:rsid w:val="00544475"/>
    <w:rsid w:val="00547020"/>
    <w:rsid w:val="0055070F"/>
    <w:rsid w:val="005528CB"/>
    <w:rsid w:val="00556D37"/>
    <w:rsid w:val="00557E29"/>
    <w:rsid w:val="005637AE"/>
    <w:rsid w:val="005637EB"/>
    <w:rsid w:val="005656A9"/>
    <w:rsid w:val="00566771"/>
    <w:rsid w:val="00566BF9"/>
    <w:rsid w:val="00567D5E"/>
    <w:rsid w:val="00574DBB"/>
    <w:rsid w:val="00575389"/>
    <w:rsid w:val="005778C5"/>
    <w:rsid w:val="005803E2"/>
    <w:rsid w:val="00581E2E"/>
    <w:rsid w:val="00584F15"/>
    <w:rsid w:val="00594E81"/>
    <w:rsid w:val="0059514B"/>
    <w:rsid w:val="00596BF2"/>
    <w:rsid w:val="005A1B0F"/>
    <w:rsid w:val="005A5C98"/>
    <w:rsid w:val="005A74A7"/>
    <w:rsid w:val="005B0F5A"/>
    <w:rsid w:val="005B2DFE"/>
    <w:rsid w:val="005B352C"/>
    <w:rsid w:val="005B4CE6"/>
    <w:rsid w:val="005B56F5"/>
    <w:rsid w:val="005B5985"/>
    <w:rsid w:val="005B5EFE"/>
    <w:rsid w:val="005B66C5"/>
    <w:rsid w:val="005C0C27"/>
    <w:rsid w:val="005C183F"/>
    <w:rsid w:val="005C1E55"/>
    <w:rsid w:val="005C52A2"/>
    <w:rsid w:val="005C6431"/>
    <w:rsid w:val="005C7FFE"/>
    <w:rsid w:val="005D01F7"/>
    <w:rsid w:val="005D0E17"/>
    <w:rsid w:val="005D14E3"/>
    <w:rsid w:val="005D20F9"/>
    <w:rsid w:val="005D2C1F"/>
    <w:rsid w:val="005E1622"/>
    <w:rsid w:val="005E1C68"/>
    <w:rsid w:val="005E3BFC"/>
    <w:rsid w:val="005E44E8"/>
    <w:rsid w:val="005E66B2"/>
    <w:rsid w:val="005F17FB"/>
    <w:rsid w:val="005F60BC"/>
    <w:rsid w:val="00603110"/>
    <w:rsid w:val="006040A2"/>
    <w:rsid w:val="00611719"/>
    <w:rsid w:val="00611C9E"/>
    <w:rsid w:val="00612C04"/>
    <w:rsid w:val="0061302C"/>
    <w:rsid w:val="006159C4"/>
    <w:rsid w:val="00615EEF"/>
    <w:rsid w:val="006163F7"/>
    <w:rsid w:val="006165B4"/>
    <w:rsid w:val="00617813"/>
    <w:rsid w:val="00617A14"/>
    <w:rsid w:val="00621208"/>
    <w:rsid w:val="0062143C"/>
    <w:rsid w:val="00624C46"/>
    <w:rsid w:val="00627C63"/>
    <w:rsid w:val="00627F51"/>
    <w:rsid w:val="00630CE1"/>
    <w:rsid w:val="00631018"/>
    <w:rsid w:val="006321C9"/>
    <w:rsid w:val="00632512"/>
    <w:rsid w:val="00632BF8"/>
    <w:rsid w:val="0063350B"/>
    <w:rsid w:val="0063516E"/>
    <w:rsid w:val="00635348"/>
    <w:rsid w:val="00636EE7"/>
    <w:rsid w:val="00637538"/>
    <w:rsid w:val="00641F3E"/>
    <w:rsid w:val="00645B9E"/>
    <w:rsid w:val="00647510"/>
    <w:rsid w:val="00647F90"/>
    <w:rsid w:val="0065107A"/>
    <w:rsid w:val="00651819"/>
    <w:rsid w:val="00652606"/>
    <w:rsid w:val="00653509"/>
    <w:rsid w:val="00654889"/>
    <w:rsid w:val="00654C9A"/>
    <w:rsid w:val="006563AC"/>
    <w:rsid w:val="00657851"/>
    <w:rsid w:val="00663539"/>
    <w:rsid w:val="00663F38"/>
    <w:rsid w:val="006646A5"/>
    <w:rsid w:val="00671067"/>
    <w:rsid w:val="00672869"/>
    <w:rsid w:val="0067488B"/>
    <w:rsid w:val="00680139"/>
    <w:rsid w:val="00680413"/>
    <w:rsid w:val="00680BA6"/>
    <w:rsid w:val="00680FFA"/>
    <w:rsid w:val="00682542"/>
    <w:rsid w:val="00682A96"/>
    <w:rsid w:val="00691477"/>
    <w:rsid w:val="00692DA2"/>
    <w:rsid w:val="006941F4"/>
    <w:rsid w:val="006946EE"/>
    <w:rsid w:val="00694E46"/>
    <w:rsid w:val="00695926"/>
    <w:rsid w:val="00696127"/>
    <w:rsid w:val="00696341"/>
    <w:rsid w:val="006A0C8B"/>
    <w:rsid w:val="006A3B12"/>
    <w:rsid w:val="006A3DA5"/>
    <w:rsid w:val="006A3FAD"/>
    <w:rsid w:val="006A58A9"/>
    <w:rsid w:val="006A606D"/>
    <w:rsid w:val="006B009C"/>
    <w:rsid w:val="006B0899"/>
    <w:rsid w:val="006B201E"/>
    <w:rsid w:val="006B3958"/>
    <w:rsid w:val="006B680A"/>
    <w:rsid w:val="006B763B"/>
    <w:rsid w:val="006C0068"/>
    <w:rsid w:val="006C029A"/>
    <w:rsid w:val="006C0371"/>
    <w:rsid w:val="006C08B6"/>
    <w:rsid w:val="006C0B1A"/>
    <w:rsid w:val="006C17E3"/>
    <w:rsid w:val="006C2AD3"/>
    <w:rsid w:val="006C342E"/>
    <w:rsid w:val="006C509B"/>
    <w:rsid w:val="006C6065"/>
    <w:rsid w:val="006C744F"/>
    <w:rsid w:val="006C7F9F"/>
    <w:rsid w:val="006C7FFA"/>
    <w:rsid w:val="006D27F6"/>
    <w:rsid w:val="006D5699"/>
    <w:rsid w:val="006D6498"/>
    <w:rsid w:val="006E002C"/>
    <w:rsid w:val="006E2F6D"/>
    <w:rsid w:val="006E39FC"/>
    <w:rsid w:val="006E58F6"/>
    <w:rsid w:val="006E7755"/>
    <w:rsid w:val="006E77E1"/>
    <w:rsid w:val="006F12AA"/>
    <w:rsid w:val="006F131D"/>
    <w:rsid w:val="006F1537"/>
    <w:rsid w:val="006F176F"/>
    <w:rsid w:val="006F547B"/>
    <w:rsid w:val="00700243"/>
    <w:rsid w:val="00701B01"/>
    <w:rsid w:val="00703069"/>
    <w:rsid w:val="00703AAD"/>
    <w:rsid w:val="00704926"/>
    <w:rsid w:val="00707983"/>
    <w:rsid w:val="00711642"/>
    <w:rsid w:val="00711AD7"/>
    <w:rsid w:val="00713674"/>
    <w:rsid w:val="0072348B"/>
    <w:rsid w:val="00723B84"/>
    <w:rsid w:val="007247D0"/>
    <w:rsid w:val="00727D1F"/>
    <w:rsid w:val="00730B47"/>
    <w:rsid w:val="00731227"/>
    <w:rsid w:val="00732FE5"/>
    <w:rsid w:val="00735306"/>
    <w:rsid w:val="007374CF"/>
    <w:rsid w:val="00737957"/>
    <w:rsid w:val="00737D02"/>
    <w:rsid w:val="00744439"/>
    <w:rsid w:val="00744AF7"/>
    <w:rsid w:val="00747341"/>
    <w:rsid w:val="007504CC"/>
    <w:rsid w:val="007505AC"/>
    <w:rsid w:val="007507C6"/>
    <w:rsid w:val="00750DD2"/>
    <w:rsid w:val="00751E0B"/>
    <w:rsid w:val="00752BCD"/>
    <w:rsid w:val="00753DF3"/>
    <w:rsid w:val="007625B5"/>
    <w:rsid w:val="00763670"/>
    <w:rsid w:val="007661A8"/>
    <w:rsid w:val="00766DA1"/>
    <w:rsid w:val="00770090"/>
    <w:rsid w:val="007705F2"/>
    <w:rsid w:val="00770C74"/>
    <w:rsid w:val="00772E1C"/>
    <w:rsid w:val="00773FE8"/>
    <w:rsid w:val="0077410C"/>
    <w:rsid w:val="00774371"/>
    <w:rsid w:val="00774D61"/>
    <w:rsid w:val="007757CA"/>
    <w:rsid w:val="00775B5A"/>
    <w:rsid w:val="00776253"/>
    <w:rsid w:val="00780287"/>
    <w:rsid w:val="00780D94"/>
    <w:rsid w:val="00780EDD"/>
    <w:rsid w:val="00781710"/>
    <w:rsid w:val="00782B44"/>
    <w:rsid w:val="007866A6"/>
    <w:rsid w:val="007873BD"/>
    <w:rsid w:val="00787DF5"/>
    <w:rsid w:val="007921AF"/>
    <w:rsid w:val="00794B0B"/>
    <w:rsid w:val="0079534E"/>
    <w:rsid w:val="007957A4"/>
    <w:rsid w:val="00796107"/>
    <w:rsid w:val="00796E07"/>
    <w:rsid w:val="007971E7"/>
    <w:rsid w:val="007A130D"/>
    <w:rsid w:val="007A21D4"/>
    <w:rsid w:val="007A450A"/>
    <w:rsid w:val="007A4592"/>
    <w:rsid w:val="007A6742"/>
    <w:rsid w:val="007A7CE1"/>
    <w:rsid w:val="007B42C5"/>
    <w:rsid w:val="007B67F8"/>
    <w:rsid w:val="007C1EC9"/>
    <w:rsid w:val="007C24AB"/>
    <w:rsid w:val="007C3905"/>
    <w:rsid w:val="007D017C"/>
    <w:rsid w:val="007D0771"/>
    <w:rsid w:val="007D0D4F"/>
    <w:rsid w:val="007D12F8"/>
    <w:rsid w:val="007D1A2D"/>
    <w:rsid w:val="007D1BF3"/>
    <w:rsid w:val="007D24E5"/>
    <w:rsid w:val="007D2687"/>
    <w:rsid w:val="007D2CCE"/>
    <w:rsid w:val="007D32E6"/>
    <w:rsid w:val="007D3BB9"/>
    <w:rsid w:val="007D4102"/>
    <w:rsid w:val="007D429E"/>
    <w:rsid w:val="007D6555"/>
    <w:rsid w:val="007E0730"/>
    <w:rsid w:val="007E38CC"/>
    <w:rsid w:val="007E4D74"/>
    <w:rsid w:val="007E54A7"/>
    <w:rsid w:val="007F33F9"/>
    <w:rsid w:val="007F3EEC"/>
    <w:rsid w:val="007F43B7"/>
    <w:rsid w:val="007F597C"/>
    <w:rsid w:val="007F7B39"/>
    <w:rsid w:val="007F7DAB"/>
    <w:rsid w:val="00803E82"/>
    <w:rsid w:val="00810E43"/>
    <w:rsid w:val="00812516"/>
    <w:rsid w:val="008147FC"/>
    <w:rsid w:val="008200EB"/>
    <w:rsid w:val="00820539"/>
    <w:rsid w:val="008209BE"/>
    <w:rsid w:val="00821EDA"/>
    <w:rsid w:val="00821FFC"/>
    <w:rsid w:val="008266CF"/>
    <w:rsid w:val="00826B2B"/>
    <w:rsid w:val="00827020"/>
    <w:rsid w:val="008271CA"/>
    <w:rsid w:val="0083113D"/>
    <w:rsid w:val="0083146F"/>
    <w:rsid w:val="00833450"/>
    <w:rsid w:val="00833A97"/>
    <w:rsid w:val="0084277C"/>
    <w:rsid w:val="00845704"/>
    <w:rsid w:val="008467D5"/>
    <w:rsid w:val="00846AFB"/>
    <w:rsid w:val="00847669"/>
    <w:rsid w:val="00852B2B"/>
    <w:rsid w:val="00855869"/>
    <w:rsid w:val="00855B5E"/>
    <w:rsid w:val="008604D5"/>
    <w:rsid w:val="008629D4"/>
    <w:rsid w:val="008645B9"/>
    <w:rsid w:val="008645EA"/>
    <w:rsid w:val="00870D12"/>
    <w:rsid w:val="00871567"/>
    <w:rsid w:val="00871EDB"/>
    <w:rsid w:val="00873DCC"/>
    <w:rsid w:val="0087682F"/>
    <w:rsid w:val="00876FF8"/>
    <w:rsid w:val="008773F3"/>
    <w:rsid w:val="00877D04"/>
    <w:rsid w:val="008800E0"/>
    <w:rsid w:val="00880822"/>
    <w:rsid w:val="0088157B"/>
    <w:rsid w:val="00881773"/>
    <w:rsid w:val="008818DF"/>
    <w:rsid w:val="00884194"/>
    <w:rsid w:val="00892795"/>
    <w:rsid w:val="00896006"/>
    <w:rsid w:val="008A4DC4"/>
    <w:rsid w:val="008A5FFD"/>
    <w:rsid w:val="008A6265"/>
    <w:rsid w:val="008A74A6"/>
    <w:rsid w:val="008B2A83"/>
    <w:rsid w:val="008B31A9"/>
    <w:rsid w:val="008B438C"/>
    <w:rsid w:val="008B5D19"/>
    <w:rsid w:val="008B7732"/>
    <w:rsid w:val="008B7CCF"/>
    <w:rsid w:val="008C1C08"/>
    <w:rsid w:val="008C1DB4"/>
    <w:rsid w:val="008C5156"/>
    <w:rsid w:val="008C558F"/>
    <w:rsid w:val="008C6E97"/>
    <w:rsid w:val="008D06CA"/>
    <w:rsid w:val="008D0B41"/>
    <w:rsid w:val="008D1277"/>
    <w:rsid w:val="008D3A46"/>
    <w:rsid w:val="008D460A"/>
    <w:rsid w:val="008D5E51"/>
    <w:rsid w:val="008D6AB5"/>
    <w:rsid w:val="008D7D4F"/>
    <w:rsid w:val="008E1389"/>
    <w:rsid w:val="008E1D36"/>
    <w:rsid w:val="008E1F9C"/>
    <w:rsid w:val="008E4D69"/>
    <w:rsid w:val="008E4F24"/>
    <w:rsid w:val="008E5248"/>
    <w:rsid w:val="008F03CC"/>
    <w:rsid w:val="008F2385"/>
    <w:rsid w:val="008F2A79"/>
    <w:rsid w:val="008F488C"/>
    <w:rsid w:val="008F6ADE"/>
    <w:rsid w:val="008F7391"/>
    <w:rsid w:val="0090284C"/>
    <w:rsid w:val="009047EF"/>
    <w:rsid w:val="00904987"/>
    <w:rsid w:val="009067A4"/>
    <w:rsid w:val="00910064"/>
    <w:rsid w:val="00911860"/>
    <w:rsid w:val="009132CF"/>
    <w:rsid w:val="00914B4E"/>
    <w:rsid w:val="009158FF"/>
    <w:rsid w:val="009260D3"/>
    <w:rsid w:val="00930885"/>
    <w:rsid w:val="00930F26"/>
    <w:rsid w:val="00931DDA"/>
    <w:rsid w:val="00933D68"/>
    <w:rsid w:val="009340DB"/>
    <w:rsid w:val="00941281"/>
    <w:rsid w:val="0094372B"/>
    <w:rsid w:val="0094618C"/>
    <w:rsid w:val="009474D5"/>
    <w:rsid w:val="009526EB"/>
    <w:rsid w:val="00952FE3"/>
    <w:rsid w:val="00953F8C"/>
    <w:rsid w:val="00954580"/>
    <w:rsid w:val="0095684B"/>
    <w:rsid w:val="00957BE4"/>
    <w:rsid w:val="009602CE"/>
    <w:rsid w:val="00961D61"/>
    <w:rsid w:val="00963683"/>
    <w:rsid w:val="00965179"/>
    <w:rsid w:val="009653E6"/>
    <w:rsid w:val="009659F6"/>
    <w:rsid w:val="00972102"/>
    <w:rsid w:val="00972498"/>
    <w:rsid w:val="00973137"/>
    <w:rsid w:val="0097481F"/>
    <w:rsid w:val="00974CC6"/>
    <w:rsid w:val="00976AD4"/>
    <w:rsid w:val="00976E47"/>
    <w:rsid w:val="00976EE9"/>
    <w:rsid w:val="00977EBA"/>
    <w:rsid w:val="009801CA"/>
    <w:rsid w:val="00980F1D"/>
    <w:rsid w:val="009845D6"/>
    <w:rsid w:val="00985398"/>
    <w:rsid w:val="00986894"/>
    <w:rsid w:val="009879D0"/>
    <w:rsid w:val="00990C25"/>
    <w:rsid w:val="0099113C"/>
    <w:rsid w:val="00995547"/>
    <w:rsid w:val="009A122C"/>
    <w:rsid w:val="009A168A"/>
    <w:rsid w:val="009A215B"/>
    <w:rsid w:val="009A228D"/>
    <w:rsid w:val="009A26D4"/>
    <w:rsid w:val="009A29FE"/>
    <w:rsid w:val="009A312F"/>
    <w:rsid w:val="009A36BC"/>
    <w:rsid w:val="009A52A2"/>
    <w:rsid w:val="009A5348"/>
    <w:rsid w:val="009A5670"/>
    <w:rsid w:val="009A6B65"/>
    <w:rsid w:val="009B0A81"/>
    <w:rsid w:val="009B0AB7"/>
    <w:rsid w:val="009B1105"/>
    <w:rsid w:val="009B1B26"/>
    <w:rsid w:val="009B2B59"/>
    <w:rsid w:val="009B2BE3"/>
    <w:rsid w:val="009C0891"/>
    <w:rsid w:val="009C2E6D"/>
    <w:rsid w:val="009C3855"/>
    <w:rsid w:val="009C55B6"/>
    <w:rsid w:val="009C76D5"/>
    <w:rsid w:val="009D31C2"/>
    <w:rsid w:val="009D3FE2"/>
    <w:rsid w:val="009D437A"/>
    <w:rsid w:val="009D56D1"/>
    <w:rsid w:val="009D795D"/>
    <w:rsid w:val="009E2CB0"/>
    <w:rsid w:val="009E3279"/>
    <w:rsid w:val="009E37A5"/>
    <w:rsid w:val="009E56B9"/>
    <w:rsid w:val="009E7A50"/>
    <w:rsid w:val="009F0BE0"/>
    <w:rsid w:val="009F0BF6"/>
    <w:rsid w:val="009F0EB8"/>
    <w:rsid w:val="009F2AE0"/>
    <w:rsid w:val="009F69B2"/>
    <w:rsid w:val="009F7AA4"/>
    <w:rsid w:val="009F7ADB"/>
    <w:rsid w:val="00A00849"/>
    <w:rsid w:val="00A00D34"/>
    <w:rsid w:val="00A06D21"/>
    <w:rsid w:val="00A07409"/>
    <w:rsid w:val="00A104C9"/>
    <w:rsid w:val="00A10AD7"/>
    <w:rsid w:val="00A13305"/>
    <w:rsid w:val="00A13C25"/>
    <w:rsid w:val="00A15ABE"/>
    <w:rsid w:val="00A1607F"/>
    <w:rsid w:val="00A17630"/>
    <w:rsid w:val="00A179E6"/>
    <w:rsid w:val="00A21584"/>
    <w:rsid w:val="00A2237B"/>
    <w:rsid w:val="00A24860"/>
    <w:rsid w:val="00A24ADF"/>
    <w:rsid w:val="00A30B53"/>
    <w:rsid w:val="00A31C83"/>
    <w:rsid w:val="00A323B0"/>
    <w:rsid w:val="00A33A11"/>
    <w:rsid w:val="00A41A5C"/>
    <w:rsid w:val="00A42752"/>
    <w:rsid w:val="00A427CE"/>
    <w:rsid w:val="00A42E05"/>
    <w:rsid w:val="00A436DD"/>
    <w:rsid w:val="00A43AF5"/>
    <w:rsid w:val="00A46E24"/>
    <w:rsid w:val="00A47A92"/>
    <w:rsid w:val="00A540FD"/>
    <w:rsid w:val="00A55011"/>
    <w:rsid w:val="00A557AE"/>
    <w:rsid w:val="00A559DB"/>
    <w:rsid w:val="00A569EA"/>
    <w:rsid w:val="00A5730D"/>
    <w:rsid w:val="00A61B00"/>
    <w:rsid w:val="00A62345"/>
    <w:rsid w:val="00A62FF7"/>
    <w:rsid w:val="00A6448B"/>
    <w:rsid w:val="00A674A7"/>
    <w:rsid w:val="00A676A0"/>
    <w:rsid w:val="00A70429"/>
    <w:rsid w:val="00A72975"/>
    <w:rsid w:val="00A72BEC"/>
    <w:rsid w:val="00A72EC8"/>
    <w:rsid w:val="00A76682"/>
    <w:rsid w:val="00A7695A"/>
    <w:rsid w:val="00A77C1A"/>
    <w:rsid w:val="00A80F25"/>
    <w:rsid w:val="00A9334A"/>
    <w:rsid w:val="00A977AB"/>
    <w:rsid w:val="00AA3306"/>
    <w:rsid w:val="00AA4D1B"/>
    <w:rsid w:val="00AA73DB"/>
    <w:rsid w:val="00AC05FB"/>
    <w:rsid w:val="00AC078D"/>
    <w:rsid w:val="00AC091D"/>
    <w:rsid w:val="00AC2785"/>
    <w:rsid w:val="00AC3313"/>
    <w:rsid w:val="00AC53AE"/>
    <w:rsid w:val="00AC5735"/>
    <w:rsid w:val="00AC597E"/>
    <w:rsid w:val="00AC7522"/>
    <w:rsid w:val="00AD0A6C"/>
    <w:rsid w:val="00AD1B4E"/>
    <w:rsid w:val="00AD1FFB"/>
    <w:rsid w:val="00AD35D3"/>
    <w:rsid w:val="00AD42B2"/>
    <w:rsid w:val="00AD6DB8"/>
    <w:rsid w:val="00AD75B9"/>
    <w:rsid w:val="00AE0010"/>
    <w:rsid w:val="00AE2065"/>
    <w:rsid w:val="00AE209D"/>
    <w:rsid w:val="00AE46B0"/>
    <w:rsid w:val="00AE6A26"/>
    <w:rsid w:val="00AF0380"/>
    <w:rsid w:val="00AF0967"/>
    <w:rsid w:val="00AF23A4"/>
    <w:rsid w:val="00AF2BB7"/>
    <w:rsid w:val="00AF35FC"/>
    <w:rsid w:val="00AF4E41"/>
    <w:rsid w:val="00AF5556"/>
    <w:rsid w:val="00AF65FB"/>
    <w:rsid w:val="00B004E7"/>
    <w:rsid w:val="00B01D88"/>
    <w:rsid w:val="00B03639"/>
    <w:rsid w:val="00B03667"/>
    <w:rsid w:val="00B04C6B"/>
    <w:rsid w:val="00B05E05"/>
    <w:rsid w:val="00B0652A"/>
    <w:rsid w:val="00B06902"/>
    <w:rsid w:val="00B1300B"/>
    <w:rsid w:val="00B1328A"/>
    <w:rsid w:val="00B163D1"/>
    <w:rsid w:val="00B177EA"/>
    <w:rsid w:val="00B178D9"/>
    <w:rsid w:val="00B20ED6"/>
    <w:rsid w:val="00B21899"/>
    <w:rsid w:val="00B23868"/>
    <w:rsid w:val="00B24C03"/>
    <w:rsid w:val="00B27DAE"/>
    <w:rsid w:val="00B328E6"/>
    <w:rsid w:val="00B35B79"/>
    <w:rsid w:val="00B361E9"/>
    <w:rsid w:val="00B3655A"/>
    <w:rsid w:val="00B40860"/>
    <w:rsid w:val="00B40937"/>
    <w:rsid w:val="00B40D03"/>
    <w:rsid w:val="00B423EF"/>
    <w:rsid w:val="00B43878"/>
    <w:rsid w:val="00B44297"/>
    <w:rsid w:val="00B4468A"/>
    <w:rsid w:val="00B4485C"/>
    <w:rsid w:val="00B453DE"/>
    <w:rsid w:val="00B45416"/>
    <w:rsid w:val="00B46D3C"/>
    <w:rsid w:val="00B47200"/>
    <w:rsid w:val="00B47842"/>
    <w:rsid w:val="00B47C37"/>
    <w:rsid w:val="00B47D34"/>
    <w:rsid w:val="00B56D6F"/>
    <w:rsid w:val="00B57DDA"/>
    <w:rsid w:val="00B6171B"/>
    <w:rsid w:val="00B62497"/>
    <w:rsid w:val="00B635DD"/>
    <w:rsid w:val="00B6361B"/>
    <w:rsid w:val="00B64F45"/>
    <w:rsid w:val="00B673FD"/>
    <w:rsid w:val="00B7017C"/>
    <w:rsid w:val="00B7097E"/>
    <w:rsid w:val="00B72597"/>
    <w:rsid w:val="00B734D7"/>
    <w:rsid w:val="00B75EA6"/>
    <w:rsid w:val="00B761E7"/>
    <w:rsid w:val="00B76F19"/>
    <w:rsid w:val="00B87DC0"/>
    <w:rsid w:val="00B901F9"/>
    <w:rsid w:val="00B903A9"/>
    <w:rsid w:val="00B90532"/>
    <w:rsid w:val="00B906A6"/>
    <w:rsid w:val="00B90755"/>
    <w:rsid w:val="00B92F8E"/>
    <w:rsid w:val="00B94DE8"/>
    <w:rsid w:val="00B94E73"/>
    <w:rsid w:val="00B95C55"/>
    <w:rsid w:val="00B96346"/>
    <w:rsid w:val="00B9644C"/>
    <w:rsid w:val="00BA0873"/>
    <w:rsid w:val="00BA11A7"/>
    <w:rsid w:val="00BA475D"/>
    <w:rsid w:val="00BA54AE"/>
    <w:rsid w:val="00BB253A"/>
    <w:rsid w:val="00BB2EA3"/>
    <w:rsid w:val="00BB4152"/>
    <w:rsid w:val="00BB66AB"/>
    <w:rsid w:val="00BB674A"/>
    <w:rsid w:val="00BB72EC"/>
    <w:rsid w:val="00BB7AA7"/>
    <w:rsid w:val="00BC27DE"/>
    <w:rsid w:val="00BC371D"/>
    <w:rsid w:val="00BC4D98"/>
    <w:rsid w:val="00BC5AC9"/>
    <w:rsid w:val="00BD001E"/>
    <w:rsid w:val="00BD425A"/>
    <w:rsid w:val="00BD6D9B"/>
    <w:rsid w:val="00BD6EFB"/>
    <w:rsid w:val="00BE0D0B"/>
    <w:rsid w:val="00BE162A"/>
    <w:rsid w:val="00BE199A"/>
    <w:rsid w:val="00BE22DE"/>
    <w:rsid w:val="00BE3DF5"/>
    <w:rsid w:val="00BF02AA"/>
    <w:rsid w:val="00BF1F86"/>
    <w:rsid w:val="00BF2AD3"/>
    <w:rsid w:val="00BF5EAB"/>
    <w:rsid w:val="00C004B1"/>
    <w:rsid w:val="00C0157D"/>
    <w:rsid w:val="00C02410"/>
    <w:rsid w:val="00C02FF3"/>
    <w:rsid w:val="00C042F0"/>
    <w:rsid w:val="00C048C6"/>
    <w:rsid w:val="00C04A14"/>
    <w:rsid w:val="00C121ED"/>
    <w:rsid w:val="00C128A6"/>
    <w:rsid w:val="00C12F47"/>
    <w:rsid w:val="00C1445C"/>
    <w:rsid w:val="00C1584D"/>
    <w:rsid w:val="00C15BE2"/>
    <w:rsid w:val="00C20A10"/>
    <w:rsid w:val="00C212D2"/>
    <w:rsid w:val="00C21462"/>
    <w:rsid w:val="00C23B05"/>
    <w:rsid w:val="00C24B59"/>
    <w:rsid w:val="00C24D78"/>
    <w:rsid w:val="00C25A0C"/>
    <w:rsid w:val="00C2668F"/>
    <w:rsid w:val="00C271EF"/>
    <w:rsid w:val="00C278C6"/>
    <w:rsid w:val="00C31B6B"/>
    <w:rsid w:val="00C33A70"/>
    <w:rsid w:val="00C3447F"/>
    <w:rsid w:val="00C41D62"/>
    <w:rsid w:val="00C41ECA"/>
    <w:rsid w:val="00C44714"/>
    <w:rsid w:val="00C47731"/>
    <w:rsid w:val="00C504DB"/>
    <w:rsid w:val="00C50C44"/>
    <w:rsid w:val="00C50F92"/>
    <w:rsid w:val="00C5139E"/>
    <w:rsid w:val="00C51AEE"/>
    <w:rsid w:val="00C55873"/>
    <w:rsid w:val="00C56D89"/>
    <w:rsid w:val="00C57EBA"/>
    <w:rsid w:val="00C6111F"/>
    <w:rsid w:val="00C61491"/>
    <w:rsid w:val="00C618F9"/>
    <w:rsid w:val="00C62F98"/>
    <w:rsid w:val="00C62FF9"/>
    <w:rsid w:val="00C634F4"/>
    <w:rsid w:val="00C635DC"/>
    <w:rsid w:val="00C6362B"/>
    <w:rsid w:val="00C636CC"/>
    <w:rsid w:val="00C65A23"/>
    <w:rsid w:val="00C67102"/>
    <w:rsid w:val="00C72727"/>
    <w:rsid w:val="00C727B6"/>
    <w:rsid w:val="00C72BC5"/>
    <w:rsid w:val="00C72C27"/>
    <w:rsid w:val="00C7393C"/>
    <w:rsid w:val="00C76C82"/>
    <w:rsid w:val="00C77725"/>
    <w:rsid w:val="00C81491"/>
    <w:rsid w:val="00C81676"/>
    <w:rsid w:val="00C84D77"/>
    <w:rsid w:val="00C85508"/>
    <w:rsid w:val="00C85514"/>
    <w:rsid w:val="00C85C5D"/>
    <w:rsid w:val="00C866FB"/>
    <w:rsid w:val="00C86C20"/>
    <w:rsid w:val="00C874AC"/>
    <w:rsid w:val="00C87EB3"/>
    <w:rsid w:val="00C917E5"/>
    <w:rsid w:val="00C92CC4"/>
    <w:rsid w:val="00C92F48"/>
    <w:rsid w:val="00C95448"/>
    <w:rsid w:val="00C96AFA"/>
    <w:rsid w:val="00CA018B"/>
    <w:rsid w:val="00CA0AFB"/>
    <w:rsid w:val="00CA2CE1"/>
    <w:rsid w:val="00CA3976"/>
    <w:rsid w:val="00CA4963"/>
    <w:rsid w:val="00CA4CDF"/>
    <w:rsid w:val="00CA50E3"/>
    <w:rsid w:val="00CA757B"/>
    <w:rsid w:val="00CA7B76"/>
    <w:rsid w:val="00CB6CCF"/>
    <w:rsid w:val="00CB7872"/>
    <w:rsid w:val="00CC1787"/>
    <w:rsid w:val="00CC182C"/>
    <w:rsid w:val="00CC45AF"/>
    <w:rsid w:val="00CC4FAB"/>
    <w:rsid w:val="00CC7117"/>
    <w:rsid w:val="00CC7473"/>
    <w:rsid w:val="00CC7CA6"/>
    <w:rsid w:val="00CD0824"/>
    <w:rsid w:val="00CD0E51"/>
    <w:rsid w:val="00CD2256"/>
    <w:rsid w:val="00CD2908"/>
    <w:rsid w:val="00CD5A80"/>
    <w:rsid w:val="00CD6F22"/>
    <w:rsid w:val="00CD7A66"/>
    <w:rsid w:val="00CE00AD"/>
    <w:rsid w:val="00CE2C20"/>
    <w:rsid w:val="00CE3424"/>
    <w:rsid w:val="00CE3749"/>
    <w:rsid w:val="00CE4508"/>
    <w:rsid w:val="00CE55FE"/>
    <w:rsid w:val="00CF25E6"/>
    <w:rsid w:val="00CF3CE7"/>
    <w:rsid w:val="00CF47BE"/>
    <w:rsid w:val="00CF5238"/>
    <w:rsid w:val="00CF62BA"/>
    <w:rsid w:val="00CF6B83"/>
    <w:rsid w:val="00CF7E3F"/>
    <w:rsid w:val="00D00CC9"/>
    <w:rsid w:val="00D011A7"/>
    <w:rsid w:val="00D011D9"/>
    <w:rsid w:val="00D02071"/>
    <w:rsid w:val="00D03A82"/>
    <w:rsid w:val="00D04BC4"/>
    <w:rsid w:val="00D05451"/>
    <w:rsid w:val="00D06071"/>
    <w:rsid w:val="00D11094"/>
    <w:rsid w:val="00D11638"/>
    <w:rsid w:val="00D11870"/>
    <w:rsid w:val="00D11F8A"/>
    <w:rsid w:val="00D13667"/>
    <w:rsid w:val="00D14C20"/>
    <w:rsid w:val="00D15344"/>
    <w:rsid w:val="00D21739"/>
    <w:rsid w:val="00D21EF1"/>
    <w:rsid w:val="00D23F57"/>
    <w:rsid w:val="00D253D1"/>
    <w:rsid w:val="00D2654B"/>
    <w:rsid w:val="00D26816"/>
    <w:rsid w:val="00D27027"/>
    <w:rsid w:val="00D31054"/>
    <w:rsid w:val="00D31BEC"/>
    <w:rsid w:val="00D35917"/>
    <w:rsid w:val="00D367D2"/>
    <w:rsid w:val="00D373E1"/>
    <w:rsid w:val="00D37FE7"/>
    <w:rsid w:val="00D43633"/>
    <w:rsid w:val="00D4751A"/>
    <w:rsid w:val="00D47D98"/>
    <w:rsid w:val="00D510C7"/>
    <w:rsid w:val="00D51BA7"/>
    <w:rsid w:val="00D52096"/>
    <w:rsid w:val="00D5313F"/>
    <w:rsid w:val="00D54AD9"/>
    <w:rsid w:val="00D55C76"/>
    <w:rsid w:val="00D606C4"/>
    <w:rsid w:val="00D612E9"/>
    <w:rsid w:val="00D62085"/>
    <w:rsid w:val="00D62945"/>
    <w:rsid w:val="00D63150"/>
    <w:rsid w:val="00D636BA"/>
    <w:rsid w:val="00D64A32"/>
    <w:rsid w:val="00D64B1B"/>
    <w:rsid w:val="00D64EFC"/>
    <w:rsid w:val="00D66811"/>
    <w:rsid w:val="00D7025C"/>
    <w:rsid w:val="00D747A9"/>
    <w:rsid w:val="00D75295"/>
    <w:rsid w:val="00D752FE"/>
    <w:rsid w:val="00D76CE9"/>
    <w:rsid w:val="00D80866"/>
    <w:rsid w:val="00D82477"/>
    <w:rsid w:val="00D830C3"/>
    <w:rsid w:val="00D83649"/>
    <w:rsid w:val="00D842E7"/>
    <w:rsid w:val="00D843F6"/>
    <w:rsid w:val="00D8473B"/>
    <w:rsid w:val="00D85D60"/>
    <w:rsid w:val="00D8617C"/>
    <w:rsid w:val="00D87A6D"/>
    <w:rsid w:val="00D87C5D"/>
    <w:rsid w:val="00D91AD4"/>
    <w:rsid w:val="00D94744"/>
    <w:rsid w:val="00D97F12"/>
    <w:rsid w:val="00DA42D1"/>
    <w:rsid w:val="00DA5D56"/>
    <w:rsid w:val="00DA6095"/>
    <w:rsid w:val="00DA65C7"/>
    <w:rsid w:val="00DB1CC9"/>
    <w:rsid w:val="00DB2913"/>
    <w:rsid w:val="00DB42E7"/>
    <w:rsid w:val="00DB451A"/>
    <w:rsid w:val="00DB4DC3"/>
    <w:rsid w:val="00DB6638"/>
    <w:rsid w:val="00DB6F34"/>
    <w:rsid w:val="00DB7918"/>
    <w:rsid w:val="00DC09D8"/>
    <w:rsid w:val="00DC1E25"/>
    <w:rsid w:val="00DC2898"/>
    <w:rsid w:val="00DC5E82"/>
    <w:rsid w:val="00DC6F47"/>
    <w:rsid w:val="00DD215B"/>
    <w:rsid w:val="00DD4684"/>
    <w:rsid w:val="00DD6275"/>
    <w:rsid w:val="00DD65BE"/>
    <w:rsid w:val="00DE01A6"/>
    <w:rsid w:val="00DE0D51"/>
    <w:rsid w:val="00DE347E"/>
    <w:rsid w:val="00DE34F8"/>
    <w:rsid w:val="00DE3A72"/>
    <w:rsid w:val="00DE69B6"/>
    <w:rsid w:val="00DE7A98"/>
    <w:rsid w:val="00DF1E60"/>
    <w:rsid w:val="00DF32C2"/>
    <w:rsid w:val="00DF49EB"/>
    <w:rsid w:val="00DF7556"/>
    <w:rsid w:val="00DF7B47"/>
    <w:rsid w:val="00E00F1E"/>
    <w:rsid w:val="00E01846"/>
    <w:rsid w:val="00E03468"/>
    <w:rsid w:val="00E036BF"/>
    <w:rsid w:val="00E04BB7"/>
    <w:rsid w:val="00E053FC"/>
    <w:rsid w:val="00E05FE6"/>
    <w:rsid w:val="00E0704A"/>
    <w:rsid w:val="00E10145"/>
    <w:rsid w:val="00E13762"/>
    <w:rsid w:val="00E15C4F"/>
    <w:rsid w:val="00E16284"/>
    <w:rsid w:val="00E21391"/>
    <w:rsid w:val="00E220CE"/>
    <w:rsid w:val="00E22D60"/>
    <w:rsid w:val="00E23932"/>
    <w:rsid w:val="00E23C68"/>
    <w:rsid w:val="00E23DBC"/>
    <w:rsid w:val="00E252AA"/>
    <w:rsid w:val="00E27BE4"/>
    <w:rsid w:val="00E30489"/>
    <w:rsid w:val="00E30C71"/>
    <w:rsid w:val="00E31816"/>
    <w:rsid w:val="00E31D2C"/>
    <w:rsid w:val="00E33CE4"/>
    <w:rsid w:val="00E3630B"/>
    <w:rsid w:val="00E36F9E"/>
    <w:rsid w:val="00E41F29"/>
    <w:rsid w:val="00E42D7B"/>
    <w:rsid w:val="00E44725"/>
    <w:rsid w:val="00E44C24"/>
    <w:rsid w:val="00E471A7"/>
    <w:rsid w:val="00E47922"/>
    <w:rsid w:val="00E5123A"/>
    <w:rsid w:val="00E54A72"/>
    <w:rsid w:val="00E54AF1"/>
    <w:rsid w:val="00E54D43"/>
    <w:rsid w:val="00E635CF"/>
    <w:rsid w:val="00E6551B"/>
    <w:rsid w:val="00E66536"/>
    <w:rsid w:val="00E707FD"/>
    <w:rsid w:val="00E70AB5"/>
    <w:rsid w:val="00E7783B"/>
    <w:rsid w:val="00E80CEE"/>
    <w:rsid w:val="00E8288C"/>
    <w:rsid w:val="00E8339E"/>
    <w:rsid w:val="00E84FC8"/>
    <w:rsid w:val="00E86201"/>
    <w:rsid w:val="00E87BB5"/>
    <w:rsid w:val="00E91FB9"/>
    <w:rsid w:val="00E927F5"/>
    <w:rsid w:val="00E92A67"/>
    <w:rsid w:val="00E936E0"/>
    <w:rsid w:val="00E9579A"/>
    <w:rsid w:val="00E96804"/>
    <w:rsid w:val="00E973BE"/>
    <w:rsid w:val="00EA0BBC"/>
    <w:rsid w:val="00EA1207"/>
    <w:rsid w:val="00EA294E"/>
    <w:rsid w:val="00EA478D"/>
    <w:rsid w:val="00EA5E8B"/>
    <w:rsid w:val="00EA696A"/>
    <w:rsid w:val="00EA7F25"/>
    <w:rsid w:val="00EB0ECE"/>
    <w:rsid w:val="00EB1E3B"/>
    <w:rsid w:val="00EB295F"/>
    <w:rsid w:val="00EB2F2B"/>
    <w:rsid w:val="00EB3944"/>
    <w:rsid w:val="00EB5042"/>
    <w:rsid w:val="00EB612A"/>
    <w:rsid w:val="00EB72DE"/>
    <w:rsid w:val="00EC0F52"/>
    <w:rsid w:val="00EC1497"/>
    <w:rsid w:val="00EC680A"/>
    <w:rsid w:val="00EC6E0A"/>
    <w:rsid w:val="00ED0732"/>
    <w:rsid w:val="00ED24D4"/>
    <w:rsid w:val="00ED26F3"/>
    <w:rsid w:val="00ED39F1"/>
    <w:rsid w:val="00ED4E18"/>
    <w:rsid w:val="00ED639C"/>
    <w:rsid w:val="00ED65A6"/>
    <w:rsid w:val="00ED7922"/>
    <w:rsid w:val="00EE02C4"/>
    <w:rsid w:val="00EE1F37"/>
    <w:rsid w:val="00EE3B95"/>
    <w:rsid w:val="00EE6190"/>
    <w:rsid w:val="00EE64ED"/>
    <w:rsid w:val="00EE7EEF"/>
    <w:rsid w:val="00EF19A1"/>
    <w:rsid w:val="00EF2D60"/>
    <w:rsid w:val="00EF397C"/>
    <w:rsid w:val="00EF423D"/>
    <w:rsid w:val="00EF44E7"/>
    <w:rsid w:val="00EF499F"/>
    <w:rsid w:val="00F0159C"/>
    <w:rsid w:val="00F0458F"/>
    <w:rsid w:val="00F07EBF"/>
    <w:rsid w:val="00F105B7"/>
    <w:rsid w:val="00F10B5A"/>
    <w:rsid w:val="00F12419"/>
    <w:rsid w:val="00F1280E"/>
    <w:rsid w:val="00F12B32"/>
    <w:rsid w:val="00F13220"/>
    <w:rsid w:val="00F13BE1"/>
    <w:rsid w:val="00F13E04"/>
    <w:rsid w:val="00F1490D"/>
    <w:rsid w:val="00F17A21"/>
    <w:rsid w:val="00F17FFA"/>
    <w:rsid w:val="00F21EBD"/>
    <w:rsid w:val="00F224EF"/>
    <w:rsid w:val="00F24061"/>
    <w:rsid w:val="00F24CF8"/>
    <w:rsid w:val="00F27899"/>
    <w:rsid w:val="00F30257"/>
    <w:rsid w:val="00F3136D"/>
    <w:rsid w:val="00F32A54"/>
    <w:rsid w:val="00F34389"/>
    <w:rsid w:val="00F34453"/>
    <w:rsid w:val="00F35ABA"/>
    <w:rsid w:val="00F35DCD"/>
    <w:rsid w:val="00F36FC2"/>
    <w:rsid w:val="00F37B27"/>
    <w:rsid w:val="00F405B1"/>
    <w:rsid w:val="00F4180A"/>
    <w:rsid w:val="00F41C6F"/>
    <w:rsid w:val="00F41EBD"/>
    <w:rsid w:val="00F461B9"/>
    <w:rsid w:val="00F46556"/>
    <w:rsid w:val="00F47A7B"/>
    <w:rsid w:val="00F47B7B"/>
    <w:rsid w:val="00F50B09"/>
    <w:rsid w:val="00F50E91"/>
    <w:rsid w:val="00F53C91"/>
    <w:rsid w:val="00F53F1C"/>
    <w:rsid w:val="00F56799"/>
    <w:rsid w:val="00F57D29"/>
    <w:rsid w:val="00F57E10"/>
    <w:rsid w:val="00F57F22"/>
    <w:rsid w:val="00F60786"/>
    <w:rsid w:val="00F62747"/>
    <w:rsid w:val="00F63AC9"/>
    <w:rsid w:val="00F664C6"/>
    <w:rsid w:val="00F666FB"/>
    <w:rsid w:val="00F71D22"/>
    <w:rsid w:val="00F729C7"/>
    <w:rsid w:val="00F747E6"/>
    <w:rsid w:val="00F75CDB"/>
    <w:rsid w:val="00F809CC"/>
    <w:rsid w:val="00F815A9"/>
    <w:rsid w:val="00F81D00"/>
    <w:rsid w:val="00F82EFB"/>
    <w:rsid w:val="00F83175"/>
    <w:rsid w:val="00F860EB"/>
    <w:rsid w:val="00F86C4D"/>
    <w:rsid w:val="00F86E59"/>
    <w:rsid w:val="00F873E4"/>
    <w:rsid w:val="00F87948"/>
    <w:rsid w:val="00F90F9C"/>
    <w:rsid w:val="00F91442"/>
    <w:rsid w:val="00F91BC7"/>
    <w:rsid w:val="00F939C4"/>
    <w:rsid w:val="00F93DBF"/>
    <w:rsid w:val="00F95205"/>
    <w:rsid w:val="00F96201"/>
    <w:rsid w:val="00F9752F"/>
    <w:rsid w:val="00F97E2D"/>
    <w:rsid w:val="00FA0DFB"/>
    <w:rsid w:val="00FA1BBC"/>
    <w:rsid w:val="00FA2181"/>
    <w:rsid w:val="00FA2736"/>
    <w:rsid w:val="00FA49F7"/>
    <w:rsid w:val="00FB615E"/>
    <w:rsid w:val="00FC05B0"/>
    <w:rsid w:val="00FC12ED"/>
    <w:rsid w:val="00FC195B"/>
    <w:rsid w:val="00FC26AC"/>
    <w:rsid w:val="00FC3A93"/>
    <w:rsid w:val="00FC5CAA"/>
    <w:rsid w:val="00FD0B18"/>
    <w:rsid w:val="00FD1500"/>
    <w:rsid w:val="00FD2034"/>
    <w:rsid w:val="00FD2B88"/>
    <w:rsid w:val="00FD2FAD"/>
    <w:rsid w:val="00FD3175"/>
    <w:rsid w:val="00FD3273"/>
    <w:rsid w:val="00FD51B0"/>
    <w:rsid w:val="00FD60AE"/>
    <w:rsid w:val="00FE51B3"/>
    <w:rsid w:val="00FE714F"/>
    <w:rsid w:val="00FF20D0"/>
    <w:rsid w:val="00FF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039B3F00-40F8-4519-9F80-9FADD227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F12A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lang w:val="en-GB"/>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lang w:val="en-GB"/>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GB"/>
    </w:rPr>
  </w:style>
  <w:style w:type="paragraph" w:customStyle="1" w:styleId="BodyTextMain">
    <w:name w:val="Body Text Main"/>
    <w:basedOn w:val="Normal"/>
    <w:next w:val="Default"/>
    <w:link w:val="BodyTextMainChar"/>
    <w:autoRedefine/>
    <w:qFormat/>
    <w:rsid w:val="00D606C4"/>
    <w:pPr>
      <w:jc w:val="both"/>
    </w:pPr>
    <w:rPr>
      <w:rFonts w:eastAsia="Calibri"/>
      <w:color w:val="000000" w:themeColor="text1"/>
      <w:sz w:val="22"/>
      <w:szCs w:val="22"/>
      <w:lang w:val="en-GB"/>
    </w:rPr>
  </w:style>
  <w:style w:type="character" w:customStyle="1" w:styleId="BodyTextMainChar">
    <w:name w:val="Body Text Main Char"/>
    <w:basedOn w:val="DefaultParagraphFont"/>
    <w:link w:val="BodyTextMain"/>
    <w:rsid w:val="00D606C4"/>
    <w:rPr>
      <w:rFonts w:ascii="Times New Roman" w:eastAsia="Calibri" w:hAnsi="Times New Roman" w:cs="Times New Roman"/>
      <w:color w:val="000000" w:themeColor="text1"/>
      <w:lang w:val="en-GB"/>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color w:val="000000" w:themeColor="text1"/>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color w:val="000000" w:themeColor="text1"/>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color w:val="000000" w:themeColor="text1"/>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color w:val="000000" w:themeColor="text1"/>
      <w:sz w:val="20"/>
      <w:szCs w:val="20"/>
      <w:u w:val="single"/>
      <w:lang w:val="en-GB"/>
    </w:rPr>
  </w:style>
  <w:style w:type="paragraph" w:styleId="FootnoteText">
    <w:name w:val="footnote text"/>
    <w:basedOn w:val="Normal"/>
    <w:link w:val="FootnoteTextChar"/>
    <w:uiPriority w:val="99"/>
    <w:unhideWhenUsed/>
    <w:rsid w:val="006C0B1A"/>
    <w:rPr>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color w:val="000000" w:themeColor="text1"/>
      <w:lang w:val="en-GB"/>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color w:val="000000" w:themeColor="text1"/>
      <w:sz w:val="20"/>
      <w:szCs w:val="20"/>
      <w:lang w:val="en-GB"/>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color w:val="000000" w:themeColor="text1"/>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color w:val="000000" w:themeColor="text1"/>
      <w:sz w:val="20"/>
      <w:szCs w:val="20"/>
      <w:lang w:val="en-GB"/>
    </w:rPr>
  </w:style>
  <w:style w:type="paragraph" w:styleId="Header">
    <w:name w:val="header"/>
    <w:basedOn w:val="Normal"/>
    <w:link w:val="HeaderChar"/>
    <w:uiPriority w:val="99"/>
    <w:unhideWhenUsed/>
    <w:rsid w:val="00F105B7"/>
    <w:pPr>
      <w:tabs>
        <w:tab w:val="center" w:pos="4680"/>
        <w:tab w:val="right" w:pos="9360"/>
      </w:tabs>
    </w:pPr>
    <w:rPr>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1"/>
    <w:unhideWhenUsed/>
    <w:qFormat/>
    <w:rsid w:val="00CA3976"/>
    <w:pPr>
      <w:spacing w:after="120"/>
    </w:pPr>
    <w:rPr>
      <w:lang w:val="en-GB"/>
    </w:rPr>
  </w:style>
  <w:style w:type="character" w:customStyle="1" w:styleId="BodyTextChar">
    <w:name w:val="Body Text Char"/>
    <w:basedOn w:val="DefaultParagraphFont"/>
    <w:link w:val="BodyText"/>
    <w:uiPriority w:val="1"/>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lang w:val="en-GB"/>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lang w:val="en-GB"/>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lang w:val="en-GB"/>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lang w:val="en-GB"/>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val="en-GB" w:eastAsia="en-CA"/>
    </w:rPr>
  </w:style>
  <w:style w:type="paragraph" w:customStyle="1" w:styleId="casehead20">
    <w:name w:val="casehead2"/>
    <w:basedOn w:val="Normal"/>
    <w:next w:val="BodyText"/>
    <w:rsid w:val="001C7777"/>
    <w:rPr>
      <w:rFonts w:ascii="Arial" w:hAnsi="Arial"/>
      <w:b/>
      <w:lang w:val="en-GB"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rPr>
      <w:lang w:val="en-GB"/>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lang w:val="en-GB"/>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lang w:val="en-GB"/>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lang w:val="en-GB"/>
    </w:rPr>
  </w:style>
  <w:style w:type="numbering" w:customStyle="1" w:styleId="NoList1">
    <w:name w:val="No List1"/>
    <w:next w:val="NoList"/>
    <w:uiPriority w:val="99"/>
    <w:semiHidden/>
    <w:unhideWhenUsed/>
    <w:rsid w:val="0052419A"/>
  </w:style>
  <w:style w:type="character" w:customStyle="1" w:styleId="caption-text">
    <w:name w:val="caption-text"/>
    <w:basedOn w:val="DefaultParagraphFont"/>
    <w:rsid w:val="0052419A"/>
  </w:style>
  <w:style w:type="character" w:customStyle="1" w:styleId="image-source">
    <w:name w:val="image-source"/>
    <w:basedOn w:val="DefaultParagraphFont"/>
    <w:rsid w:val="0052419A"/>
  </w:style>
  <w:style w:type="character" w:customStyle="1" w:styleId="UnresolvedMention1">
    <w:name w:val="Unresolved Mention1"/>
    <w:basedOn w:val="DefaultParagraphFont"/>
    <w:uiPriority w:val="99"/>
    <w:semiHidden/>
    <w:unhideWhenUsed/>
    <w:rsid w:val="0052419A"/>
    <w:rPr>
      <w:color w:val="605E5C"/>
      <w:shd w:val="clear" w:color="auto" w:fill="E1DFDD"/>
    </w:rPr>
  </w:style>
  <w:style w:type="paragraph" w:styleId="HTMLPreformatted">
    <w:name w:val="HTML Preformatted"/>
    <w:basedOn w:val="Normal"/>
    <w:link w:val="HTMLPreformattedChar"/>
    <w:uiPriority w:val="99"/>
    <w:unhideWhenUsed/>
    <w:rsid w:val="0052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PH" w:eastAsia="en-PH"/>
    </w:rPr>
  </w:style>
  <w:style w:type="character" w:customStyle="1" w:styleId="HTMLPreformattedChar">
    <w:name w:val="HTML Preformatted Char"/>
    <w:basedOn w:val="DefaultParagraphFont"/>
    <w:link w:val="HTMLPreformatted"/>
    <w:uiPriority w:val="99"/>
    <w:rsid w:val="0052419A"/>
    <w:rPr>
      <w:rFonts w:ascii="Courier New" w:eastAsia="Times New Roman" w:hAnsi="Courier New" w:cs="Courier New"/>
      <w:sz w:val="20"/>
      <w:szCs w:val="20"/>
      <w:lang w:val="en-PH" w:eastAsia="en-PH"/>
    </w:rPr>
  </w:style>
  <w:style w:type="paragraph" w:customStyle="1" w:styleId="enarticlename">
    <w:name w:val="enarticlename"/>
    <w:basedOn w:val="Normal"/>
    <w:rsid w:val="0052419A"/>
    <w:pPr>
      <w:spacing w:before="100" w:beforeAutospacing="1" w:after="100" w:afterAutospacing="1"/>
    </w:pPr>
    <w:rPr>
      <w:sz w:val="24"/>
      <w:szCs w:val="24"/>
      <w:lang w:val="en-PH" w:eastAsia="en-PH"/>
    </w:rPr>
  </w:style>
  <w:style w:type="paragraph" w:customStyle="1" w:styleId="enlastupdated">
    <w:name w:val="enlastupdated"/>
    <w:basedOn w:val="Normal"/>
    <w:rsid w:val="0052419A"/>
    <w:pPr>
      <w:spacing w:before="100" w:beforeAutospacing="1" w:after="100" w:afterAutospacing="1"/>
    </w:pPr>
    <w:rPr>
      <w:sz w:val="24"/>
      <w:szCs w:val="24"/>
      <w:lang w:val="en-PH" w:eastAsia="en-PH"/>
    </w:rPr>
  </w:style>
  <w:style w:type="paragraph" w:customStyle="1" w:styleId="generic-articlebody">
    <w:name w:val="generic-article__body"/>
    <w:basedOn w:val="Normal"/>
    <w:rsid w:val="00C121ED"/>
    <w:pPr>
      <w:spacing w:before="100" w:beforeAutospacing="1" w:after="100" w:afterAutospacing="1"/>
    </w:pPr>
    <w:rPr>
      <w:sz w:val="24"/>
      <w:szCs w:val="24"/>
      <w:lang w:val="en-PH" w:eastAsia="en-PH"/>
    </w:rPr>
  </w:style>
  <w:style w:type="character" w:customStyle="1" w:styleId="text">
    <w:name w:val="text"/>
    <w:basedOn w:val="DefaultParagraphFont"/>
    <w:rsid w:val="001B4E64"/>
  </w:style>
  <w:style w:type="character" w:customStyle="1" w:styleId="UnresolvedMention2">
    <w:name w:val="Unresolved Mention2"/>
    <w:basedOn w:val="DefaultParagraphFont"/>
    <w:uiPriority w:val="99"/>
    <w:semiHidden/>
    <w:unhideWhenUsed/>
    <w:rsid w:val="00491140"/>
    <w:rPr>
      <w:color w:val="605E5C"/>
      <w:shd w:val="clear" w:color="auto" w:fill="E1DFDD"/>
    </w:rPr>
  </w:style>
  <w:style w:type="character" w:customStyle="1" w:styleId="UnresolvedMention3">
    <w:name w:val="Unresolved Mention3"/>
    <w:basedOn w:val="DefaultParagraphFont"/>
    <w:uiPriority w:val="99"/>
    <w:semiHidden/>
    <w:unhideWhenUsed/>
    <w:rsid w:val="00A55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559">
      <w:bodyDiv w:val="1"/>
      <w:marLeft w:val="0"/>
      <w:marRight w:val="0"/>
      <w:marTop w:val="0"/>
      <w:marBottom w:val="0"/>
      <w:divBdr>
        <w:top w:val="none" w:sz="0" w:space="0" w:color="auto"/>
        <w:left w:val="none" w:sz="0" w:space="0" w:color="auto"/>
        <w:bottom w:val="none" w:sz="0" w:space="0" w:color="auto"/>
        <w:right w:val="none" w:sz="0" w:space="0" w:color="auto"/>
      </w:divBdr>
    </w:div>
    <w:div w:id="45225280">
      <w:bodyDiv w:val="1"/>
      <w:marLeft w:val="0"/>
      <w:marRight w:val="0"/>
      <w:marTop w:val="0"/>
      <w:marBottom w:val="0"/>
      <w:divBdr>
        <w:top w:val="none" w:sz="0" w:space="0" w:color="auto"/>
        <w:left w:val="none" w:sz="0" w:space="0" w:color="auto"/>
        <w:bottom w:val="none" w:sz="0" w:space="0" w:color="auto"/>
        <w:right w:val="none" w:sz="0" w:space="0" w:color="auto"/>
      </w:divBdr>
    </w:div>
    <w:div w:id="61686999">
      <w:bodyDiv w:val="1"/>
      <w:marLeft w:val="0"/>
      <w:marRight w:val="0"/>
      <w:marTop w:val="0"/>
      <w:marBottom w:val="0"/>
      <w:divBdr>
        <w:top w:val="none" w:sz="0" w:space="0" w:color="auto"/>
        <w:left w:val="none" w:sz="0" w:space="0" w:color="auto"/>
        <w:bottom w:val="none" w:sz="0" w:space="0" w:color="auto"/>
        <w:right w:val="none" w:sz="0" w:space="0" w:color="auto"/>
      </w:divBdr>
    </w:div>
    <w:div w:id="112210548">
      <w:bodyDiv w:val="1"/>
      <w:marLeft w:val="0"/>
      <w:marRight w:val="0"/>
      <w:marTop w:val="0"/>
      <w:marBottom w:val="0"/>
      <w:divBdr>
        <w:top w:val="none" w:sz="0" w:space="0" w:color="auto"/>
        <w:left w:val="none" w:sz="0" w:space="0" w:color="auto"/>
        <w:bottom w:val="none" w:sz="0" w:space="0" w:color="auto"/>
        <w:right w:val="none" w:sz="0" w:space="0" w:color="auto"/>
      </w:divBdr>
    </w:div>
    <w:div w:id="173498130">
      <w:bodyDiv w:val="1"/>
      <w:marLeft w:val="0"/>
      <w:marRight w:val="0"/>
      <w:marTop w:val="0"/>
      <w:marBottom w:val="0"/>
      <w:divBdr>
        <w:top w:val="none" w:sz="0" w:space="0" w:color="auto"/>
        <w:left w:val="none" w:sz="0" w:space="0" w:color="auto"/>
        <w:bottom w:val="none" w:sz="0" w:space="0" w:color="auto"/>
        <w:right w:val="none" w:sz="0" w:space="0" w:color="auto"/>
      </w:divBdr>
    </w:div>
    <w:div w:id="267155394">
      <w:bodyDiv w:val="1"/>
      <w:marLeft w:val="0"/>
      <w:marRight w:val="0"/>
      <w:marTop w:val="0"/>
      <w:marBottom w:val="0"/>
      <w:divBdr>
        <w:top w:val="none" w:sz="0" w:space="0" w:color="auto"/>
        <w:left w:val="none" w:sz="0" w:space="0" w:color="auto"/>
        <w:bottom w:val="none" w:sz="0" w:space="0" w:color="auto"/>
        <w:right w:val="none" w:sz="0" w:space="0" w:color="auto"/>
      </w:divBdr>
    </w:div>
    <w:div w:id="275255333">
      <w:bodyDiv w:val="1"/>
      <w:marLeft w:val="0"/>
      <w:marRight w:val="0"/>
      <w:marTop w:val="0"/>
      <w:marBottom w:val="0"/>
      <w:divBdr>
        <w:top w:val="none" w:sz="0" w:space="0" w:color="auto"/>
        <w:left w:val="none" w:sz="0" w:space="0" w:color="auto"/>
        <w:bottom w:val="none" w:sz="0" w:space="0" w:color="auto"/>
        <w:right w:val="none" w:sz="0" w:space="0" w:color="auto"/>
      </w:divBdr>
    </w:div>
    <w:div w:id="357002482">
      <w:bodyDiv w:val="1"/>
      <w:marLeft w:val="0"/>
      <w:marRight w:val="0"/>
      <w:marTop w:val="0"/>
      <w:marBottom w:val="0"/>
      <w:divBdr>
        <w:top w:val="none" w:sz="0" w:space="0" w:color="auto"/>
        <w:left w:val="none" w:sz="0" w:space="0" w:color="auto"/>
        <w:bottom w:val="none" w:sz="0" w:space="0" w:color="auto"/>
        <w:right w:val="none" w:sz="0" w:space="0" w:color="auto"/>
      </w:divBdr>
    </w:div>
    <w:div w:id="363334222">
      <w:bodyDiv w:val="1"/>
      <w:marLeft w:val="0"/>
      <w:marRight w:val="0"/>
      <w:marTop w:val="0"/>
      <w:marBottom w:val="0"/>
      <w:divBdr>
        <w:top w:val="none" w:sz="0" w:space="0" w:color="auto"/>
        <w:left w:val="none" w:sz="0" w:space="0" w:color="auto"/>
        <w:bottom w:val="none" w:sz="0" w:space="0" w:color="auto"/>
        <w:right w:val="none" w:sz="0" w:space="0" w:color="auto"/>
      </w:divBdr>
    </w:div>
    <w:div w:id="365981840">
      <w:bodyDiv w:val="1"/>
      <w:marLeft w:val="0"/>
      <w:marRight w:val="0"/>
      <w:marTop w:val="0"/>
      <w:marBottom w:val="0"/>
      <w:divBdr>
        <w:top w:val="none" w:sz="0" w:space="0" w:color="auto"/>
        <w:left w:val="none" w:sz="0" w:space="0" w:color="auto"/>
        <w:bottom w:val="none" w:sz="0" w:space="0" w:color="auto"/>
        <w:right w:val="none" w:sz="0" w:space="0" w:color="auto"/>
      </w:divBdr>
    </w:div>
    <w:div w:id="412704567">
      <w:bodyDiv w:val="1"/>
      <w:marLeft w:val="0"/>
      <w:marRight w:val="0"/>
      <w:marTop w:val="0"/>
      <w:marBottom w:val="0"/>
      <w:divBdr>
        <w:top w:val="none" w:sz="0" w:space="0" w:color="auto"/>
        <w:left w:val="none" w:sz="0" w:space="0" w:color="auto"/>
        <w:bottom w:val="none" w:sz="0" w:space="0" w:color="auto"/>
        <w:right w:val="none" w:sz="0" w:space="0" w:color="auto"/>
      </w:divBdr>
    </w:div>
    <w:div w:id="438329655">
      <w:bodyDiv w:val="1"/>
      <w:marLeft w:val="0"/>
      <w:marRight w:val="0"/>
      <w:marTop w:val="0"/>
      <w:marBottom w:val="0"/>
      <w:divBdr>
        <w:top w:val="none" w:sz="0" w:space="0" w:color="auto"/>
        <w:left w:val="none" w:sz="0" w:space="0" w:color="auto"/>
        <w:bottom w:val="none" w:sz="0" w:space="0" w:color="auto"/>
        <w:right w:val="none" w:sz="0" w:space="0" w:color="auto"/>
      </w:divBdr>
    </w:div>
    <w:div w:id="455953597">
      <w:bodyDiv w:val="1"/>
      <w:marLeft w:val="0"/>
      <w:marRight w:val="0"/>
      <w:marTop w:val="0"/>
      <w:marBottom w:val="0"/>
      <w:divBdr>
        <w:top w:val="none" w:sz="0" w:space="0" w:color="auto"/>
        <w:left w:val="none" w:sz="0" w:space="0" w:color="auto"/>
        <w:bottom w:val="none" w:sz="0" w:space="0" w:color="auto"/>
        <w:right w:val="none" w:sz="0" w:space="0" w:color="auto"/>
      </w:divBdr>
    </w:div>
    <w:div w:id="502744824">
      <w:bodyDiv w:val="1"/>
      <w:marLeft w:val="0"/>
      <w:marRight w:val="0"/>
      <w:marTop w:val="0"/>
      <w:marBottom w:val="0"/>
      <w:divBdr>
        <w:top w:val="none" w:sz="0" w:space="0" w:color="auto"/>
        <w:left w:val="none" w:sz="0" w:space="0" w:color="auto"/>
        <w:bottom w:val="none" w:sz="0" w:space="0" w:color="auto"/>
        <w:right w:val="none" w:sz="0" w:space="0" w:color="auto"/>
      </w:divBdr>
    </w:div>
    <w:div w:id="508837451">
      <w:bodyDiv w:val="1"/>
      <w:marLeft w:val="0"/>
      <w:marRight w:val="0"/>
      <w:marTop w:val="0"/>
      <w:marBottom w:val="0"/>
      <w:divBdr>
        <w:top w:val="none" w:sz="0" w:space="0" w:color="auto"/>
        <w:left w:val="none" w:sz="0" w:space="0" w:color="auto"/>
        <w:bottom w:val="none" w:sz="0" w:space="0" w:color="auto"/>
        <w:right w:val="none" w:sz="0" w:space="0" w:color="auto"/>
      </w:divBdr>
    </w:div>
    <w:div w:id="511727402">
      <w:bodyDiv w:val="1"/>
      <w:marLeft w:val="0"/>
      <w:marRight w:val="0"/>
      <w:marTop w:val="0"/>
      <w:marBottom w:val="0"/>
      <w:divBdr>
        <w:top w:val="none" w:sz="0" w:space="0" w:color="auto"/>
        <w:left w:val="none" w:sz="0" w:space="0" w:color="auto"/>
        <w:bottom w:val="none" w:sz="0" w:space="0" w:color="auto"/>
        <w:right w:val="none" w:sz="0" w:space="0" w:color="auto"/>
      </w:divBdr>
    </w:div>
    <w:div w:id="543178031">
      <w:bodyDiv w:val="1"/>
      <w:marLeft w:val="0"/>
      <w:marRight w:val="0"/>
      <w:marTop w:val="0"/>
      <w:marBottom w:val="0"/>
      <w:divBdr>
        <w:top w:val="none" w:sz="0" w:space="0" w:color="auto"/>
        <w:left w:val="none" w:sz="0" w:space="0" w:color="auto"/>
        <w:bottom w:val="none" w:sz="0" w:space="0" w:color="auto"/>
        <w:right w:val="none" w:sz="0" w:space="0" w:color="auto"/>
      </w:divBdr>
      <w:divsChild>
        <w:div w:id="689795827">
          <w:marLeft w:val="0"/>
          <w:marRight w:val="0"/>
          <w:marTop w:val="0"/>
          <w:marBottom w:val="0"/>
          <w:divBdr>
            <w:top w:val="none" w:sz="0" w:space="0" w:color="auto"/>
            <w:left w:val="none" w:sz="0" w:space="0" w:color="auto"/>
            <w:bottom w:val="none" w:sz="0" w:space="0" w:color="auto"/>
            <w:right w:val="none" w:sz="0" w:space="0" w:color="auto"/>
          </w:divBdr>
        </w:div>
        <w:div w:id="309868033">
          <w:marLeft w:val="0"/>
          <w:marRight w:val="0"/>
          <w:marTop w:val="0"/>
          <w:marBottom w:val="0"/>
          <w:divBdr>
            <w:top w:val="none" w:sz="0" w:space="0" w:color="auto"/>
            <w:left w:val="none" w:sz="0" w:space="0" w:color="auto"/>
            <w:bottom w:val="none" w:sz="0" w:space="0" w:color="auto"/>
            <w:right w:val="none" w:sz="0" w:space="0" w:color="auto"/>
          </w:divBdr>
          <w:divsChild>
            <w:div w:id="1403329248">
              <w:marLeft w:val="0"/>
              <w:marRight w:val="0"/>
              <w:marTop w:val="0"/>
              <w:marBottom w:val="0"/>
              <w:divBdr>
                <w:top w:val="none" w:sz="0" w:space="0" w:color="auto"/>
                <w:left w:val="none" w:sz="0" w:space="0" w:color="auto"/>
                <w:bottom w:val="none" w:sz="0" w:space="0" w:color="auto"/>
                <w:right w:val="none" w:sz="0" w:space="0" w:color="auto"/>
              </w:divBdr>
              <w:divsChild>
                <w:div w:id="20507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7970">
          <w:marLeft w:val="0"/>
          <w:marRight w:val="0"/>
          <w:marTop w:val="0"/>
          <w:marBottom w:val="0"/>
          <w:divBdr>
            <w:top w:val="none" w:sz="0" w:space="0" w:color="auto"/>
            <w:left w:val="none" w:sz="0" w:space="0" w:color="auto"/>
            <w:bottom w:val="none" w:sz="0" w:space="0" w:color="auto"/>
            <w:right w:val="none" w:sz="0" w:space="0" w:color="auto"/>
          </w:divBdr>
        </w:div>
      </w:divsChild>
    </w:div>
    <w:div w:id="559289068">
      <w:bodyDiv w:val="1"/>
      <w:marLeft w:val="0"/>
      <w:marRight w:val="0"/>
      <w:marTop w:val="0"/>
      <w:marBottom w:val="0"/>
      <w:divBdr>
        <w:top w:val="none" w:sz="0" w:space="0" w:color="auto"/>
        <w:left w:val="none" w:sz="0" w:space="0" w:color="auto"/>
        <w:bottom w:val="none" w:sz="0" w:space="0" w:color="auto"/>
        <w:right w:val="none" w:sz="0" w:space="0" w:color="auto"/>
      </w:divBdr>
    </w:div>
    <w:div w:id="578946457">
      <w:bodyDiv w:val="1"/>
      <w:marLeft w:val="0"/>
      <w:marRight w:val="0"/>
      <w:marTop w:val="0"/>
      <w:marBottom w:val="0"/>
      <w:divBdr>
        <w:top w:val="none" w:sz="0" w:space="0" w:color="auto"/>
        <w:left w:val="none" w:sz="0" w:space="0" w:color="auto"/>
        <w:bottom w:val="none" w:sz="0" w:space="0" w:color="auto"/>
        <w:right w:val="none" w:sz="0" w:space="0" w:color="auto"/>
      </w:divBdr>
      <w:divsChild>
        <w:div w:id="184683131">
          <w:marLeft w:val="0"/>
          <w:marRight w:val="0"/>
          <w:marTop w:val="0"/>
          <w:marBottom w:val="0"/>
          <w:divBdr>
            <w:top w:val="none" w:sz="0" w:space="0" w:color="auto"/>
            <w:left w:val="none" w:sz="0" w:space="0" w:color="auto"/>
            <w:bottom w:val="none" w:sz="0" w:space="0" w:color="auto"/>
            <w:right w:val="none" w:sz="0" w:space="0" w:color="auto"/>
          </w:divBdr>
          <w:divsChild>
            <w:div w:id="1935892263">
              <w:marLeft w:val="0"/>
              <w:marRight w:val="0"/>
              <w:marTop w:val="100"/>
              <w:marBottom w:val="100"/>
              <w:divBdr>
                <w:top w:val="none" w:sz="0" w:space="0" w:color="auto"/>
                <w:left w:val="none" w:sz="0" w:space="0" w:color="auto"/>
                <w:bottom w:val="none" w:sz="0" w:space="0" w:color="auto"/>
                <w:right w:val="none" w:sz="0" w:space="0" w:color="auto"/>
              </w:divBdr>
              <w:divsChild>
                <w:div w:id="1090930349">
                  <w:marLeft w:val="0"/>
                  <w:marRight w:val="0"/>
                  <w:marTop w:val="0"/>
                  <w:marBottom w:val="0"/>
                  <w:divBdr>
                    <w:top w:val="none" w:sz="0" w:space="0" w:color="auto"/>
                    <w:left w:val="none" w:sz="0" w:space="0" w:color="auto"/>
                    <w:bottom w:val="none" w:sz="0" w:space="0" w:color="auto"/>
                    <w:right w:val="none" w:sz="0" w:space="0" w:color="auto"/>
                  </w:divBdr>
                  <w:divsChild>
                    <w:div w:id="11731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43149">
      <w:bodyDiv w:val="1"/>
      <w:marLeft w:val="0"/>
      <w:marRight w:val="0"/>
      <w:marTop w:val="0"/>
      <w:marBottom w:val="0"/>
      <w:divBdr>
        <w:top w:val="none" w:sz="0" w:space="0" w:color="auto"/>
        <w:left w:val="none" w:sz="0" w:space="0" w:color="auto"/>
        <w:bottom w:val="none" w:sz="0" w:space="0" w:color="auto"/>
        <w:right w:val="none" w:sz="0" w:space="0" w:color="auto"/>
      </w:divBdr>
    </w:div>
    <w:div w:id="605894556">
      <w:bodyDiv w:val="1"/>
      <w:marLeft w:val="0"/>
      <w:marRight w:val="0"/>
      <w:marTop w:val="0"/>
      <w:marBottom w:val="0"/>
      <w:divBdr>
        <w:top w:val="none" w:sz="0" w:space="0" w:color="auto"/>
        <w:left w:val="none" w:sz="0" w:space="0" w:color="auto"/>
        <w:bottom w:val="none" w:sz="0" w:space="0" w:color="auto"/>
        <w:right w:val="none" w:sz="0" w:space="0" w:color="auto"/>
      </w:divBdr>
    </w:div>
    <w:div w:id="609553587">
      <w:bodyDiv w:val="1"/>
      <w:marLeft w:val="0"/>
      <w:marRight w:val="0"/>
      <w:marTop w:val="0"/>
      <w:marBottom w:val="0"/>
      <w:divBdr>
        <w:top w:val="none" w:sz="0" w:space="0" w:color="auto"/>
        <w:left w:val="none" w:sz="0" w:space="0" w:color="auto"/>
        <w:bottom w:val="none" w:sz="0" w:space="0" w:color="auto"/>
        <w:right w:val="none" w:sz="0" w:space="0" w:color="auto"/>
      </w:divBdr>
    </w:div>
    <w:div w:id="648556109">
      <w:bodyDiv w:val="1"/>
      <w:marLeft w:val="0"/>
      <w:marRight w:val="0"/>
      <w:marTop w:val="0"/>
      <w:marBottom w:val="0"/>
      <w:divBdr>
        <w:top w:val="none" w:sz="0" w:space="0" w:color="auto"/>
        <w:left w:val="none" w:sz="0" w:space="0" w:color="auto"/>
        <w:bottom w:val="none" w:sz="0" w:space="0" w:color="auto"/>
        <w:right w:val="none" w:sz="0" w:space="0" w:color="auto"/>
      </w:divBdr>
    </w:div>
    <w:div w:id="653293211">
      <w:bodyDiv w:val="1"/>
      <w:marLeft w:val="0"/>
      <w:marRight w:val="0"/>
      <w:marTop w:val="0"/>
      <w:marBottom w:val="0"/>
      <w:divBdr>
        <w:top w:val="none" w:sz="0" w:space="0" w:color="auto"/>
        <w:left w:val="none" w:sz="0" w:space="0" w:color="auto"/>
        <w:bottom w:val="none" w:sz="0" w:space="0" w:color="auto"/>
        <w:right w:val="none" w:sz="0" w:space="0" w:color="auto"/>
      </w:divBdr>
      <w:divsChild>
        <w:div w:id="840705797">
          <w:marLeft w:val="0"/>
          <w:marRight w:val="0"/>
          <w:marTop w:val="0"/>
          <w:marBottom w:val="0"/>
          <w:divBdr>
            <w:top w:val="none" w:sz="0" w:space="0" w:color="auto"/>
            <w:left w:val="none" w:sz="0" w:space="0" w:color="auto"/>
            <w:bottom w:val="none" w:sz="0" w:space="0" w:color="auto"/>
            <w:right w:val="none" w:sz="0" w:space="0" w:color="auto"/>
          </w:divBdr>
          <w:divsChild>
            <w:div w:id="1208176483">
              <w:marLeft w:val="0"/>
              <w:marRight w:val="0"/>
              <w:marTop w:val="0"/>
              <w:marBottom w:val="0"/>
              <w:divBdr>
                <w:top w:val="none" w:sz="0" w:space="0" w:color="auto"/>
                <w:left w:val="none" w:sz="0" w:space="0" w:color="auto"/>
                <w:bottom w:val="none" w:sz="0" w:space="0" w:color="auto"/>
                <w:right w:val="none" w:sz="0" w:space="0" w:color="auto"/>
              </w:divBdr>
              <w:divsChild>
                <w:div w:id="8576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912">
      <w:bodyDiv w:val="1"/>
      <w:marLeft w:val="0"/>
      <w:marRight w:val="0"/>
      <w:marTop w:val="0"/>
      <w:marBottom w:val="0"/>
      <w:divBdr>
        <w:top w:val="none" w:sz="0" w:space="0" w:color="auto"/>
        <w:left w:val="none" w:sz="0" w:space="0" w:color="auto"/>
        <w:bottom w:val="none" w:sz="0" w:space="0" w:color="auto"/>
        <w:right w:val="none" w:sz="0" w:space="0" w:color="auto"/>
      </w:divBdr>
    </w:div>
    <w:div w:id="701437998">
      <w:bodyDiv w:val="1"/>
      <w:marLeft w:val="0"/>
      <w:marRight w:val="0"/>
      <w:marTop w:val="0"/>
      <w:marBottom w:val="0"/>
      <w:divBdr>
        <w:top w:val="none" w:sz="0" w:space="0" w:color="auto"/>
        <w:left w:val="none" w:sz="0" w:space="0" w:color="auto"/>
        <w:bottom w:val="none" w:sz="0" w:space="0" w:color="auto"/>
        <w:right w:val="none" w:sz="0" w:space="0" w:color="auto"/>
      </w:divBdr>
    </w:div>
    <w:div w:id="746612211">
      <w:bodyDiv w:val="1"/>
      <w:marLeft w:val="0"/>
      <w:marRight w:val="0"/>
      <w:marTop w:val="0"/>
      <w:marBottom w:val="0"/>
      <w:divBdr>
        <w:top w:val="none" w:sz="0" w:space="0" w:color="auto"/>
        <w:left w:val="none" w:sz="0" w:space="0" w:color="auto"/>
        <w:bottom w:val="none" w:sz="0" w:space="0" w:color="auto"/>
        <w:right w:val="none" w:sz="0" w:space="0" w:color="auto"/>
      </w:divBdr>
      <w:divsChild>
        <w:div w:id="11954783">
          <w:marLeft w:val="0"/>
          <w:marRight w:val="0"/>
          <w:marTop w:val="0"/>
          <w:marBottom w:val="0"/>
          <w:divBdr>
            <w:top w:val="none" w:sz="0" w:space="0" w:color="auto"/>
            <w:left w:val="none" w:sz="0" w:space="0" w:color="auto"/>
            <w:bottom w:val="none" w:sz="0" w:space="0" w:color="auto"/>
            <w:right w:val="none" w:sz="0" w:space="0" w:color="auto"/>
          </w:divBdr>
        </w:div>
        <w:div w:id="1938707643">
          <w:marLeft w:val="0"/>
          <w:marRight w:val="0"/>
          <w:marTop w:val="0"/>
          <w:marBottom w:val="0"/>
          <w:divBdr>
            <w:top w:val="none" w:sz="0" w:space="0" w:color="auto"/>
            <w:left w:val="none" w:sz="0" w:space="0" w:color="auto"/>
            <w:bottom w:val="none" w:sz="0" w:space="0" w:color="auto"/>
            <w:right w:val="none" w:sz="0" w:space="0" w:color="auto"/>
          </w:divBdr>
        </w:div>
      </w:divsChild>
    </w:div>
    <w:div w:id="761994213">
      <w:bodyDiv w:val="1"/>
      <w:marLeft w:val="0"/>
      <w:marRight w:val="0"/>
      <w:marTop w:val="0"/>
      <w:marBottom w:val="0"/>
      <w:divBdr>
        <w:top w:val="none" w:sz="0" w:space="0" w:color="auto"/>
        <w:left w:val="none" w:sz="0" w:space="0" w:color="auto"/>
        <w:bottom w:val="none" w:sz="0" w:space="0" w:color="auto"/>
        <w:right w:val="none" w:sz="0" w:space="0" w:color="auto"/>
      </w:divBdr>
      <w:divsChild>
        <w:div w:id="95250060">
          <w:marLeft w:val="0"/>
          <w:marRight w:val="0"/>
          <w:marTop w:val="0"/>
          <w:marBottom w:val="0"/>
          <w:divBdr>
            <w:top w:val="none" w:sz="0" w:space="0" w:color="auto"/>
            <w:left w:val="none" w:sz="0" w:space="0" w:color="auto"/>
            <w:bottom w:val="none" w:sz="0" w:space="0" w:color="auto"/>
            <w:right w:val="none" w:sz="0" w:space="0" w:color="auto"/>
          </w:divBdr>
          <w:divsChild>
            <w:div w:id="438990723">
              <w:marLeft w:val="0"/>
              <w:marRight w:val="0"/>
              <w:marTop w:val="100"/>
              <w:marBottom w:val="100"/>
              <w:divBdr>
                <w:top w:val="none" w:sz="0" w:space="0" w:color="auto"/>
                <w:left w:val="none" w:sz="0" w:space="0" w:color="auto"/>
                <w:bottom w:val="none" w:sz="0" w:space="0" w:color="auto"/>
                <w:right w:val="none" w:sz="0" w:space="0" w:color="auto"/>
              </w:divBdr>
              <w:divsChild>
                <w:div w:id="1187252025">
                  <w:marLeft w:val="0"/>
                  <w:marRight w:val="0"/>
                  <w:marTop w:val="0"/>
                  <w:marBottom w:val="0"/>
                  <w:divBdr>
                    <w:top w:val="none" w:sz="0" w:space="0" w:color="auto"/>
                    <w:left w:val="none" w:sz="0" w:space="0" w:color="auto"/>
                    <w:bottom w:val="none" w:sz="0" w:space="0" w:color="auto"/>
                    <w:right w:val="none" w:sz="0" w:space="0" w:color="auto"/>
                  </w:divBdr>
                  <w:divsChild>
                    <w:div w:id="1220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3092">
      <w:bodyDiv w:val="1"/>
      <w:marLeft w:val="0"/>
      <w:marRight w:val="0"/>
      <w:marTop w:val="0"/>
      <w:marBottom w:val="0"/>
      <w:divBdr>
        <w:top w:val="none" w:sz="0" w:space="0" w:color="auto"/>
        <w:left w:val="none" w:sz="0" w:space="0" w:color="auto"/>
        <w:bottom w:val="none" w:sz="0" w:space="0" w:color="auto"/>
        <w:right w:val="none" w:sz="0" w:space="0" w:color="auto"/>
      </w:divBdr>
    </w:div>
    <w:div w:id="780759327">
      <w:bodyDiv w:val="1"/>
      <w:marLeft w:val="0"/>
      <w:marRight w:val="0"/>
      <w:marTop w:val="0"/>
      <w:marBottom w:val="0"/>
      <w:divBdr>
        <w:top w:val="none" w:sz="0" w:space="0" w:color="auto"/>
        <w:left w:val="none" w:sz="0" w:space="0" w:color="auto"/>
        <w:bottom w:val="none" w:sz="0" w:space="0" w:color="auto"/>
        <w:right w:val="none" w:sz="0" w:space="0" w:color="auto"/>
      </w:divBdr>
    </w:div>
    <w:div w:id="801921420">
      <w:bodyDiv w:val="1"/>
      <w:marLeft w:val="0"/>
      <w:marRight w:val="0"/>
      <w:marTop w:val="0"/>
      <w:marBottom w:val="0"/>
      <w:divBdr>
        <w:top w:val="none" w:sz="0" w:space="0" w:color="auto"/>
        <w:left w:val="none" w:sz="0" w:space="0" w:color="auto"/>
        <w:bottom w:val="none" w:sz="0" w:space="0" w:color="auto"/>
        <w:right w:val="none" w:sz="0" w:space="0" w:color="auto"/>
      </w:divBdr>
    </w:div>
    <w:div w:id="808745759">
      <w:bodyDiv w:val="1"/>
      <w:marLeft w:val="0"/>
      <w:marRight w:val="0"/>
      <w:marTop w:val="0"/>
      <w:marBottom w:val="0"/>
      <w:divBdr>
        <w:top w:val="none" w:sz="0" w:space="0" w:color="auto"/>
        <w:left w:val="none" w:sz="0" w:space="0" w:color="auto"/>
        <w:bottom w:val="none" w:sz="0" w:space="0" w:color="auto"/>
        <w:right w:val="none" w:sz="0" w:space="0" w:color="auto"/>
      </w:divBdr>
    </w:div>
    <w:div w:id="810101292">
      <w:bodyDiv w:val="1"/>
      <w:marLeft w:val="0"/>
      <w:marRight w:val="0"/>
      <w:marTop w:val="0"/>
      <w:marBottom w:val="0"/>
      <w:divBdr>
        <w:top w:val="none" w:sz="0" w:space="0" w:color="auto"/>
        <w:left w:val="none" w:sz="0" w:space="0" w:color="auto"/>
        <w:bottom w:val="none" w:sz="0" w:space="0" w:color="auto"/>
        <w:right w:val="none" w:sz="0" w:space="0" w:color="auto"/>
      </w:divBdr>
    </w:div>
    <w:div w:id="817654039">
      <w:bodyDiv w:val="1"/>
      <w:marLeft w:val="0"/>
      <w:marRight w:val="0"/>
      <w:marTop w:val="0"/>
      <w:marBottom w:val="0"/>
      <w:divBdr>
        <w:top w:val="none" w:sz="0" w:space="0" w:color="auto"/>
        <w:left w:val="none" w:sz="0" w:space="0" w:color="auto"/>
        <w:bottom w:val="none" w:sz="0" w:space="0" w:color="auto"/>
        <w:right w:val="none" w:sz="0" w:space="0" w:color="auto"/>
      </w:divBdr>
    </w:div>
    <w:div w:id="817769013">
      <w:bodyDiv w:val="1"/>
      <w:marLeft w:val="0"/>
      <w:marRight w:val="0"/>
      <w:marTop w:val="0"/>
      <w:marBottom w:val="0"/>
      <w:divBdr>
        <w:top w:val="none" w:sz="0" w:space="0" w:color="auto"/>
        <w:left w:val="none" w:sz="0" w:space="0" w:color="auto"/>
        <w:bottom w:val="none" w:sz="0" w:space="0" w:color="auto"/>
        <w:right w:val="none" w:sz="0" w:space="0" w:color="auto"/>
      </w:divBdr>
    </w:div>
    <w:div w:id="871916232">
      <w:bodyDiv w:val="1"/>
      <w:marLeft w:val="0"/>
      <w:marRight w:val="0"/>
      <w:marTop w:val="0"/>
      <w:marBottom w:val="0"/>
      <w:divBdr>
        <w:top w:val="none" w:sz="0" w:space="0" w:color="auto"/>
        <w:left w:val="none" w:sz="0" w:space="0" w:color="auto"/>
        <w:bottom w:val="none" w:sz="0" w:space="0" w:color="auto"/>
        <w:right w:val="none" w:sz="0" w:space="0" w:color="auto"/>
      </w:divBdr>
    </w:div>
    <w:div w:id="909854068">
      <w:bodyDiv w:val="1"/>
      <w:marLeft w:val="0"/>
      <w:marRight w:val="0"/>
      <w:marTop w:val="0"/>
      <w:marBottom w:val="0"/>
      <w:divBdr>
        <w:top w:val="none" w:sz="0" w:space="0" w:color="auto"/>
        <w:left w:val="none" w:sz="0" w:space="0" w:color="auto"/>
        <w:bottom w:val="none" w:sz="0" w:space="0" w:color="auto"/>
        <w:right w:val="none" w:sz="0" w:space="0" w:color="auto"/>
      </w:divBdr>
    </w:div>
    <w:div w:id="931429615">
      <w:bodyDiv w:val="1"/>
      <w:marLeft w:val="0"/>
      <w:marRight w:val="0"/>
      <w:marTop w:val="0"/>
      <w:marBottom w:val="0"/>
      <w:divBdr>
        <w:top w:val="none" w:sz="0" w:space="0" w:color="auto"/>
        <w:left w:val="none" w:sz="0" w:space="0" w:color="auto"/>
        <w:bottom w:val="none" w:sz="0" w:space="0" w:color="auto"/>
        <w:right w:val="none" w:sz="0" w:space="0" w:color="auto"/>
      </w:divBdr>
    </w:div>
    <w:div w:id="936792166">
      <w:bodyDiv w:val="1"/>
      <w:marLeft w:val="0"/>
      <w:marRight w:val="0"/>
      <w:marTop w:val="0"/>
      <w:marBottom w:val="0"/>
      <w:divBdr>
        <w:top w:val="none" w:sz="0" w:space="0" w:color="auto"/>
        <w:left w:val="none" w:sz="0" w:space="0" w:color="auto"/>
        <w:bottom w:val="none" w:sz="0" w:space="0" w:color="auto"/>
        <w:right w:val="none" w:sz="0" w:space="0" w:color="auto"/>
      </w:divBdr>
    </w:div>
    <w:div w:id="958757912">
      <w:bodyDiv w:val="1"/>
      <w:marLeft w:val="0"/>
      <w:marRight w:val="0"/>
      <w:marTop w:val="0"/>
      <w:marBottom w:val="0"/>
      <w:divBdr>
        <w:top w:val="none" w:sz="0" w:space="0" w:color="auto"/>
        <w:left w:val="none" w:sz="0" w:space="0" w:color="auto"/>
        <w:bottom w:val="none" w:sz="0" w:space="0" w:color="auto"/>
        <w:right w:val="none" w:sz="0" w:space="0" w:color="auto"/>
      </w:divBdr>
    </w:div>
    <w:div w:id="962536330">
      <w:bodyDiv w:val="1"/>
      <w:marLeft w:val="0"/>
      <w:marRight w:val="0"/>
      <w:marTop w:val="0"/>
      <w:marBottom w:val="0"/>
      <w:divBdr>
        <w:top w:val="none" w:sz="0" w:space="0" w:color="auto"/>
        <w:left w:val="none" w:sz="0" w:space="0" w:color="auto"/>
        <w:bottom w:val="none" w:sz="0" w:space="0" w:color="auto"/>
        <w:right w:val="none" w:sz="0" w:space="0" w:color="auto"/>
      </w:divBdr>
    </w:div>
    <w:div w:id="969940436">
      <w:bodyDiv w:val="1"/>
      <w:marLeft w:val="0"/>
      <w:marRight w:val="0"/>
      <w:marTop w:val="0"/>
      <w:marBottom w:val="0"/>
      <w:divBdr>
        <w:top w:val="none" w:sz="0" w:space="0" w:color="auto"/>
        <w:left w:val="none" w:sz="0" w:space="0" w:color="auto"/>
        <w:bottom w:val="none" w:sz="0" w:space="0" w:color="auto"/>
        <w:right w:val="none" w:sz="0" w:space="0" w:color="auto"/>
      </w:divBdr>
    </w:div>
    <w:div w:id="975836240">
      <w:bodyDiv w:val="1"/>
      <w:marLeft w:val="0"/>
      <w:marRight w:val="0"/>
      <w:marTop w:val="0"/>
      <w:marBottom w:val="0"/>
      <w:divBdr>
        <w:top w:val="none" w:sz="0" w:space="0" w:color="auto"/>
        <w:left w:val="none" w:sz="0" w:space="0" w:color="auto"/>
        <w:bottom w:val="none" w:sz="0" w:space="0" w:color="auto"/>
        <w:right w:val="none" w:sz="0" w:space="0" w:color="auto"/>
      </w:divBdr>
    </w:div>
    <w:div w:id="1000692928">
      <w:bodyDiv w:val="1"/>
      <w:marLeft w:val="0"/>
      <w:marRight w:val="0"/>
      <w:marTop w:val="0"/>
      <w:marBottom w:val="0"/>
      <w:divBdr>
        <w:top w:val="none" w:sz="0" w:space="0" w:color="auto"/>
        <w:left w:val="none" w:sz="0" w:space="0" w:color="auto"/>
        <w:bottom w:val="none" w:sz="0" w:space="0" w:color="auto"/>
        <w:right w:val="none" w:sz="0" w:space="0" w:color="auto"/>
      </w:divBdr>
      <w:divsChild>
        <w:div w:id="899245361">
          <w:marLeft w:val="0"/>
          <w:marRight w:val="0"/>
          <w:marTop w:val="0"/>
          <w:marBottom w:val="0"/>
          <w:divBdr>
            <w:top w:val="none" w:sz="0" w:space="0" w:color="auto"/>
            <w:left w:val="none" w:sz="0" w:space="0" w:color="auto"/>
            <w:bottom w:val="none" w:sz="0" w:space="0" w:color="auto"/>
            <w:right w:val="none" w:sz="0" w:space="0" w:color="auto"/>
          </w:divBdr>
        </w:div>
      </w:divsChild>
    </w:div>
    <w:div w:id="1009989860">
      <w:bodyDiv w:val="1"/>
      <w:marLeft w:val="0"/>
      <w:marRight w:val="0"/>
      <w:marTop w:val="0"/>
      <w:marBottom w:val="0"/>
      <w:divBdr>
        <w:top w:val="none" w:sz="0" w:space="0" w:color="auto"/>
        <w:left w:val="none" w:sz="0" w:space="0" w:color="auto"/>
        <w:bottom w:val="none" w:sz="0" w:space="0" w:color="auto"/>
        <w:right w:val="none" w:sz="0" w:space="0" w:color="auto"/>
      </w:divBdr>
    </w:div>
    <w:div w:id="1040981209">
      <w:bodyDiv w:val="1"/>
      <w:marLeft w:val="0"/>
      <w:marRight w:val="0"/>
      <w:marTop w:val="0"/>
      <w:marBottom w:val="0"/>
      <w:divBdr>
        <w:top w:val="none" w:sz="0" w:space="0" w:color="auto"/>
        <w:left w:val="none" w:sz="0" w:space="0" w:color="auto"/>
        <w:bottom w:val="none" w:sz="0" w:space="0" w:color="auto"/>
        <w:right w:val="none" w:sz="0" w:space="0" w:color="auto"/>
      </w:divBdr>
    </w:div>
    <w:div w:id="1055740088">
      <w:bodyDiv w:val="1"/>
      <w:marLeft w:val="0"/>
      <w:marRight w:val="0"/>
      <w:marTop w:val="0"/>
      <w:marBottom w:val="0"/>
      <w:divBdr>
        <w:top w:val="none" w:sz="0" w:space="0" w:color="auto"/>
        <w:left w:val="none" w:sz="0" w:space="0" w:color="auto"/>
        <w:bottom w:val="none" w:sz="0" w:space="0" w:color="auto"/>
        <w:right w:val="none" w:sz="0" w:space="0" w:color="auto"/>
      </w:divBdr>
    </w:div>
    <w:div w:id="1067651315">
      <w:bodyDiv w:val="1"/>
      <w:marLeft w:val="0"/>
      <w:marRight w:val="0"/>
      <w:marTop w:val="0"/>
      <w:marBottom w:val="0"/>
      <w:divBdr>
        <w:top w:val="none" w:sz="0" w:space="0" w:color="auto"/>
        <w:left w:val="none" w:sz="0" w:space="0" w:color="auto"/>
        <w:bottom w:val="none" w:sz="0" w:space="0" w:color="auto"/>
        <w:right w:val="none" w:sz="0" w:space="0" w:color="auto"/>
      </w:divBdr>
    </w:div>
    <w:div w:id="1097286418">
      <w:bodyDiv w:val="1"/>
      <w:marLeft w:val="0"/>
      <w:marRight w:val="0"/>
      <w:marTop w:val="0"/>
      <w:marBottom w:val="0"/>
      <w:divBdr>
        <w:top w:val="none" w:sz="0" w:space="0" w:color="auto"/>
        <w:left w:val="none" w:sz="0" w:space="0" w:color="auto"/>
        <w:bottom w:val="none" w:sz="0" w:space="0" w:color="auto"/>
        <w:right w:val="none" w:sz="0" w:space="0" w:color="auto"/>
      </w:divBdr>
    </w:div>
    <w:div w:id="1132554228">
      <w:bodyDiv w:val="1"/>
      <w:marLeft w:val="0"/>
      <w:marRight w:val="0"/>
      <w:marTop w:val="0"/>
      <w:marBottom w:val="0"/>
      <w:divBdr>
        <w:top w:val="none" w:sz="0" w:space="0" w:color="auto"/>
        <w:left w:val="none" w:sz="0" w:space="0" w:color="auto"/>
        <w:bottom w:val="none" w:sz="0" w:space="0" w:color="auto"/>
        <w:right w:val="none" w:sz="0" w:space="0" w:color="auto"/>
      </w:divBdr>
      <w:divsChild>
        <w:div w:id="801071980">
          <w:marLeft w:val="0"/>
          <w:marRight w:val="0"/>
          <w:marTop w:val="0"/>
          <w:marBottom w:val="0"/>
          <w:divBdr>
            <w:top w:val="none" w:sz="0" w:space="0" w:color="auto"/>
            <w:left w:val="none" w:sz="0" w:space="0" w:color="auto"/>
            <w:bottom w:val="none" w:sz="0" w:space="0" w:color="auto"/>
            <w:right w:val="none" w:sz="0" w:space="0" w:color="auto"/>
          </w:divBdr>
        </w:div>
      </w:divsChild>
    </w:div>
    <w:div w:id="1171993296">
      <w:bodyDiv w:val="1"/>
      <w:marLeft w:val="0"/>
      <w:marRight w:val="0"/>
      <w:marTop w:val="0"/>
      <w:marBottom w:val="0"/>
      <w:divBdr>
        <w:top w:val="none" w:sz="0" w:space="0" w:color="auto"/>
        <w:left w:val="none" w:sz="0" w:space="0" w:color="auto"/>
        <w:bottom w:val="none" w:sz="0" w:space="0" w:color="auto"/>
        <w:right w:val="none" w:sz="0" w:space="0" w:color="auto"/>
      </w:divBdr>
    </w:div>
    <w:div w:id="1246914380">
      <w:bodyDiv w:val="1"/>
      <w:marLeft w:val="0"/>
      <w:marRight w:val="0"/>
      <w:marTop w:val="0"/>
      <w:marBottom w:val="0"/>
      <w:divBdr>
        <w:top w:val="none" w:sz="0" w:space="0" w:color="auto"/>
        <w:left w:val="none" w:sz="0" w:space="0" w:color="auto"/>
        <w:bottom w:val="none" w:sz="0" w:space="0" w:color="auto"/>
        <w:right w:val="none" w:sz="0" w:space="0" w:color="auto"/>
      </w:divBdr>
    </w:div>
    <w:div w:id="1263799771">
      <w:bodyDiv w:val="1"/>
      <w:marLeft w:val="0"/>
      <w:marRight w:val="0"/>
      <w:marTop w:val="0"/>
      <w:marBottom w:val="0"/>
      <w:divBdr>
        <w:top w:val="none" w:sz="0" w:space="0" w:color="auto"/>
        <w:left w:val="none" w:sz="0" w:space="0" w:color="auto"/>
        <w:bottom w:val="none" w:sz="0" w:space="0" w:color="auto"/>
        <w:right w:val="none" w:sz="0" w:space="0" w:color="auto"/>
      </w:divBdr>
    </w:div>
    <w:div w:id="1268192275">
      <w:bodyDiv w:val="1"/>
      <w:marLeft w:val="0"/>
      <w:marRight w:val="0"/>
      <w:marTop w:val="0"/>
      <w:marBottom w:val="0"/>
      <w:divBdr>
        <w:top w:val="none" w:sz="0" w:space="0" w:color="auto"/>
        <w:left w:val="none" w:sz="0" w:space="0" w:color="auto"/>
        <w:bottom w:val="none" w:sz="0" w:space="0" w:color="auto"/>
        <w:right w:val="none" w:sz="0" w:space="0" w:color="auto"/>
      </w:divBdr>
    </w:div>
    <w:div w:id="1306666150">
      <w:bodyDiv w:val="1"/>
      <w:marLeft w:val="0"/>
      <w:marRight w:val="0"/>
      <w:marTop w:val="0"/>
      <w:marBottom w:val="0"/>
      <w:divBdr>
        <w:top w:val="none" w:sz="0" w:space="0" w:color="auto"/>
        <w:left w:val="none" w:sz="0" w:space="0" w:color="auto"/>
        <w:bottom w:val="none" w:sz="0" w:space="0" w:color="auto"/>
        <w:right w:val="none" w:sz="0" w:space="0" w:color="auto"/>
      </w:divBdr>
      <w:divsChild>
        <w:div w:id="129906127">
          <w:marLeft w:val="0"/>
          <w:marRight w:val="0"/>
          <w:marTop w:val="0"/>
          <w:marBottom w:val="0"/>
          <w:divBdr>
            <w:top w:val="none" w:sz="0" w:space="0" w:color="auto"/>
            <w:left w:val="none" w:sz="0" w:space="0" w:color="auto"/>
            <w:bottom w:val="none" w:sz="0" w:space="0" w:color="auto"/>
            <w:right w:val="none" w:sz="0" w:space="0" w:color="auto"/>
          </w:divBdr>
          <w:divsChild>
            <w:div w:id="893387623">
              <w:marLeft w:val="0"/>
              <w:marRight w:val="0"/>
              <w:marTop w:val="100"/>
              <w:marBottom w:val="100"/>
              <w:divBdr>
                <w:top w:val="none" w:sz="0" w:space="0" w:color="auto"/>
                <w:left w:val="none" w:sz="0" w:space="0" w:color="auto"/>
                <w:bottom w:val="none" w:sz="0" w:space="0" w:color="auto"/>
                <w:right w:val="none" w:sz="0" w:space="0" w:color="auto"/>
              </w:divBdr>
              <w:divsChild>
                <w:div w:id="1737510805">
                  <w:marLeft w:val="0"/>
                  <w:marRight w:val="0"/>
                  <w:marTop w:val="0"/>
                  <w:marBottom w:val="0"/>
                  <w:divBdr>
                    <w:top w:val="none" w:sz="0" w:space="0" w:color="auto"/>
                    <w:left w:val="none" w:sz="0" w:space="0" w:color="auto"/>
                    <w:bottom w:val="none" w:sz="0" w:space="0" w:color="auto"/>
                    <w:right w:val="none" w:sz="0" w:space="0" w:color="auto"/>
                  </w:divBdr>
                  <w:divsChild>
                    <w:div w:id="2088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1291">
      <w:bodyDiv w:val="1"/>
      <w:marLeft w:val="0"/>
      <w:marRight w:val="0"/>
      <w:marTop w:val="0"/>
      <w:marBottom w:val="0"/>
      <w:divBdr>
        <w:top w:val="none" w:sz="0" w:space="0" w:color="auto"/>
        <w:left w:val="none" w:sz="0" w:space="0" w:color="auto"/>
        <w:bottom w:val="none" w:sz="0" w:space="0" w:color="auto"/>
        <w:right w:val="none" w:sz="0" w:space="0" w:color="auto"/>
      </w:divBdr>
    </w:div>
    <w:div w:id="1375428026">
      <w:bodyDiv w:val="1"/>
      <w:marLeft w:val="0"/>
      <w:marRight w:val="0"/>
      <w:marTop w:val="0"/>
      <w:marBottom w:val="0"/>
      <w:divBdr>
        <w:top w:val="none" w:sz="0" w:space="0" w:color="auto"/>
        <w:left w:val="none" w:sz="0" w:space="0" w:color="auto"/>
        <w:bottom w:val="none" w:sz="0" w:space="0" w:color="auto"/>
        <w:right w:val="none" w:sz="0" w:space="0" w:color="auto"/>
      </w:divBdr>
    </w:div>
    <w:div w:id="1408579402">
      <w:bodyDiv w:val="1"/>
      <w:marLeft w:val="0"/>
      <w:marRight w:val="0"/>
      <w:marTop w:val="0"/>
      <w:marBottom w:val="0"/>
      <w:divBdr>
        <w:top w:val="none" w:sz="0" w:space="0" w:color="auto"/>
        <w:left w:val="none" w:sz="0" w:space="0" w:color="auto"/>
        <w:bottom w:val="none" w:sz="0" w:space="0" w:color="auto"/>
        <w:right w:val="none" w:sz="0" w:space="0" w:color="auto"/>
      </w:divBdr>
    </w:div>
    <w:div w:id="1433862718">
      <w:bodyDiv w:val="1"/>
      <w:marLeft w:val="0"/>
      <w:marRight w:val="0"/>
      <w:marTop w:val="0"/>
      <w:marBottom w:val="0"/>
      <w:divBdr>
        <w:top w:val="none" w:sz="0" w:space="0" w:color="auto"/>
        <w:left w:val="none" w:sz="0" w:space="0" w:color="auto"/>
        <w:bottom w:val="none" w:sz="0" w:space="0" w:color="auto"/>
        <w:right w:val="none" w:sz="0" w:space="0" w:color="auto"/>
      </w:divBdr>
    </w:div>
    <w:div w:id="1434352205">
      <w:bodyDiv w:val="1"/>
      <w:marLeft w:val="0"/>
      <w:marRight w:val="0"/>
      <w:marTop w:val="0"/>
      <w:marBottom w:val="0"/>
      <w:divBdr>
        <w:top w:val="none" w:sz="0" w:space="0" w:color="auto"/>
        <w:left w:val="none" w:sz="0" w:space="0" w:color="auto"/>
        <w:bottom w:val="none" w:sz="0" w:space="0" w:color="auto"/>
        <w:right w:val="none" w:sz="0" w:space="0" w:color="auto"/>
      </w:divBdr>
    </w:div>
    <w:div w:id="1446149795">
      <w:bodyDiv w:val="1"/>
      <w:marLeft w:val="0"/>
      <w:marRight w:val="0"/>
      <w:marTop w:val="0"/>
      <w:marBottom w:val="0"/>
      <w:divBdr>
        <w:top w:val="none" w:sz="0" w:space="0" w:color="auto"/>
        <w:left w:val="none" w:sz="0" w:space="0" w:color="auto"/>
        <w:bottom w:val="none" w:sz="0" w:space="0" w:color="auto"/>
        <w:right w:val="none" w:sz="0" w:space="0" w:color="auto"/>
      </w:divBdr>
    </w:div>
    <w:div w:id="1491796894">
      <w:bodyDiv w:val="1"/>
      <w:marLeft w:val="0"/>
      <w:marRight w:val="0"/>
      <w:marTop w:val="0"/>
      <w:marBottom w:val="0"/>
      <w:divBdr>
        <w:top w:val="none" w:sz="0" w:space="0" w:color="auto"/>
        <w:left w:val="none" w:sz="0" w:space="0" w:color="auto"/>
        <w:bottom w:val="none" w:sz="0" w:space="0" w:color="auto"/>
        <w:right w:val="none" w:sz="0" w:space="0" w:color="auto"/>
      </w:divBdr>
    </w:div>
    <w:div w:id="1519808148">
      <w:bodyDiv w:val="1"/>
      <w:marLeft w:val="0"/>
      <w:marRight w:val="0"/>
      <w:marTop w:val="0"/>
      <w:marBottom w:val="0"/>
      <w:divBdr>
        <w:top w:val="none" w:sz="0" w:space="0" w:color="auto"/>
        <w:left w:val="none" w:sz="0" w:space="0" w:color="auto"/>
        <w:bottom w:val="none" w:sz="0" w:space="0" w:color="auto"/>
        <w:right w:val="none" w:sz="0" w:space="0" w:color="auto"/>
      </w:divBdr>
    </w:div>
    <w:div w:id="158105968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03370361">
      <w:bodyDiv w:val="1"/>
      <w:marLeft w:val="0"/>
      <w:marRight w:val="0"/>
      <w:marTop w:val="0"/>
      <w:marBottom w:val="0"/>
      <w:divBdr>
        <w:top w:val="none" w:sz="0" w:space="0" w:color="auto"/>
        <w:left w:val="none" w:sz="0" w:space="0" w:color="auto"/>
        <w:bottom w:val="none" w:sz="0" w:space="0" w:color="auto"/>
        <w:right w:val="none" w:sz="0" w:space="0" w:color="auto"/>
      </w:divBdr>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9479419">
      <w:bodyDiv w:val="1"/>
      <w:marLeft w:val="0"/>
      <w:marRight w:val="0"/>
      <w:marTop w:val="0"/>
      <w:marBottom w:val="0"/>
      <w:divBdr>
        <w:top w:val="none" w:sz="0" w:space="0" w:color="auto"/>
        <w:left w:val="none" w:sz="0" w:space="0" w:color="auto"/>
        <w:bottom w:val="none" w:sz="0" w:space="0" w:color="auto"/>
        <w:right w:val="none" w:sz="0" w:space="0" w:color="auto"/>
      </w:divBdr>
    </w:div>
    <w:div w:id="1654674254">
      <w:bodyDiv w:val="1"/>
      <w:marLeft w:val="0"/>
      <w:marRight w:val="0"/>
      <w:marTop w:val="0"/>
      <w:marBottom w:val="0"/>
      <w:divBdr>
        <w:top w:val="none" w:sz="0" w:space="0" w:color="auto"/>
        <w:left w:val="none" w:sz="0" w:space="0" w:color="auto"/>
        <w:bottom w:val="none" w:sz="0" w:space="0" w:color="auto"/>
        <w:right w:val="none" w:sz="0" w:space="0" w:color="auto"/>
      </w:divBdr>
    </w:div>
    <w:div w:id="1757046667">
      <w:bodyDiv w:val="1"/>
      <w:marLeft w:val="0"/>
      <w:marRight w:val="0"/>
      <w:marTop w:val="0"/>
      <w:marBottom w:val="0"/>
      <w:divBdr>
        <w:top w:val="none" w:sz="0" w:space="0" w:color="auto"/>
        <w:left w:val="none" w:sz="0" w:space="0" w:color="auto"/>
        <w:bottom w:val="none" w:sz="0" w:space="0" w:color="auto"/>
        <w:right w:val="none" w:sz="0" w:space="0" w:color="auto"/>
      </w:divBdr>
    </w:div>
    <w:div w:id="1800108569">
      <w:bodyDiv w:val="1"/>
      <w:marLeft w:val="0"/>
      <w:marRight w:val="0"/>
      <w:marTop w:val="0"/>
      <w:marBottom w:val="0"/>
      <w:divBdr>
        <w:top w:val="none" w:sz="0" w:space="0" w:color="auto"/>
        <w:left w:val="none" w:sz="0" w:space="0" w:color="auto"/>
        <w:bottom w:val="none" w:sz="0" w:space="0" w:color="auto"/>
        <w:right w:val="none" w:sz="0" w:space="0" w:color="auto"/>
      </w:divBdr>
    </w:div>
    <w:div w:id="1823692528">
      <w:bodyDiv w:val="1"/>
      <w:marLeft w:val="0"/>
      <w:marRight w:val="0"/>
      <w:marTop w:val="0"/>
      <w:marBottom w:val="0"/>
      <w:divBdr>
        <w:top w:val="none" w:sz="0" w:space="0" w:color="auto"/>
        <w:left w:val="none" w:sz="0" w:space="0" w:color="auto"/>
        <w:bottom w:val="none" w:sz="0" w:space="0" w:color="auto"/>
        <w:right w:val="none" w:sz="0" w:space="0" w:color="auto"/>
      </w:divBdr>
    </w:div>
    <w:div w:id="1836142391">
      <w:bodyDiv w:val="1"/>
      <w:marLeft w:val="0"/>
      <w:marRight w:val="0"/>
      <w:marTop w:val="0"/>
      <w:marBottom w:val="0"/>
      <w:divBdr>
        <w:top w:val="none" w:sz="0" w:space="0" w:color="auto"/>
        <w:left w:val="none" w:sz="0" w:space="0" w:color="auto"/>
        <w:bottom w:val="none" w:sz="0" w:space="0" w:color="auto"/>
        <w:right w:val="none" w:sz="0" w:space="0" w:color="auto"/>
      </w:divBdr>
    </w:div>
    <w:div w:id="1842617585">
      <w:bodyDiv w:val="1"/>
      <w:marLeft w:val="0"/>
      <w:marRight w:val="0"/>
      <w:marTop w:val="0"/>
      <w:marBottom w:val="0"/>
      <w:divBdr>
        <w:top w:val="none" w:sz="0" w:space="0" w:color="auto"/>
        <w:left w:val="none" w:sz="0" w:space="0" w:color="auto"/>
        <w:bottom w:val="none" w:sz="0" w:space="0" w:color="auto"/>
        <w:right w:val="none" w:sz="0" w:space="0" w:color="auto"/>
      </w:divBdr>
      <w:divsChild>
        <w:div w:id="90007807">
          <w:marLeft w:val="0"/>
          <w:marRight w:val="0"/>
          <w:marTop w:val="0"/>
          <w:marBottom w:val="0"/>
          <w:divBdr>
            <w:top w:val="none" w:sz="0" w:space="0" w:color="auto"/>
            <w:left w:val="none" w:sz="0" w:space="0" w:color="auto"/>
            <w:bottom w:val="none" w:sz="0" w:space="0" w:color="auto"/>
            <w:right w:val="none" w:sz="0" w:space="0" w:color="auto"/>
          </w:divBdr>
          <w:divsChild>
            <w:div w:id="937058253">
              <w:marLeft w:val="0"/>
              <w:marRight w:val="0"/>
              <w:marTop w:val="0"/>
              <w:marBottom w:val="0"/>
              <w:divBdr>
                <w:top w:val="none" w:sz="0" w:space="0" w:color="auto"/>
                <w:left w:val="none" w:sz="0" w:space="0" w:color="auto"/>
                <w:bottom w:val="none" w:sz="0" w:space="0" w:color="auto"/>
                <w:right w:val="none" w:sz="0" w:space="0" w:color="auto"/>
              </w:divBdr>
              <w:divsChild>
                <w:div w:id="1406103103">
                  <w:marLeft w:val="0"/>
                  <w:marRight w:val="0"/>
                  <w:marTop w:val="0"/>
                  <w:marBottom w:val="0"/>
                  <w:divBdr>
                    <w:top w:val="none" w:sz="0" w:space="0" w:color="auto"/>
                    <w:left w:val="none" w:sz="0" w:space="0" w:color="auto"/>
                    <w:bottom w:val="none" w:sz="0" w:space="0" w:color="auto"/>
                    <w:right w:val="none" w:sz="0" w:space="0" w:color="auto"/>
                  </w:divBdr>
                  <w:divsChild>
                    <w:div w:id="599532762">
                      <w:marLeft w:val="0"/>
                      <w:marRight w:val="0"/>
                      <w:marTop w:val="0"/>
                      <w:marBottom w:val="0"/>
                      <w:divBdr>
                        <w:top w:val="none" w:sz="0" w:space="0" w:color="auto"/>
                        <w:left w:val="none" w:sz="0" w:space="0" w:color="auto"/>
                        <w:bottom w:val="none" w:sz="0" w:space="0" w:color="auto"/>
                        <w:right w:val="none" w:sz="0" w:space="0" w:color="auto"/>
                      </w:divBdr>
                      <w:divsChild>
                        <w:div w:id="10865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187">
                  <w:marLeft w:val="0"/>
                  <w:marRight w:val="0"/>
                  <w:marTop w:val="0"/>
                  <w:marBottom w:val="0"/>
                  <w:divBdr>
                    <w:top w:val="none" w:sz="0" w:space="0" w:color="auto"/>
                    <w:left w:val="none" w:sz="0" w:space="0" w:color="auto"/>
                    <w:bottom w:val="none" w:sz="0" w:space="0" w:color="auto"/>
                    <w:right w:val="none" w:sz="0" w:space="0" w:color="auto"/>
                  </w:divBdr>
                  <w:divsChild>
                    <w:div w:id="1900745610">
                      <w:marLeft w:val="0"/>
                      <w:marRight w:val="0"/>
                      <w:marTop w:val="0"/>
                      <w:marBottom w:val="0"/>
                      <w:divBdr>
                        <w:top w:val="none" w:sz="0" w:space="0" w:color="auto"/>
                        <w:left w:val="none" w:sz="0" w:space="0" w:color="auto"/>
                        <w:bottom w:val="none" w:sz="0" w:space="0" w:color="auto"/>
                        <w:right w:val="none" w:sz="0" w:space="0" w:color="auto"/>
                      </w:divBdr>
                      <w:divsChild>
                        <w:div w:id="364255407">
                          <w:marLeft w:val="0"/>
                          <w:marRight w:val="0"/>
                          <w:marTop w:val="0"/>
                          <w:marBottom w:val="0"/>
                          <w:divBdr>
                            <w:top w:val="none" w:sz="0" w:space="0" w:color="auto"/>
                            <w:left w:val="none" w:sz="0" w:space="0" w:color="auto"/>
                            <w:bottom w:val="none" w:sz="0" w:space="0" w:color="auto"/>
                            <w:right w:val="none" w:sz="0" w:space="0" w:color="auto"/>
                          </w:divBdr>
                        </w:div>
                      </w:divsChild>
                    </w:div>
                    <w:div w:id="63648369">
                      <w:marLeft w:val="0"/>
                      <w:marRight w:val="0"/>
                      <w:marTop w:val="0"/>
                      <w:marBottom w:val="0"/>
                      <w:divBdr>
                        <w:top w:val="none" w:sz="0" w:space="0" w:color="auto"/>
                        <w:left w:val="none" w:sz="0" w:space="0" w:color="auto"/>
                        <w:bottom w:val="none" w:sz="0" w:space="0" w:color="auto"/>
                        <w:right w:val="none" w:sz="0" w:space="0" w:color="auto"/>
                      </w:divBdr>
                      <w:divsChild>
                        <w:div w:id="773985401">
                          <w:marLeft w:val="0"/>
                          <w:marRight w:val="0"/>
                          <w:marTop w:val="0"/>
                          <w:marBottom w:val="0"/>
                          <w:divBdr>
                            <w:top w:val="none" w:sz="0" w:space="0" w:color="auto"/>
                            <w:left w:val="none" w:sz="0" w:space="0" w:color="auto"/>
                            <w:bottom w:val="none" w:sz="0" w:space="0" w:color="auto"/>
                            <w:right w:val="none" w:sz="0" w:space="0" w:color="auto"/>
                          </w:divBdr>
                        </w:div>
                      </w:divsChild>
                    </w:div>
                    <w:div w:id="51126318">
                      <w:marLeft w:val="0"/>
                      <w:marRight w:val="0"/>
                      <w:marTop w:val="0"/>
                      <w:marBottom w:val="0"/>
                      <w:divBdr>
                        <w:top w:val="none" w:sz="0" w:space="0" w:color="auto"/>
                        <w:left w:val="none" w:sz="0" w:space="0" w:color="auto"/>
                        <w:bottom w:val="none" w:sz="0" w:space="0" w:color="auto"/>
                        <w:right w:val="none" w:sz="0" w:space="0" w:color="auto"/>
                      </w:divBdr>
                      <w:divsChild>
                        <w:div w:id="905846002">
                          <w:marLeft w:val="0"/>
                          <w:marRight w:val="0"/>
                          <w:marTop w:val="0"/>
                          <w:marBottom w:val="0"/>
                          <w:divBdr>
                            <w:top w:val="none" w:sz="0" w:space="0" w:color="auto"/>
                            <w:left w:val="none" w:sz="0" w:space="0" w:color="auto"/>
                            <w:bottom w:val="none" w:sz="0" w:space="0" w:color="auto"/>
                            <w:right w:val="none" w:sz="0" w:space="0" w:color="auto"/>
                          </w:divBdr>
                        </w:div>
                      </w:divsChild>
                    </w:div>
                    <w:div w:id="1417441658">
                      <w:marLeft w:val="0"/>
                      <w:marRight w:val="0"/>
                      <w:marTop w:val="0"/>
                      <w:marBottom w:val="0"/>
                      <w:divBdr>
                        <w:top w:val="none" w:sz="0" w:space="0" w:color="auto"/>
                        <w:left w:val="none" w:sz="0" w:space="0" w:color="auto"/>
                        <w:bottom w:val="none" w:sz="0" w:space="0" w:color="auto"/>
                        <w:right w:val="none" w:sz="0" w:space="0" w:color="auto"/>
                      </w:divBdr>
                      <w:divsChild>
                        <w:div w:id="652568522">
                          <w:marLeft w:val="0"/>
                          <w:marRight w:val="0"/>
                          <w:marTop w:val="0"/>
                          <w:marBottom w:val="0"/>
                          <w:divBdr>
                            <w:top w:val="none" w:sz="0" w:space="0" w:color="auto"/>
                            <w:left w:val="none" w:sz="0" w:space="0" w:color="auto"/>
                            <w:bottom w:val="none" w:sz="0" w:space="0" w:color="auto"/>
                            <w:right w:val="none" w:sz="0" w:space="0" w:color="auto"/>
                          </w:divBdr>
                        </w:div>
                      </w:divsChild>
                    </w:div>
                    <w:div w:id="836187929">
                      <w:marLeft w:val="0"/>
                      <w:marRight w:val="0"/>
                      <w:marTop w:val="0"/>
                      <w:marBottom w:val="0"/>
                      <w:divBdr>
                        <w:top w:val="none" w:sz="0" w:space="0" w:color="auto"/>
                        <w:left w:val="none" w:sz="0" w:space="0" w:color="auto"/>
                        <w:bottom w:val="none" w:sz="0" w:space="0" w:color="auto"/>
                        <w:right w:val="none" w:sz="0" w:space="0" w:color="auto"/>
                      </w:divBdr>
                      <w:divsChild>
                        <w:div w:id="2816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047">
                  <w:marLeft w:val="0"/>
                  <w:marRight w:val="0"/>
                  <w:marTop w:val="0"/>
                  <w:marBottom w:val="0"/>
                  <w:divBdr>
                    <w:top w:val="none" w:sz="0" w:space="0" w:color="auto"/>
                    <w:left w:val="none" w:sz="0" w:space="0" w:color="auto"/>
                    <w:bottom w:val="none" w:sz="0" w:space="0" w:color="auto"/>
                    <w:right w:val="none" w:sz="0" w:space="0" w:color="auto"/>
                  </w:divBdr>
                  <w:divsChild>
                    <w:div w:id="643704382">
                      <w:marLeft w:val="0"/>
                      <w:marRight w:val="0"/>
                      <w:marTop w:val="0"/>
                      <w:marBottom w:val="870"/>
                      <w:divBdr>
                        <w:top w:val="none" w:sz="0" w:space="0" w:color="auto"/>
                        <w:left w:val="none" w:sz="0" w:space="0" w:color="auto"/>
                        <w:bottom w:val="none" w:sz="0" w:space="0" w:color="auto"/>
                        <w:right w:val="none" w:sz="0" w:space="0" w:color="auto"/>
                      </w:divBdr>
                      <w:divsChild>
                        <w:div w:id="870848114">
                          <w:marLeft w:val="0"/>
                          <w:marRight w:val="0"/>
                          <w:marTop w:val="0"/>
                          <w:marBottom w:val="0"/>
                          <w:divBdr>
                            <w:top w:val="none" w:sz="0" w:space="0" w:color="auto"/>
                            <w:left w:val="none" w:sz="0" w:space="0" w:color="auto"/>
                            <w:bottom w:val="none" w:sz="0" w:space="0" w:color="auto"/>
                            <w:right w:val="none" w:sz="0" w:space="0" w:color="auto"/>
                          </w:divBdr>
                          <w:divsChild>
                            <w:div w:id="1877084469">
                              <w:marLeft w:val="0"/>
                              <w:marRight w:val="0"/>
                              <w:marTop w:val="0"/>
                              <w:marBottom w:val="0"/>
                              <w:divBdr>
                                <w:top w:val="none" w:sz="0" w:space="0" w:color="auto"/>
                                <w:left w:val="none" w:sz="0" w:space="0" w:color="auto"/>
                                <w:bottom w:val="none" w:sz="0" w:space="0" w:color="auto"/>
                                <w:right w:val="none" w:sz="0" w:space="0" w:color="auto"/>
                              </w:divBdr>
                              <w:divsChild>
                                <w:div w:id="16906423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88099463">
              <w:marLeft w:val="0"/>
              <w:marRight w:val="0"/>
              <w:marTop w:val="0"/>
              <w:marBottom w:val="0"/>
              <w:divBdr>
                <w:top w:val="none" w:sz="0" w:space="0" w:color="auto"/>
                <w:left w:val="none" w:sz="0" w:space="0" w:color="auto"/>
                <w:bottom w:val="none" w:sz="0" w:space="0" w:color="auto"/>
                <w:right w:val="none" w:sz="0" w:space="0" w:color="auto"/>
              </w:divBdr>
            </w:div>
          </w:divsChild>
        </w:div>
        <w:div w:id="908081075">
          <w:marLeft w:val="0"/>
          <w:marRight w:val="0"/>
          <w:marTop w:val="600"/>
          <w:marBottom w:val="0"/>
          <w:divBdr>
            <w:top w:val="none" w:sz="0" w:space="0" w:color="auto"/>
            <w:left w:val="none" w:sz="0" w:space="0" w:color="auto"/>
            <w:bottom w:val="none" w:sz="0" w:space="0" w:color="auto"/>
            <w:right w:val="none" w:sz="0" w:space="0" w:color="auto"/>
          </w:divBdr>
        </w:div>
        <w:div w:id="675694357">
          <w:marLeft w:val="0"/>
          <w:marRight w:val="0"/>
          <w:marTop w:val="0"/>
          <w:marBottom w:val="0"/>
          <w:divBdr>
            <w:top w:val="none" w:sz="0" w:space="0" w:color="auto"/>
            <w:left w:val="none" w:sz="0" w:space="0" w:color="auto"/>
            <w:bottom w:val="none" w:sz="0" w:space="0" w:color="auto"/>
            <w:right w:val="none" w:sz="0" w:space="0" w:color="auto"/>
          </w:divBdr>
          <w:divsChild>
            <w:div w:id="2861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2026">
      <w:bodyDiv w:val="1"/>
      <w:marLeft w:val="0"/>
      <w:marRight w:val="0"/>
      <w:marTop w:val="0"/>
      <w:marBottom w:val="0"/>
      <w:divBdr>
        <w:top w:val="none" w:sz="0" w:space="0" w:color="auto"/>
        <w:left w:val="none" w:sz="0" w:space="0" w:color="auto"/>
        <w:bottom w:val="none" w:sz="0" w:space="0" w:color="auto"/>
        <w:right w:val="none" w:sz="0" w:space="0" w:color="auto"/>
      </w:divBdr>
    </w:div>
    <w:div w:id="1860579701">
      <w:bodyDiv w:val="1"/>
      <w:marLeft w:val="0"/>
      <w:marRight w:val="0"/>
      <w:marTop w:val="0"/>
      <w:marBottom w:val="0"/>
      <w:divBdr>
        <w:top w:val="none" w:sz="0" w:space="0" w:color="auto"/>
        <w:left w:val="none" w:sz="0" w:space="0" w:color="auto"/>
        <w:bottom w:val="none" w:sz="0" w:space="0" w:color="auto"/>
        <w:right w:val="none" w:sz="0" w:space="0" w:color="auto"/>
      </w:divBdr>
    </w:div>
    <w:div w:id="1866823096">
      <w:bodyDiv w:val="1"/>
      <w:marLeft w:val="0"/>
      <w:marRight w:val="0"/>
      <w:marTop w:val="0"/>
      <w:marBottom w:val="0"/>
      <w:divBdr>
        <w:top w:val="none" w:sz="0" w:space="0" w:color="auto"/>
        <w:left w:val="none" w:sz="0" w:space="0" w:color="auto"/>
        <w:bottom w:val="none" w:sz="0" w:space="0" w:color="auto"/>
        <w:right w:val="none" w:sz="0" w:space="0" w:color="auto"/>
      </w:divBdr>
    </w:div>
    <w:div w:id="1888183356">
      <w:bodyDiv w:val="1"/>
      <w:marLeft w:val="0"/>
      <w:marRight w:val="0"/>
      <w:marTop w:val="0"/>
      <w:marBottom w:val="0"/>
      <w:divBdr>
        <w:top w:val="none" w:sz="0" w:space="0" w:color="auto"/>
        <w:left w:val="none" w:sz="0" w:space="0" w:color="auto"/>
        <w:bottom w:val="none" w:sz="0" w:space="0" w:color="auto"/>
        <w:right w:val="none" w:sz="0" w:space="0" w:color="auto"/>
      </w:divBdr>
    </w:div>
    <w:div w:id="1900898230">
      <w:bodyDiv w:val="1"/>
      <w:marLeft w:val="0"/>
      <w:marRight w:val="0"/>
      <w:marTop w:val="0"/>
      <w:marBottom w:val="0"/>
      <w:divBdr>
        <w:top w:val="none" w:sz="0" w:space="0" w:color="auto"/>
        <w:left w:val="none" w:sz="0" w:space="0" w:color="auto"/>
        <w:bottom w:val="none" w:sz="0" w:space="0" w:color="auto"/>
        <w:right w:val="none" w:sz="0" w:space="0" w:color="auto"/>
      </w:divBdr>
    </w:div>
    <w:div w:id="1922903669">
      <w:bodyDiv w:val="1"/>
      <w:marLeft w:val="0"/>
      <w:marRight w:val="0"/>
      <w:marTop w:val="0"/>
      <w:marBottom w:val="0"/>
      <w:divBdr>
        <w:top w:val="none" w:sz="0" w:space="0" w:color="auto"/>
        <w:left w:val="none" w:sz="0" w:space="0" w:color="auto"/>
        <w:bottom w:val="none" w:sz="0" w:space="0" w:color="auto"/>
        <w:right w:val="none" w:sz="0" w:space="0" w:color="auto"/>
      </w:divBdr>
    </w:div>
    <w:div w:id="1951038012">
      <w:bodyDiv w:val="1"/>
      <w:marLeft w:val="0"/>
      <w:marRight w:val="0"/>
      <w:marTop w:val="0"/>
      <w:marBottom w:val="0"/>
      <w:divBdr>
        <w:top w:val="none" w:sz="0" w:space="0" w:color="auto"/>
        <w:left w:val="none" w:sz="0" w:space="0" w:color="auto"/>
        <w:bottom w:val="none" w:sz="0" w:space="0" w:color="auto"/>
        <w:right w:val="none" w:sz="0" w:space="0" w:color="auto"/>
      </w:divBdr>
    </w:div>
    <w:div w:id="1957061942">
      <w:bodyDiv w:val="1"/>
      <w:marLeft w:val="0"/>
      <w:marRight w:val="0"/>
      <w:marTop w:val="0"/>
      <w:marBottom w:val="0"/>
      <w:divBdr>
        <w:top w:val="none" w:sz="0" w:space="0" w:color="auto"/>
        <w:left w:val="none" w:sz="0" w:space="0" w:color="auto"/>
        <w:bottom w:val="none" w:sz="0" w:space="0" w:color="auto"/>
        <w:right w:val="none" w:sz="0" w:space="0" w:color="auto"/>
      </w:divBdr>
      <w:divsChild>
        <w:div w:id="1046103061">
          <w:marLeft w:val="0"/>
          <w:marRight w:val="0"/>
          <w:marTop w:val="0"/>
          <w:marBottom w:val="0"/>
          <w:divBdr>
            <w:top w:val="none" w:sz="0" w:space="0" w:color="auto"/>
            <w:left w:val="none" w:sz="0" w:space="0" w:color="auto"/>
            <w:bottom w:val="none" w:sz="0" w:space="0" w:color="auto"/>
            <w:right w:val="none" w:sz="0" w:space="0" w:color="auto"/>
          </w:divBdr>
          <w:divsChild>
            <w:div w:id="133832824">
              <w:marLeft w:val="0"/>
              <w:marRight w:val="0"/>
              <w:marTop w:val="100"/>
              <w:marBottom w:val="100"/>
              <w:divBdr>
                <w:top w:val="none" w:sz="0" w:space="0" w:color="auto"/>
                <w:left w:val="none" w:sz="0" w:space="0" w:color="auto"/>
                <w:bottom w:val="none" w:sz="0" w:space="0" w:color="auto"/>
                <w:right w:val="none" w:sz="0" w:space="0" w:color="auto"/>
              </w:divBdr>
              <w:divsChild>
                <w:div w:id="14039021">
                  <w:marLeft w:val="0"/>
                  <w:marRight w:val="0"/>
                  <w:marTop w:val="0"/>
                  <w:marBottom w:val="0"/>
                  <w:divBdr>
                    <w:top w:val="none" w:sz="0" w:space="0" w:color="auto"/>
                    <w:left w:val="none" w:sz="0" w:space="0" w:color="auto"/>
                    <w:bottom w:val="none" w:sz="0" w:space="0" w:color="auto"/>
                    <w:right w:val="none" w:sz="0" w:space="0" w:color="auto"/>
                  </w:divBdr>
                  <w:divsChild>
                    <w:div w:id="21408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4342">
      <w:bodyDiv w:val="1"/>
      <w:marLeft w:val="0"/>
      <w:marRight w:val="0"/>
      <w:marTop w:val="0"/>
      <w:marBottom w:val="0"/>
      <w:divBdr>
        <w:top w:val="none" w:sz="0" w:space="0" w:color="auto"/>
        <w:left w:val="none" w:sz="0" w:space="0" w:color="auto"/>
        <w:bottom w:val="none" w:sz="0" w:space="0" w:color="auto"/>
        <w:right w:val="none" w:sz="0" w:space="0" w:color="auto"/>
      </w:divBdr>
      <w:divsChild>
        <w:div w:id="559441613">
          <w:marLeft w:val="0"/>
          <w:marRight w:val="0"/>
          <w:marTop w:val="0"/>
          <w:marBottom w:val="0"/>
          <w:divBdr>
            <w:top w:val="none" w:sz="0" w:space="0" w:color="auto"/>
            <w:left w:val="none" w:sz="0" w:space="0" w:color="auto"/>
            <w:bottom w:val="none" w:sz="0" w:space="0" w:color="auto"/>
            <w:right w:val="none" w:sz="0" w:space="0" w:color="auto"/>
          </w:divBdr>
        </w:div>
      </w:divsChild>
    </w:div>
    <w:div w:id="2060668261">
      <w:bodyDiv w:val="1"/>
      <w:marLeft w:val="0"/>
      <w:marRight w:val="0"/>
      <w:marTop w:val="0"/>
      <w:marBottom w:val="0"/>
      <w:divBdr>
        <w:top w:val="none" w:sz="0" w:space="0" w:color="auto"/>
        <w:left w:val="none" w:sz="0" w:space="0" w:color="auto"/>
        <w:bottom w:val="none" w:sz="0" w:space="0" w:color="auto"/>
        <w:right w:val="none" w:sz="0" w:space="0" w:color="auto"/>
      </w:divBdr>
    </w:div>
    <w:div w:id="206753057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01027271">
      <w:bodyDiv w:val="1"/>
      <w:marLeft w:val="0"/>
      <w:marRight w:val="0"/>
      <w:marTop w:val="0"/>
      <w:marBottom w:val="0"/>
      <w:divBdr>
        <w:top w:val="none" w:sz="0" w:space="0" w:color="auto"/>
        <w:left w:val="none" w:sz="0" w:space="0" w:color="auto"/>
        <w:bottom w:val="none" w:sz="0" w:space="0" w:color="auto"/>
        <w:right w:val="none" w:sz="0" w:space="0" w:color="auto"/>
      </w:divBdr>
    </w:div>
    <w:div w:id="2114742036">
      <w:bodyDiv w:val="1"/>
      <w:marLeft w:val="0"/>
      <w:marRight w:val="0"/>
      <w:marTop w:val="0"/>
      <w:marBottom w:val="0"/>
      <w:divBdr>
        <w:top w:val="none" w:sz="0" w:space="0" w:color="auto"/>
        <w:left w:val="none" w:sz="0" w:space="0" w:color="auto"/>
        <w:bottom w:val="none" w:sz="0" w:space="0" w:color="auto"/>
        <w:right w:val="none" w:sz="0" w:space="0" w:color="auto"/>
      </w:divBdr>
    </w:div>
    <w:div w:id="2128040923">
      <w:bodyDiv w:val="1"/>
      <w:marLeft w:val="0"/>
      <w:marRight w:val="0"/>
      <w:marTop w:val="0"/>
      <w:marBottom w:val="0"/>
      <w:divBdr>
        <w:top w:val="none" w:sz="0" w:space="0" w:color="auto"/>
        <w:left w:val="none" w:sz="0" w:space="0" w:color="auto"/>
        <w:bottom w:val="none" w:sz="0" w:space="0" w:color="auto"/>
        <w:right w:val="none" w:sz="0" w:space="0" w:color="auto"/>
      </w:divBdr>
    </w:div>
    <w:div w:id="21283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investor.luckincoffee.com/static-files/62ae7fff-d256-461e-9012-a47bfdc3a686" TargetMode="External"/><Relationship Id="rId26" Type="http://schemas.openxmlformats.org/officeDocument/2006/relationships/hyperlink" Target="https://investor.luckincoffee.com/news-releases/news-release-details/luckin-coffee-received-notification-mr-thomas-p-meier-his" TargetMode="External"/><Relationship Id="rId39" Type="http://schemas.openxmlformats.org/officeDocument/2006/relationships/theme" Target="theme/theme1.xml"/><Relationship Id="rId21" Type="http://schemas.openxmlformats.org/officeDocument/2006/relationships/hyperlink" Target="https://investor.luckincoffee.com/static-files/e228e5f9-e47f-47e4-b8dd-f1cabe870ebb" TargetMode="External"/><Relationship Id="rId34" Type="http://schemas.openxmlformats.org/officeDocument/2006/relationships/hyperlink" Target="https://www.chinalawblog.com/2020/07/investing-in-chinese-companies-is-un-luckin.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medium.com/swlh/starbucks-20-years-in-china-9fa8e0c33cf1" TargetMode="External"/><Relationship Id="rId25" Type="http://schemas.openxmlformats.org/officeDocument/2006/relationships/hyperlink" Target="https://investor.luckincoffee.com/news-releases/news-release-details/luckin-coffee-announces-appointments-two-independent-directors" TargetMode="External"/><Relationship Id="rId33" Type="http://schemas.openxmlformats.org/officeDocument/2006/relationships/hyperlink" Target="https://radiichina.com/luckin-coffee-chinas-newest-unicorn-is-challenging-starbucks-market-stranglehol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qz.com/125138/in-china-starbucks-doesnt-sell-coffee-to-make-its-millions-it-rents-couches/" TargetMode="External"/><Relationship Id="rId20" Type="http://schemas.openxmlformats.org/officeDocument/2006/relationships/hyperlink" Target="https://investor.starbucks.com/financial-data/supplemental-financial-data/default.aspx" TargetMode="External"/><Relationship Id="rId29" Type="http://schemas.openxmlformats.org/officeDocument/2006/relationships/hyperlink" Target="https://investor.luckincoffee.com/news-releases/news-release-details/luckin-coffee-announces-changes-board-directors-and-appoint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estor.luckincoffee.com/static-files/e228e5f9-e47f-47e4-b8dd-f1cabe870ebb" TargetMode="External"/><Relationship Id="rId24" Type="http://schemas.openxmlformats.org/officeDocument/2006/relationships/hyperlink" Target="https://investor.luckincoffee.com/static-files/62ae7fff-d256-461e-9012-a47bfdc3a686" TargetMode="External"/><Relationship Id="rId32" Type="http://schemas.openxmlformats.org/officeDocument/2006/relationships/hyperlink" Target="https://asia.nikkei.com/Business/Markets/China-s-Luckin-Coffee-faked-310m-in-sales-in-house-probe-finds" TargetMode="External"/><Relationship Id="rId37" Type="http://schemas.openxmlformats.org/officeDocument/2006/relationships/header" Target="header1.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sia.nikkei.com/Business/Startups/Luckin-Coffee-zooms-past-Starbucks-in-China-store-count" TargetMode="External"/><Relationship Id="rId23" Type="http://schemas.openxmlformats.org/officeDocument/2006/relationships/hyperlink" Target="https://investor.luckincoffee.com/static-files/62ae7fff-d256-461e-9012-a47bfdc3a686" TargetMode="External"/><Relationship Id="rId28" Type="http://schemas.openxmlformats.org/officeDocument/2006/relationships/hyperlink" Target="https://investor.luckincoffee.com/news-releases/news-release-details/luckin-coffee-received-notification-mr-tianruo-pu-his" TargetMode="External"/><Relationship Id="rId36" Type="http://schemas.openxmlformats.org/officeDocument/2006/relationships/hyperlink" Target="https://investor.luckincoffee.com/financial-information/sec-filings?items_per_page=10&amp;page=5" TargetMode="External"/><Relationship Id="rId10" Type="http://schemas.openxmlformats.org/officeDocument/2006/relationships/hyperlink" Target="https://investor.luckincoffee.com/static-files/e228e5f9-e47f-47e4-b8dd-f1cabe870ebb" TargetMode="External"/><Relationship Id="rId19" Type="http://schemas.openxmlformats.org/officeDocument/2006/relationships/chart" Target="charts/chart1.xml"/><Relationship Id="rId31" Type="http://schemas.openxmlformats.org/officeDocument/2006/relationships/hyperlink" Target="https://asia.nikkei.com/Business/Startups/China-s-Luckin-Coffee-adds-150m-to-war-chest-aided-by-BlackRock"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inance.yahoo.com/quote/LKNCY/history?period1=1558224000&amp;period2=1608336000&amp;interval=1d&amp;filter=history&amp;frequency=1d&amp;includeAdjustedClose=true" TargetMode="External"/><Relationship Id="rId22" Type="http://schemas.openxmlformats.org/officeDocument/2006/relationships/hyperlink" Target="https://investor.luckincoffee.com/static-files/49701047-371e-406d-b5c5-c6ee6b891734" TargetMode="External"/><Relationship Id="rId27" Type="http://schemas.openxmlformats.org/officeDocument/2006/relationships/hyperlink" Target="https://investor.luckincoffee.com/news-releases/news-release-details/luckin-coffee-announces-changes-board-directors-and-senior" TargetMode="External"/><Relationship Id="rId30" Type="http://schemas.openxmlformats.org/officeDocument/2006/relationships/chart" Target="charts/chart2.xml"/><Relationship Id="rId35" Type="http://schemas.openxmlformats.org/officeDocument/2006/relationships/hyperlink" Target="https://investor.luckincoffee.com/static-files/e228e5f9-e47f-47e4-b8dd-f1cabe870ebb" TargetMode="External"/><Relationship Id="rId8" Type="http://schemas.openxmlformats.org/officeDocument/2006/relationships/image" Target="media/image1.jpeg"/><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2" Type="http://schemas.openxmlformats.org/officeDocument/2006/relationships/hyperlink" Target="https://en.pingwest.com/a/7103" TargetMode="External"/><Relationship Id="rId1" Type="http://schemas.openxmlformats.org/officeDocument/2006/relationships/hyperlink" Target="https://edition.cnn.com/2019/05/17/investing/luckin-coffee-ipo-stock/index.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rive\Ginny202004\Research202004\ResearchProjects\ResearchFamilyBusiness\FamilyCasesForeign\CaseLuckin\LuckinDrafts\LuckinCofe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ive\Ginny202004\Research202004\ResearchProjects\ResearchFamilyBusiness\FamilyCasesForeign\CaseLuckin\LuckinDrafts\LuckinCof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Data!$S$21</c:f>
              <c:strCache>
                <c:ptCount val="1"/>
                <c:pt idx="0">
                  <c:v>Starbucks</c:v>
                </c:pt>
              </c:strCache>
            </c:strRef>
          </c:tx>
          <c:spPr>
            <a:ln w="28575" cap="rnd">
              <a:solidFill>
                <a:schemeClr val="dk1">
                  <a:tint val="88500"/>
                </a:schemeClr>
              </a:solidFill>
              <a:round/>
            </a:ln>
            <a:effectLst/>
          </c:spPr>
          <c:marker>
            <c:symbol val="none"/>
          </c:marker>
          <c:cat>
            <c:numRef>
              <c:f>Data!$R$22:$R$31</c:f>
              <c:numCache>
                <c:formatCode>mmm\-yy</c:formatCode>
                <c:ptCount val="10"/>
                <c:pt idx="0">
                  <c:v>43070</c:v>
                </c:pt>
                <c:pt idx="1">
                  <c:v>43160</c:v>
                </c:pt>
                <c:pt idx="2">
                  <c:v>43252</c:v>
                </c:pt>
                <c:pt idx="3">
                  <c:v>43344</c:v>
                </c:pt>
                <c:pt idx="4">
                  <c:v>43435</c:v>
                </c:pt>
                <c:pt idx="5">
                  <c:v>43525</c:v>
                </c:pt>
                <c:pt idx="7">
                  <c:v>43617</c:v>
                </c:pt>
                <c:pt idx="8">
                  <c:v>43709</c:v>
                </c:pt>
                <c:pt idx="9">
                  <c:v>43800</c:v>
                </c:pt>
              </c:numCache>
            </c:numRef>
          </c:cat>
          <c:val>
            <c:numRef>
              <c:f>Data!$S$22:$S$31</c:f>
              <c:numCache>
                <c:formatCode>General</c:formatCode>
                <c:ptCount val="10"/>
                <c:pt idx="0">
                  <c:v>2936</c:v>
                </c:pt>
                <c:pt idx="1">
                  <c:v>3125</c:v>
                </c:pt>
                <c:pt idx="2">
                  <c:v>3237</c:v>
                </c:pt>
                <c:pt idx="3">
                  <c:v>3383</c:v>
                </c:pt>
                <c:pt idx="4">
                  <c:v>3522</c:v>
                </c:pt>
                <c:pt idx="5">
                  <c:v>3685</c:v>
                </c:pt>
                <c:pt idx="7">
                  <c:v>3791</c:v>
                </c:pt>
                <c:pt idx="8">
                  <c:v>3924</c:v>
                </c:pt>
                <c:pt idx="9">
                  <c:v>4125</c:v>
                </c:pt>
              </c:numCache>
            </c:numRef>
          </c:val>
          <c:smooth val="0"/>
          <c:extLst>
            <c:ext xmlns:c16="http://schemas.microsoft.com/office/drawing/2014/chart" uri="{C3380CC4-5D6E-409C-BE32-E72D297353CC}">
              <c16:uniqueId val="{00000000-EB6E-471C-96A5-A7D173D01E9A}"/>
            </c:ext>
          </c:extLst>
        </c:ser>
        <c:ser>
          <c:idx val="1"/>
          <c:order val="1"/>
          <c:tx>
            <c:strRef>
              <c:f>Data!$T$21</c:f>
              <c:strCache>
                <c:ptCount val="1"/>
                <c:pt idx="0">
                  <c:v>Luckin</c:v>
                </c:pt>
              </c:strCache>
            </c:strRef>
          </c:tx>
          <c:spPr>
            <a:ln w="28575" cap="rnd">
              <a:solidFill>
                <a:schemeClr val="dk1">
                  <a:tint val="55000"/>
                </a:schemeClr>
              </a:solidFill>
              <a:round/>
            </a:ln>
            <a:effectLst/>
          </c:spPr>
          <c:marker>
            <c:symbol val="none"/>
          </c:marker>
          <c:cat>
            <c:numRef>
              <c:f>Data!$R$22:$R$31</c:f>
              <c:numCache>
                <c:formatCode>mmm\-yy</c:formatCode>
                <c:ptCount val="10"/>
                <c:pt idx="0">
                  <c:v>43070</c:v>
                </c:pt>
                <c:pt idx="1">
                  <c:v>43160</c:v>
                </c:pt>
                <c:pt idx="2">
                  <c:v>43252</c:v>
                </c:pt>
                <c:pt idx="3">
                  <c:v>43344</c:v>
                </c:pt>
                <c:pt idx="4">
                  <c:v>43435</c:v>
                </c:pt>
                <c:pt idx="5">
                  <c:v>43525</c:v>
                </c:pt>
                <c:pt idx="7">
                  <c:v>43617</c:v>
                </c:pt>
                <c:pt idx="8">
                  <c:v>43709</c:v>
                </c:pt>
                <c:pt idx="9">
                  <c:v>43800</c:v>
                </c:pt>
              </c:numCache>
            </c:numRef>
          </c:cat>
          <c:val>
            <c:numRef>
              <c:f>Data!$T$22:$T$31</c:f>
              <c:numCache>
                <c:formatCode>General</c:formatCode>
                <c:ptCount val="10"/>
                <c:pt idx="0">
                  <c:v>9</c:v>
                </c:pt>
                <c:pt idx="1">
                  <c:v>290</c:v>
                </c:pt>
                <c:pt idx="2">
                  <c:v>624</c:v>
                </c:pt>
                <c:pt idx="3">
                  <c:v>1189</c:v>
                </c:pt>
                <c:pt idx="4">
                  <c:v>2073</c:v>
                </c:pt>
                <c:pt idx="5">
                  <c:v>2370</c:v>
                </c:pt>
                <c:pt idx="7">
                  <c:v>2963</c:v>
                </c:pt>
                <c:pt idx="8">
                  <c:v>3680</c:v>
                </c:pt>
                <c:pt idx="9">
                  <c:v>4507</c:v>
                </c:pt>
              </c:numCache>
            </c:numRef>
          </c:val>
          <c:smooth val="0"/>
          <c:extLst>
            <c:ext xmlns:c16="http://schemas.microsoft.com/office/drawing/2014/chart" uri="{C3380CC4-5D6E-409C-BE32-E72D297353CC}">
              <c16:uniqueId val="{00000001-EB6E-471C-96A5-A7D173D01E9A}"/>
            </c:ext>
          </c:extLst>
        </c:ser>
        <c:dLbls>
          <c:showLegendKey val="0"/>
          <c:showVal val="0"/>
          <c:showCatName val="0"/>
          <c:showSerName val="0"/>
          <c:showPercent val="0"/>
          <c:showBubbleSize val="0"/>
        </c:dLbls>
        <c:smooth val="0"/>
        <c:axId val="290243584"/>
        <c:axId val="158121280"/>
      </c:lineChart>
      <c:dateAx>
        <c:axId val="290243584"/>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en-US"/>
          </a:p>
        </c:txPr>
        <c:crossAx val="158121280"/>
        <c:crosses val="autoZero"/>
        <c:auto val="1"/>
        <c:lblOffset val="100"/>
        <c:baseTimeUnit val="months"/>
        <c:majorUnit val="3"/>
        <c:majorTimeUnit val="months"/>
      </c:dateAx>
      <c:valAx>
        <c:axId val="158121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en-US"/>
          </a:p>
        </c:txPr>
        <c:crossAx val="290243584"/>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none"/>
          </c:marker>
          <c:cat>
            <c:numRef>
              <c:f>Data!$J$22:$J$30</c:f>
              <c:numCache>
                <c:formatCode>mmm\-yy</c:formatCode>
                <c:ptCount val="9"/>
                <c:pt idx="0">
                  <c:v>43282</c:v>
                </c:pt>
                <c:pt idx="1">
                  <c:v>43405</c:v>
                </c:pt>
                <c:pt idx="2">
                  <c:v>43556</c:v>
                </c:pt>
                <c:pt idx="3">
                  <c:v>43586</c:v>
                </c:pt>
                <c:pt idx="4">
                  <c:v>43678</c:v>
                </c:pt>
                <c:pt idx="5">
                  <c:v>43831</c:v>
                </c:pt>
                <c:pt idx="7">
                  <c:v>43922</c:v>
                </c:pt>
                <c:pt idx="8">
                  <c:v>44013</c:v>
                </c:pt>
              </c:numCache>
            </c:numRef>
          </c:cat>
          <c:val>
            <c:numRef>
              <c:f>Data!$N$22:$N$30</c:f>
              <c:numCache>
                <c:formatCode>General</c:formatCode>
                <c:ptCount val="9"/>
                <c:pt idx="0">
                  <c:v>1</c:v>
                </c:pt>
                <c:pt idx="1">
                  <c:v>2.2000000000000002</c:v>
                </c:pt>
                <c:pt idx="2">
                  <c:v>2.9</c:v>
                </c:pt>
                <c:pt idx="3">
                  <c:v>4</c:v>
                </c:pt>
                <c:pt idx="4">
                  <c:v>6</c:v>
                </c:pt>
                <c:pt idx="5">
                  <c:v>12</c:v>
                </c:pt>
                <c:pt idx="7">
                  <c:v>4</c:v>
                </c:pt>
                <c:pt idx="8">
                  <c:v>1</c:v>
                </c:pt>
              </c:numCache>
            </c:numRef>
          </c:val>
          <c:smooth val="0"/>
          <c:extLst>
            <c:ext xmlns:c16="http://schemas.microsoft.com/office/drawing/2014/chart" uri="{C3380CC4-5D6E-409C-BE32-E72D297353CC}">
              <c16:uniqueId val="{00000000-BB1B-40BD-A1A3-5CC299FDD993}"/>
            </c:ext>
          </c:extLst>
        </c:ser>
        <c:dLbls>
          <c:showLegendKey val="0"/>
          <c:showVal val="0"/>
          <c:showCatName val="0"/>
          <c:showSerName val="0"/>
          <c:showPercent val="0"/>
          <c:showBubbleSize val="0"/>
        </c:dLbls>
        <c:smooth val="0"/>
        <c:axId val="288659456"/>
        <c:axId val="204763648"/>
      </c:lineChart>
      <c:dateAx>
        <c:axId val="288659456"/>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04763648"/>
        <c:crosses val="autoZero"/>
        <c:auto val="1"/>
        <c:lblOffset val="100"/>
        <c:baseTimeUnit val="months"/>
      </c:dateAx>
      <c:valAx>
        <c:axId val="20476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28865945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chemeClr val="tx1"/>
          </a:solidFill>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463E4D-3DBC-466E-8A5B-F36D78B0D236}">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EB61A-A5B2-4864-8658-874FA03A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7514</Words>
  <Characters>45014</Characters>
  <Application>Microsoft Office Word</Application>
  <DocSecurity>0</DocSecurity>
  <Lines>1406</Lines>
  <Paragraphs>750</Paragraphs>
  <ScaleCrop>false</ScaleCrop>
  <HeadingPairs>
    <vt:vector size="2" baseType="variant">
      <vt:variant>
        <vt:lpstr>Title</vt:lpstr>
      </vt:variant>
      <vt:variant>
        <vt:i4>1</vt:i4>
      </vt:variant>
    </vt:vector>
  </HeadingPairs>
  <TitlesOfParts>
    <vt:vector size="1" baseType="lpstr">
      <vt:lpstr>9B21N001</vt:lpstr>
    </vt:vector>
  </TitlesOfParts>
  <Company>Ivey Business School</Company>
  <LinksUpToDate>false</LinksUpToDate>
  <CharactersWithSpaces>51778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9B21N001</dc:title>
  <dc:creator>smuir</dc:creator>
  <cp:lastModifiedBy>Harnett, Kira</cp:lastModifiedBy>
  <cp:revision>12</cp:revision>
  <cp:lastPrinted>2015-03-04T20:34:00Z</cp:lastPrinted>
  <dcterms:created xsi:type="dcterms:W3CDTF">2021-02-08T15:38:00Z</dcterms:created>
  <dcterms:modified xsi:type="dcterms:W3CDTF">2021-02-08T16:17:00Z</dcterms:modified>
</cp:coreProperties>
</file>