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F7BDC" w14:textId="1A2EEBDD" w:rsidR="005312B7" w:rsidRPr="00003D21" w:rsidRDefault="003472DD" w:rsidP="00C02410">
      <w:pPr>
        <w:pBdr>
          <w:bottom w:val="single" w:sz="18" w:space="1" w:color="auto"/>
        </w:pBdr>
        <w:tabs>
          <w:tab w:val="left" w:pos="-1440"/>
          <w:tab w:val="left" w:pos="-720"/>
          <w:tab w:val="left" w:pos="1"/>
        </w:tabs>
        <w:jc w:val="both"/>
        <w:rPr>
          <w:rFonts w:ascii="Arial" w:hAnsi="Arial"/>
          <w:b/>
          <w:sz w:val="24"/>
          <w:lang w:val="en-CA" w:eastAsia="en-CA"/>
        </w:rPr>
      </w:pPr>
      <w:r w:rsidRPr="003472DD">
        <w:rPr>
          <w:rFonts w:ascii="Arial" w:hAnsi="Arial"/>
          <w:b/>
          <w:noProof/>
          <w:sz w:val="24"/>
          <w:lang w:val="en-CA" w:eastAsia="en-CA"/>
        </w:rPr>
        <w:drawing>
          <wp:inline distT="0" distB="0" distL="0" distR="0" wp14:anchorId="2EC2774C" wp14:editId="75676231">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29B15BE3" w:rsidR="00C02410" w:rsidRPr="00003D21" w:rsidRDefault="003472DD" w:rsidP="00C02410">
      <w:pPr>
        <w:pStyle w:val="ProductNumber"/>
        <w:rPr>
          <w:lang w:val="en-CA"/>
        </w:rPr>
      </w:pPr>
      <w:r>
        <w:rPr>
          <w:lang w:val="en-CA"/>
        </w:rPr>
        <w:t>9B21N002</w:t>
      </w:r>
    </w:p>
    <w:p w14:paraId="4E057522" w14:textId="7A113CB1" w:rsidR="00D75295" w:rsidRPr="00003D21" w:rsidRDefault="00D75295" w:rsidP="00D75295">
      <w:pPr>
        <w:jc w:val="right"/>
        <w:rPr>
          <w:rFonts w:ascii="Arial" w:hAnsi="Arial"/>
          <w:b/>
          <w:lang w:val="en-CA"/>
        </w:rPr>
      </w:pPr>
    </w:p>
    <w:p w14:paraId="02524312" w14:textId="77777777" w:rsidR="001901C0" w:rsidRPr="00003D21" w:rsidRDefault="001901C0" w:rsidP="00D75295">
      <w:pPr>
        <w:jc w:val="right"/>
        <w:rPr>
          <w:rFonts w:ascii="Arial" w:hAnsi="Arial"/>
          <w:b/>
          <w:lang w:val="en-CA"/>
        </w:rPr>
      </w:pPr>
    </w:p>
    <w:p w14:paraId="2F03D26A" w14:textId="5D379461" w:rsidR="00790ABB" w:rsidRPr="00003D21" w:rsidRDefault="005312B7" w:rsidP="00013360">
      <w:pPr>
        <w:pStyle w:val="CaseTitle"/>
        <w:spacing w:after="0" w:line="240" w:lineRule="auto"/>
        <w:rPr>
          <w:sz w:val="20"/>
          <w:szCs w:val="20"/>
          <w:lang w:val="en-CA"/>
        </w:rPr>
      </w:pPr>
      <w:r w:rsidRPr="00003D21">
        <w:rPr>
          <w:lang w:val="en-CA"/>
        </w:rPr>
        <w:t>KOHO Financial Inc.: Facing A NEW BANKING ERA</w:t>
      </w:r>
      <w:r w:rsidR="00790ABB" w:rsidRPr="00003D21">
        <w:rPr>
          <w:rStyle w:val="EndnoteReference"/>
          <w:lang w:val="en-CA"/>
        </w:rPr>
        <w:endnoteReference w:id="1"/>
      </w:r>
    </w:p>
    <w:p w14:paraId="40ABF6FD" w14:textId="77777777" w:rsidR="00790ABB" w:rsidRPr="00003D21" w:rsidRDefault="00790ABB" w:rsidP="00013360">
      <w:pPr>
        <w:pStyle w:val="CaseTitle"/>
        <w:spacing w:after="0" w:line="240" w:lineRule="auto"/>
        <w:rPr>
          <w:sz w:val="20"/>
          <w:szCs w:val="20"/>
          <w:lang w:val="en-CA"/>
        </w:rPr>
      </w:pPr>
    </w:p>
    <w:p w14:paraId="202F1085" w14:textId="77777777" w:rsidR="00790ABB" w:rsidRPr="00003D21" w:rsidRDefault="00790ABB" w:rsidP="00013360">
      <w:pPr>
        <w:pStyle w:val="CaseTitle"/>
        <w:spacing w:after="0" w:line="240" w:lineRule="auto"/>
        <w:rPr>
          <w:sz w:val="20"/>
          <w:szCs w:val="20"/>
          <w:lang w:val="en-CA"/>
        </w:rPr>
      </w:pPr>
    </w:p>
    <w:p w14:paraId="58B0C73F" w14:textId="7BC096F2" w:rsidR="00790ABB" w:rsidRPr="00003D21" w:rsidRDefault="00790ABB" w:rsidP="00086B26">
      <w:pPr>
        <w:pStyle w:val="StyleCopyrightStatementAfter0ptBottomSinglesolidline1"/>
        <w:rPr>
          <w:lang w:val="en-CA"/>
        </w:rPr>
      </w:pPr>
      <w:r w:rsidRPr="00003D21">
        <w:rPr>
          <w:lang w:val="en-CA"/>
        </w:rPr>
        <w:t xml:space="preserve">Emily Yau and </w:t>
      </w:r>
      <w:r w:rsidR="00547740">
        <w:rPr>
          <w:lang w:val="en-CA"/>
        </w:rPr>
        <w:t>Jun Hyun (</w:t>
      </w:r>
      <w:r w:rsidRPr="00003D21">
        <w:rPr>
          <w:lang w:val="en-CA"/>
        </w:rPr>
        <w:t>Joseph</w:t>
      </w:r>
      <w:r w:rsidR="00547740">
        <w:rPr>
          <w:lang w:val="en-CA"/>
        </w:rPr>
        <w:t>)</w:t>
      </w:r>
      <w:r w:rsidRPr="00003D21">
        <w:rPr>
          <w:lang w:val="en-CA"/>
        </w:rPr>
        <w:t xml:space="preserve"> Ryoo wrote this teaching note under the supervision of Professors Lei Chen (Jianghan University)</w:t>
      </w:r>
      <w:r w:rsidRPr="00003D21">
        <w:rPr>
          <w:i w:val="0"/>
          <w:lang w:val="en-CA"/>
        </w:rPr>
        <w:t xml:space="preserve"> </w:t>
      </w:r>
      <w:r w:rsidRPr="00003D21">
        <w:rPr>
          <w:lang w:val="en-CA"/>
        </w:rPr>
        <w:t>and Xin (Shane) Wang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49B28A4C" w:rsidR="00790ABB" w:rsidRPr="00003D21" w:rsidRDefault="00790ABB" w:rsidP="00086B26">
      <w:pPr>
        <w:pStyle w:val="StyleCopyrightStatementAfter0ptBottomSinglesolidline1"/>
        <w:rPr>
          <w:lang w:val="en-CA"/>
        </w:rPr>
      </w:pPr>
    </w:p>
    <w:p w14:paraId="5EA537A8" w14:textId="77777777" w:rsidR="003472DD" w:rsidRDefault="003472DD" w:rsidP="003472DD">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70FEA51E" w14:textId="77777777" w:rsidR="003472DD" w:rsidRDefault="003472DD" w:rsidP="003472DD">
      <w:pPr>
        <w:pStyle w:val="StyleStyleCopyrightStatementAfter0ptBottomSinglesolid"/>
        <w:rPr>
          <w:rFonts w:cs="Arial"/>
          <w:iCs w:val="0"/>
          <w:color w:val="auto"/>
          <w:szCs w:val="16"/>
        </w:rPr>
      </w:pPr>
    </w:p>
    <w:p w14:paraId="3922E14F" w14:textId="2AF82A14" w:rsidR="00790ABB" w:rsidRPr="003472DD" w:rsidRDefault="003472DD"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790ABB" w:rsidRPr="00003D21">
        <w:rPr>
          <w:rFonts w:cs="Arial"/>
          <w:iCs w:val="0"/>
          <w:color w:val="auto"/>
          <w:szCs w:val="16"/>
          <w:lang w:val="en-CA"/>
        </w:rPr>
        <w:tab/>
        <w:t>Version: 202</w:t>
      </w:r>
      <w:r w:rsidR="00790ABB">
        <w:rPr>
          <w:rFonts w:cs="Arial"/>
          <w:iCs w:val="0"/>
          <w:color w:val="auto"/>
          <w:szCs w:val="16"/>
          <w:lang w:val="en-CA"/>
        </w:rPr>
        <w:t>1-0</w:t>
      </w:r>
      <w:r>
        <w:rPr>
          <w:rFonts w:cs="Arial"/>
          <w:iCs w:val="0"/>
          <w:color w:val="auto"/>
          <w:szCs w:val="16"/>
          <w:lang w:val="en-CA"/>
        </w:rPr>
        <w:t>2</w:t>
      </w:r>
      <w:r w:rsidR="00790ABB" w:rsidRPr="00003D21">
        <w:rPr>
          <w:rFonts w:cs="Arial"/>
          <w:iCs w:val="0"/>
          <w:color w:val="auto"/>
          <w:szCs w:val="16"/>
          <w:lang w:val="en-CA"/>
        </w:rPr>
        <w:t>-</w:t>
      </w:r>
      <w:r>
        <w:rPr>
          <w:rFonts w:cs="Arial"/>
          <w:iCs w:val="0"/>
          <w:color w:val="auto"/>
          <w:szCs w:val="16"/>
          <w:lang w:val="en-CA"/>
        </w:rPr>
        <w:t>16</w:t>
      </w:r>
    </w:p>
    <w:p w14:paraId="0A2A54E4" w14:textId="613889E2" w:rsidR="00790ABB" w:rsidRPr="00003D21" w:rsidRDefault="00790ABB" w:rsidP="00751E0B">
      <w:pPr>
        <w:pStyle w:val="StyleCopyrightStatementAfter0ptBottomSinglesolidline1"/>
        <w:rPr>
          <w:rFonts w:ascii="Times New Roman" w:hAnsi="Times New Roman"/>
          <w:sz w:val="20"/>
          <w:lang w:val="en-CA"/>
        </w:rPr>
      </w:pPr>
    </w:p>
    <w:p w14:paraId="510E9E82" w14:textId="77777777" w:rsidR="00790ABB" w:rsidRPr="00003D21" w:rsidRDefault="00790ABB" w:rsidP="00751E0B">
      <w:pPr>
        <w:pStyle w:val="StyleCopyrightStatementAfter0ptBottomSinglesolidline1"/>
        <w:rPr>
          <w:rFonts w:ascii="Times New Roman" w:hAnsi="Times New Roman"/>
          <w:sz w:val="20"/>
          <w:lang w:val="en-CA"/>
        </w:rPr>
      </w:pPr>
    </w:p>
    <w:p w14:paraId="772E6450" w14:textId="4393D9E8" w:rsidR="00790ABB" w:rsidRPr="00003D21" w:rsidRDefault="00790ABB" w:rsidP="005312B7">
      <w:pPr>
        <w:pStyle w:val="BodyTextMain"/>
        <w:rPr>
          <w:lang w:val="en-CA"/>
        </w:rPr>
      </w:pPr>
      <w:r w:rsidRPr="00003D21">
        <w:rPr>
          <w:lang w:val="en-CA"/>
        </w:rPr>
        <w:t>On November 28, 2019, Daniel Eberhard learned that he had secured a sixth round of funding for his Toronto-based company, Koho Financial Inc. (Koho). Investors saw that his start-up had the potential to continue its growth trajectory and had provided a series B capital injection of $25 million,</w:t>
      </w:r>
      <w:r>
        <w:rPr>
          <w:rStyle w:val="EndnoteReference"/>
          <w:lang w:val="en-CA"/>
        </w:rPr>
        <w:endnoteReference w:id="2"/>
      </w:r>
      <w:r w:rsidRPr="00003D21">
        <w:rPr>
          <w:lang w:val="en-CA"/>
        </w:rPr>
        <w:t xml:space="preserve"> bringing the total amount raised to US$57.5 million.</w:t>
      </w:r>
      <w:r w:rsidRPr="00003D21">
        <w:rPr>
          <w:rStyle w:val="EndnoteReference"/>
          <w:color w:val="000000" w:themeColor="text1"/>
          <w:lang w:val="en-CA"/>
        </w:rPr>
        <w:endnoteReference w:id="3"/>
      </w:r>
      <w:r w:rsidRPr="00003D21">
        <w:rPr>
          <w:lang w:val="en-CA"/>
        </w:rPr>
        <w:t xml:space="preserve"> Over the previous four years, Eberhard had demonstrated that there was a need for a financial innovation like Koho and had shown that the company was ready to scale.</w:t>
      </w:r>
      <w:r w:rsidRPr="00003D21">
        <w:rPr>
          <w:rStyle w:val="EndnoteReference"/>
          <w:color w:val="000000" w:themeColor="text1"/>
          <w:lang w:val="en-CA"/>
        </w:rPr>
        <w:endnoteReference w:id="4"/>
      </w:r>
      <w:r w:rsidRPr="00003D21">
        <w:rPr>
          <w:lang w:val="en-CA"/>
        </w:rPr>
        <w:t xml:space="preserve"> Koho’s services had improved significantly since its inception, but Eberhard needed to determine a strategy to grow the financial technology (fintech) company as quickly and successfully as possible.</w:t>
      </w:r>
    </w:p>
    <w:p w14:paraId="49CB57C9" w14:textId="59EAE9CA" w:rsidR="00790ABB" w:rsidRPr="00003D21" w:rsidRDefault="00790ABB" w:rsidP="005312B7">
      <w:pPr>
        <w:pStyle w:val="BodyTextMain"/>
        <w:rPr>
          <w:lang w:val="en-CA"/>
        </w:rPr>
      </w:pPr>
    </w:p>
    <w:p w14:paraId="2417C51F" w14:textId="77777777" w:rsidR="00790ABB" w:rsidRPr="00003D21" w:rsidRDefault="00790ABB" w:rsidP="005312B7">
      <w:pPr>
        <w:pStyle w:val="BodyTextMain"/>
        <w:rPr>
          <w:lang w:val="en-CA"/>
        </w:rPr>
      </w:pPr>
    </w:p>
    <w:p w14:paraId="18F38447" w14:textId="24E3444B" w:rsidR="00790ABB" w:rsidRPr="00003D21" w:rsidRDefault="00790ABB" w:rsidP="005312B7">
      <w:pPr>
        <w:pStyle w:val="Casehead1"/>
        <w:rPr>
          <w:i/>
          <w:iCs/>
          <w:lang w:val="en-CA"/>
        </w:rPr>
      </w:pPr>
      <w:r w:rsidRPr="00003D21">
        <w:rPr>
          <w:lang w:val="en-CA"/>
        </w:rPr>
        <w:t xml:space="preserve">KOHO Financial Inc. </w:t>
      </w:r>
      <w:r>
        <w:rPr>
          <w:lang w:val="en-CA"/>
        </w:rPr>
        <w:t>(KOHO)</w:t>
      </w:r>
    </w:p>
    <w:p w14:paraId="51264B7E" w14:textId="77777777" w:rsidR="00790ABB" w:rsidRPr="00003D21" w:rsidRDefault="00790ABB" w:rsidP="005312B7">
      <w:pPr>
        <w:pStyle w:val="BodyTextMain"/>
        <w:rPr>
          <w:lang w:val="en-CA"/>
        </w:rPr>
      </w:pPr>
    </w:p>
    <w:p w14:paraId="452B075A" w14:textId="3646EB6F" w:rsidR="00790ABB" w:rsidRPr="002F623D" w:rsidRDefault="00790ABB" w:rsidP="005312B7">
      <w:pPr>
        <w:pStyle w:val="BodyTextMain"/>
        <w:rPr>
          <w:spacing w:val="-2"/>
          <w:lang w:val="en-CA"/>
        </w:rPr>
      </w:pPr>
      <w:r w:rsidRPr="002F623D">
        <w:rPr>
          <w:spacing w:val="-2"/>
          <w:lang w:val="en-CA"/>
        </w:rPr>
        <w:t>Koho was launched in 2015 in Toronto by Vancouver-born Eberhard, who had previously worked as a consultant and entrepreneur.</w:t>
      </w:r>
      <w:r w:rsidRPr="002F623D">
        <w:rPr>
          <w:rStyle w:val="EndnoteReference"/>
          <w:spacing w:val="-2"/>
          <w:lang w:val="en-CA"/>
        </w:rPr>
        <w:endnoteReference w:id="5"/>
      </w:r>
      <w:r w:rsidRPr="002F623D">
        <w:rPr>
          <w:spacing w:val="-2"/>
          <w:lang w:val="en-CA"/>
        </w:rPr>
        <w:t xml:space="preserve"> Canada had some of the highest per-capita banking fees in the world. </w:t>
      </w:r>
      <w:r w:rsidR="002F623D">
        <w:rPr>
          <w:spacing w:val="-2"/>
          <w:lang w:val="en-CA"/>
        </w:rPr>
        <w:t>Eberhard</w:t>
      </w:r>
      <w:r w:rsidRPr="002F623D">
        <w:rPr>
          <w:spacing w:val="-2"/>
          <w:lang w:val="en-CA"/>
        </w:rPr>
        <w:t xml:space="preserve"> sought to disrupt the banking industry in Canada, where the banking experience was the same for both younger and older demographics by founding Koho as a new way for millennials to manage their money with no fees.</w:t>
      </w:r>
      <w:r w:rsidRPr="002F623D">
        <w:rPr>
          <w:rStyle w:val="EndnoteReference"/>
          <w:spacing w:val="-2"/>
          <w:lang w:val="en-CA"/>
        </w:rPr>
        <w:endnoteReference w:id="6"/>
      </w:r>
      <w:r w:rsidRPr="002F623D">
        <w:rPr>
          <w:spacing w:val="-2"/>
          <w:lang w:val="en-CA"/>
        </w:rPr>
        <w:t xml:space="preserve"> Koho partnered with the Peoples Trust Company, Galileo Financial Technologies LLC (Galileo Processing), and Visa Inc. (Visa) to create a fintech solution that provided a range of financial services, including a mobile application (app) and Visa card.</w:t>
      </w:r>
      <w:r w:rsidRPr="002F623D">
        <w:rPr>
          <w:rStyle w:val="EndnoteReference"/>
          <w:spacing w:val="-2"/>
          <w:lang w:val="en-CA"/>
        </w:rPr>
        <w:endnoteReference w:id="7"/>
      </w:r>
      <w:r w:rsidRPr="002F623D">
        <w:rPr>
          <w:spacing w:val="-2"/>
          <w:lang w:val="en-CA"/>
        </w:rPr>
        <w:t xml:space="preserve"> All three partners were vital in ensuring Koho’s success: the Peoples Trust Company held consumers’ money and issued cards, Galileo Processing processed transactions, and Visa allowed users to make purchases.</w:t>
      </w:r>
      <w:r w:rsidRPr="002F623D">
        <w:rPr>
          <w:rStyle w:val="EndnoteReference"/>
          <w:spacing w:val="-2"/>
          <w:lang w:val="en-CA"/>
        </w:rPr>
        <w:endnoteReference w:id="8"/>
      </w:r>
      <w:r w:rsidRPr="002F623D">
        <w:rPr>
          <w:spacing w:val="-2"/>
          <w:lang w:val="en-CA"/>
        </w:rPr>
        <w:t xml:space="preserve"> </w:t>
      </w:r>
    </w:p>
    <w:p w14:paraId="09CFA34C" w14:textId="77777777" w:rsidR="00790ABB" w:rsidRPr="00003D21" w:rsidRDefault="00790ABB" w:rsidP="005312B7">
      <w:pPr>
        <w:pStyle w:val="BodyTextMain"/>
        <w:rPr>
          <w:lang w:val="en-CA"/>
        </w:rPr>
      </w:pPr>
    </w:p>
    <w:p w14:paraId="1EC5D4B9" w14:textId="50FC748E" w:rsidR="00790ABB" w:rsidRPr="003472DD" w:rsidRDefault="00790ABB" w:rsidP="005312B7">
      <w:pPr>
        <w:pStyle w:val="BodyTextMain"/>
      </w:pPr>
      <w:r w:rsidRPr="00003D21">
        <w:rPr>
          <w:lang w:val="en-CA"/>
        </w:rPr>
        <w:t>Koho’s initial product offering included a prepaid Visa card and a mobile app that had all the same functionalities as a traditional bank account, including direct deposit, automatic bill payment, and e-transfers.</w:t>
      </w:r>
      <w:r w:rsidRPr="00003D21">
        <w:rPr>
          <w:rStyle w:val="EndnoteReference"/>
          <w:color w:val="000000" w:themeColor="text1"/>
          <w:lang w:val="en-CA"/>
        </w:rPr>
        <w:endnoteReference w:id="9"/>
      </w:r>
      <w:r w:rsidRPr="00003D21">
        <w:rPr>
          <w:lang w:val="en-CA"/>
        </w:rPr>
        <w:t xml:space="preserve"> The company focused on creating a frictionless customer experience by mapping it from scratch and challenging the typical role of a bank. One of Koho’s unique features was its practice of providing each user with two balances: the total amount in the user’s account and the amount that the user could spend.</w:t>
      </w:r>
      <w:r w:rsidRPr="00003D21">
        <w:rPr>
          <w:rStyle w:val="EndnoteReference"/>
          <w:lang w:val="en-CA"/>
        </w:rPr>
        <w:endnoteReference w:id="10"/>
      </w:r>
      <w:r w:rsidRPr="00003D21">
        <w:rPr>
          <w:lang w:val="en-CA"/>
        </w:rPr>
        <w:t xml:space="preserve"> Koho’s spendable balance provided users with a more realistic cash position than a typical chequing or savings account balance. Coupled with a modern user interface, </w:t>
      </w:r>
      <w:r>
        <w:rPr>
          <w:lang w:val="en-CA"/>
        </w:rPr>
        <w:t>this feature</w:t>
      </w:r>
      <w:r w:rsidRPr="00003D21">
        <w:rPr>
          <w:lang w:val="en-CA"/>
        </w:rPr>
        <w:t xml:space="preserve"> helped Koho’s users save more, spend less, and better understand their financial positions.</w:t>
      </w:r>
      <w:r w:rsidR="00605CFF" w:rsidRPr="00003D21">
        <w:rPr>
          <w:rStyle w:val="EndnoteReference"/>
          <w:color w:val="000000" w:themeColor="text1"/>
          <w:lang w:val="en-CA"/>
        </w:rPr>
        <w:endnoteReference w:id="11"/>
      </w:r>
      <w:r w:rsidRPr="00003D21">
        <w:rPr>
          <w:lang w:val="en-CA"/>
        </w:rPr>
        <w:t xml:space="preserve"> </w:t>
      </w:r>
    </w:p>
    <w:p w14:paraId="7C7B94C5" w14:textId="77777777" w:rsidR="00790ABB" w:rsidRPr="00003D21" w:rsidRDefault="00790ABB" w:rsidP="005312B7">
      <w:pPr>
        <w:pStyle w:val="BodyTextMain"/>
        <w:rPr>
          <w:lang w:val="en-CA"/>
        </w:rPr>
      </w:pPr>
    </w:p>
    <w:p w14:paraId="267E8C8F" w14:textId="59C2C5BC" w:rsidR="00790ABB" w:rsidRPr="00003D21" w:rsidRDefault="00790ABB" w:rsidP="005312B7">
      <w:pPr>
        <w:pStyle w:val="BodyTextMain"/>
        <w:rPr>
          <w:lang w:val="en-CA"/>
        </w:rPr>
      </w:pPr>
      <w:r w:rsidRPr="00003D21">
        <w:rPr>
          <w:lang w:val="en-CA"/>
        </w:rPr>
        <w:lastRenderedPageBreak/>
        <w:t>By 2019, Koho had grown its services by offering real-time balance updates; giving users 0.5 per cent cash back on all purchases; rounding up purchases to add to users’ savings; securing partnerships to reduce foreign-exchange fees; and establishing, in partnership with Flinks, its first openbanking</w:t>
      </w:r>
      <w:r w:rsidR="002F623D">
        <w:rPr>
          <w:lang w:val="en-CA"/>
        </w:rPr>
        <w:t>,</w:t>
      </w:r>
      <w:r w:rsidRPr="00003D21">
        <w:rPr>
          <w:lang w:val="en-CA"/>
        </w:rPr>
        <w:t xml:space="preserve"> leveraged service, What the Fee, to uncover how much users were paying their banks in fees.</w:t>
      </w:r>
      <w:r w:rsidRPr="00003D21">
        <w:rPr>
          <w:rStyle w:val="EndnoteReference"/>
          <w:lang w:val="en-CA"/>
        </w:rPr>
        <w:endnoteReference w:id="12"/>
      </w:r>
      <w:r w:rsidRPr="00003D21">
        <w:rPr>
          <w:lang w:val="en-CA"/>
        </w:rPr>
        <w:t xml:space="preserve"> To diversify its revenue stream, the fin</w:t>
      </w:r>
      <w:r>
        <w:rPr>
          <w:lang w:val="en-CA"/>
        </w:rPr>
        <w:t>tech</w:t>
      </w:r>
      <w:r w:rsidRPr="00003D21">
        <w:rPr>
          <w:lang w:val="en-CA"/>
        </w:rPr>
        <w:t xml:space="preserve"> start-up also began offering a premium account that offered 2 per cent cash back, no foreign exchange fees, free financial coaching, and more</w:t>
      </w:r>
      <w:r>
        <w:rPr>
          <w:lang w:val="en-CA"/>
        </w:rPr>
        <w:t>,</w:t>
      </w:r>
      <w:r w:rsidRPr="00003D21">
        <w:rPr>
          <w:lang w:val="en-CA"/>
        </w:rPr>
        <w:t xml:space="preserve"> for a fee of $9 per month or $84 per year (see Exhibit 1).</w:t>
      </w:r>
      <w:r w:rsidRPr="00003D21">
        <w:rPr>
          <w:rStyle w:val="EndnoteReference"/>
          <w:lang w:val="en-CA"/>
        </w:rPr>
        <w:endnoteReference w:id="13"/>
      </w:r>
      <w:r w:rsidRPr="00003D21">
        <w:rPr>
          <w:lang w:val="en-CA"/>
        </w:rPr>
        <w:t xml:space="preserve"> In November 2019, Koho had over 200,000 users, had raised a total of $57.5 million, and hoped to grow its user base and deliver complementary products.</w:t>
      </w:r>
      <w:r w:rsidRPr="00003D21">
        <w:rPr>
          <w:rStyle w:val="EndnoteReference"/>
          <w:lang w:val="en-CA"/>
        </w:rPr>
        <w:endnoteReference w:id="14"/>
      </w:r>
    </w:p>
    <w:p w14:paraId="6CE6F008" w14:textId="77777777" w:rsidR="00790ABB" w:rsidRPr="00003D21" w:rsidRDefault="00790ABB" w:rsidP="005312B7">
      <w:pPr>
        <w:pStyle w:val="BodyTextMain"/>
        <w:rPr>
          <w:lang w:val="en-CA"/>
        </w:rPr>
      </w:pPr>
    </w:p>
    <w:p w14:paraId="5FE30B23" w14:textId="7A0266F7" w:rsidR="00790ABB" w:rsidRPr="00003D21" w:rsidRDefault="00790ABB" w:rsidP="005312B7">
      <w:pPr>
        <w:pStyle w:val="BodyTextMain"/>
        <w:rPr>
          <w:lang w:val="en-CA"/>
        </w:rPr>
      </w:pPr>
      <w:r w:rsidRPr="00003D21">
        <w:rPr>
          <w:lang w:val="en-CA"/>
        </w:rPr>
        <w:t>Koho combined two unique fintech business models: a digital wallet and digital banking. Under the digital wallet model, Koho’s main source of revenue came from merchant discount rate (MDR) fees from vendors (see Exhibit 2).</w:t>
      </w:r>
      <w:r w:rsidRPr="00003D21">
        <w:rPr>
          <w:rStyle w:val="EndnoteReference"/>
          <w:lang w:val="en-CA"/>
        </w:rPr>
        <w:endnoteReference w:id="15"/>
      </w:r>
      <w:r w:rsidRPr="00003D21">
        <w:rPr>
          <w:lang w:val="en-CA"/>
        </w:rPr>
        <w:t xml:space="preserve"> When a customer made a purchase with their Koho card, the vendor received the payment minus the MDR,</w:t>
      </w:r>
      <w:r w:rsidRPr="00003D21">
        <w:rPr>
          <w:rStyle w:val="EndnoteReference"/>
          <w:lang w:val="en-CA"/>
        </w:rPr>
        <w:endnoteReference w:id="16"/>
      </w:r>
      <w:r w:rsidRPr="00003D21">
        <w:rPr>
          <w:lang w:val="en-CA"/>
        </w:rPr>
        <w:t xml:space="preserve"> and this fee was then shared between Koho and Visa.</w:t>
      </w:r>
      <w:r w:rsidRPr="00003D21">
        <w:rPr>
          <w:rStyle w:val="EndnoteReference"/>
          <w:lang w:val="en-CA"/>
        </w:rPr>
        <w:endnoteReference w:id="17"/>
      </w:r>
      <w:r w:rsidRPr="00003D21">
        <w:rPr>
          <w:lang w:val="en-CA"/>
        </w:rPr>
        <w:t xml:space="preserve"> Fintech businesses leveraging the open-loop payments model effectively removed costs to achieve profitability. Similarly, the operation of the digital banking business model was almost identical to that of traditional banking businesses, with two main differences: (1) a tremendous savings on human capital and real estate costs, and (2) the forgoing of high-risk services such as loans, which allowed fintech start-ups like Koho to offer low-cost products.</w:t>
      </w:r>
      <w:r w:rsidRPr="00003D21">
        <w:rPr>
          <w:rStyle w:val="EndnoteReference"/>
          <w:lang w:val="en-CA"/>
        </w:rPr>
        <w:endnoteReference w:id="18"/>
      </w:r>
      <w:r w:rsidRPr="00003D21">
        <w:rPr>
          <w:lang w:val="en-CA"/>
        </w:rPr>
        <w:t xml:space="preserve"> This unique business model created an accessible and affordable option for customers, who no longer had to pay traditional banking and credit card fees. Koho also used machine learning technology to better understand customers’ spending habits and curate product recommendations. As a result, Koho also earned commission from referrals to other products, such as Wealthsimple and Willful.</w:t>
      </w:r>
      <w:r w:rsidRPr="00003D21">
        <w:rPr>
          <w:rStyle w:val="EndnoteReference"/>
          <w:lang w:val="en-CA"/>
        </w:rPr>
        <w:endnoteReference w:id="19"/>
      </w:r>
      <w:r w:rsidRPr="00003D21">
        <w:rPr>
          <w:lang w:val="en-CA"/>
        </w:rPr>
        <w:t xml:space="preserve"> </w:t>
      </w:r>
    </w:p>
    <w:p w14:paraId="33410A1A" w14:textId="6AF5FDA1" w:rsidR="00790ABB" w:rsidRPr="00003D21" w:rsidRDefault="00790ABB" w:rsidP="005312B7">
      <w:pPr>
        <w:pStyle w:val="BodyTextMain"/>
        <w:rPr>
          <w:lang w:val="en-CA"/>
        </w:rPr>
      </w:pPr>
    </w:p>
    <w:p w14:paraId="7A0FFED3" w14:textId="77777777" w:rsidR="00790ABB" w:rsidRPr="00003D21" w:rsidRDefault="00790ABB" w:rsidP="005312B7">
      <w:pPr>
        <w:pStyle w:val="BodyTextMain"/>
        <w:rPr>
          <w:lang w:val="en-CA"/>
        </w:rPr>
      </w:pPr>
    </w:p>
    <w:p w14:paraId="242F189B" w14:textId="5A8FB3F5" w:rsidR="00790ABB" w:rsidRPr="00003D21" w:rsidRDefault="00790ABB" w:rsidP="005312B7">
      <w:pPr>
        <w:pStyle w:val="Casehead1"/>
        <w:rPr>
          <w:lang w:val="en-CA"/>
        </w:rPr>
      </w:pPr>
      <w:r w:rsidRPr="00003D21">
        <w:rPr>
          <w:lang w:val="en-CA"/>
        </w:rPr>
        <w:t>MARKETING</w:t>
      </w:r>
    </w:p>
    <w:p w14:paraId="55F7A062" w14:textId="77777777" w:rsidR="00790ABB" w:rsidRPr="00003D21" w:rsidRDefault="00790ABB" w:rsidP="005312B7">
      <w:pPr>
        <w:pStyle w:val="BodyTextMain"/>
        <w:rPr>
          <w:lang w:val="en-CA"/>
        </w:rPr>
      </w:pPr>
    </w:p>
    <w:p w14:paraId="3DCFB273" w14:textId="0010432E" w:rsidR="00790ABB" w:rsidRPr="00003D21" w:rsidRDefault="00790ABB" w:rsidP="005312B7">
      <w:pPr>
        <w:pStyle w:val="BodyTextMain"/>
        <w:rPr>
          <w:color w:val="000000" w:themeColor="text1"/>
          <w:lang w:val="en-CA"/>
        </w:rPr>
      </w:pPr>
      <w:r w:rsidRPr="00003D21">
        <w:rPr>
          <w:color w:val="000000" w:themeColor="text1"/>
          <w:lang w:val="en-CA"/>
        </w:rPr>
        <w:t>Koho’s main marketing messaging was about restoring financial balance. Koho strategically positioned itself as an anti-establishment option that offered low prices.</w:t>
      </w:r>
      <w:r w:rsidRPr="00003D21">
        <w:rPr>
          <w:rStyle w:val="EndnoteReference"/>
          <w:color w:val="000000" w:themeColor="text1"/>
          <w:lang w:val="en-CA"/>
        </w:rPr>
        <w:endnoteReference w:id="20"/>
      </w:r>
      <w:r w:rsidRPr="00003D21">
        <w:rPr>
          <w:color w:val="000000" w:themeColor="text1"/>
          <w:lang w:val="en-CA"/>
        </w:rPr>
        <w:t xml:space="preserve"> Aligned with its message of transparency, Koho created custom content to educate its users on how to better manage and save money using its platform. Both growth and customer acquisition were vital to ensuring its successful long-term viability as a fintech start-up.</w:t>
      </w:r>
      <w:r w:rsidR="002C24DD" w:rsidRPr="00003D21">
        <w:rPr>
          <w:rStyle w:val="EndnoteReference"/>
          <w:lang w:val="en-CA"/>
        </w:rPr>
        <w:endnoteReference w:id="21"/>
      </w:r>
      <w:r w:rsidR="002C24DD" w:rsidRPr="00003D21">
        <w:rPr>
          <w:lang w:val="en-CA"/>
        </w:rPr>
        <w:t xml:space="preserve"> </w:t>
      </w:r>
      <w:r w:rsidRPr="00003D21">
        <w:rPr>
          <w:color w:val="000000" w:themeColor="text1"/>
          <w:lang w:val="en-CA"/>
        </w:rPr>
        <w:t xml:space="preserve"> </w:t>
      </w:r>
    </w:p>
    <w:p w14:paraId="27BA7ABB" w14:textId="77777777" w:rsidR="00790ABB" w:rsidRPr="00003D21" w:rsidRDefault="00790ABB" w:rsidP="005312B7">
      <w:pPr>
        <w:pStyle w:val="BodyTextMain"/>
        <w:rPr>
          <w:color w:val="000000" w:themeColor="text1"/>
          <w:lang w:val="en-CA"/>
        </w:rPr>
      </w:pPr>
    </w:p>
    <w:p w14:paraId="63FDABD5" w14:textId="79BBEAD0" w:rsidR="00790ABB" w:rsidRPr="00003D21" w:rsidRDefault="00790ABB" w:rsidP="005312B7">
      <w:pPr>
        <w:pStyle w:val="BodyTextMain"/>
        <w:rPr>
          <w:color w:val="000000" w:themeColor="text1"/>
          <w:lang w:val="en-CA"/>
        </w:rPr>
      </w:pPr>
      <w:r w:rsidRPr="00003D21">
        <w:rPr>
          <w:color w:val="000000" w:themeColor="text1"/>
          <w:lang w:val="en-CA"/>
        </w:rPr>
        <w:t>As a mobile app, Koho gathered data and real-time insights on users’ spending habits. For example, Koho discovered that Canadian users put one-third to one-half of their paycheques into their Koho accounts every two weeks.</w:t>
      </w:r>
      <w:r w:rsidRPr="00003D21">
        <w:rPr>
          <w:rStyle w:val="EndnoteReference"/>
          <w:color w:val="000000" w:themeColor="text1"/>
          <w:lang w:val="en-CA"/>
        </w:rPr>
        <w:endnoteReference w:id="22"/>
      </w:r>
      <w:r w:rsidRPr="00003D21">
        <w:rPr>
          <w:color w:val="000000" w:themeColor="text1"/>
          <w:lang w:val="en-CA"/>
        </w:rPr>
        <w:t xml:space="preserve"> These users also logged in and opened the Koho application an average of eight times per month—far more than regular online banking platforms, which they used an average of once per month.</w:t>
      </w:r>
      <w:r w:rsidRPr="00003D21">
        <w:rPr>
          <w:rStyle w:val="EndnoteReference"/>
          <w:color w:val="000000" w:themeColor="text1"/>
          <w:lang w:val="en-CA"/>
        </w:rPr>
        <w:endnoteReference w:id="23"/>
      </w:r>
      <w:r w:rsidRPr="00003D21">
        <w:rPr>
          <w:color w:val="000000" w:themeColor="text1"/>
          <w:lang w:val="en-CA"/>
        </w:rPr>
        <w:t xml:space="preserve"> Armed with this data, Koho could hyper</w:t>
      </w:r>
      <w:r>
        <w:rPr>
          <w:color w:val="000000" w:themeColor="text1"/>
          <w:lang w:val="en-CA"/>
        </w:rPr>
        <w:t>-</w:t>
      </w:r>
      <w:r w:rsidRPr="00003D21">
        <w:rPr>
          <w:color w:val="000000" w:themeColor="text1"/>
          <w:lang w:val="en-CA"/>
        </w:rPr>
        <w:t>target specific customers with recommendations for other products and earn commissions from merchants. This user-level data also allowed fintech start-ups to create personas and to develop a better understanding of different types of users. Social media platforms such as Facebook offered services that enabled them to create lookalike audiences—audiences that shared similar traits and interests—when creating digital advertisements.</w:t>
      </w:r>
      <w:r w:rsidRPr="00003D21">
        <w:rPr>
          <w:rStyle w:val="EndnoteReference"/>
          <w:color w:val="000000" w:themeColor="text1"/>
          <w:lang w:val="en-CA"/>
        </w:rPr>
        <w:endnoteReference w:id="24"/>
      </w:r>
    </w:p>
    <w:p w14:paraId="3CA7B01C" w14:textId="45CAD8E8" w:rsidR="00790ABB" w:rsidRPr="003472DD" w:rsidRDefault="00790ABB" w:rsidP="005312B7">
      <w:pPr>
        <w:pStyle w:val="BodyTextMain"/>
        <w:rPr>
          <w:color w:val="000000" w:themeColor="text1"/>
          <w:sz w:val="14"/>
          <w:szCs w:val="14"/>
          <w:lang w:val="en-CA"/>
        </w:rPr>
      </w:pPr>
    </w:p>
    <w:p w14:paraId="11F0068A" w14:textId="77777777" w:rsidR="00790ABB" w:rsidRPr="003472DD" w:rsidRDefault="00790ABB" w:rsidP="005312B7">
      <w:pPr>
        <w:pStyle w:val="BodyTextMain"/>
        <w:rPr>
          <w:color w:val="000000" w:themeColor="text1"/>
          <w:sz w:val="14"/>
          <w:szCs w:val="14"/>
          <w:lang w:val="en-CA"/>
        </w:rPr>
      </w:pPr>
    </w:p>
    <w:p w14:paraId="15B60437" w14:textId="24F829E2" w:rsidR="00790ABB" w:rsidRPr="00003D21" w:rsidRDefault="00790ABB" w:rsidP="005312B7">
      <w:pPr>
        <w:jc w:val="both"/>
        <w:rPr>
          <w:rFonts w:ascii="Arial" w:hAnsi="Arial" w:cs="Arial"/>
          <w:b/>
          <w:bCs/>
          <w:lang w:val="en-CA"/>
        </w:rPr>
      </w:pPr>
      <w:r w:rsidRPr="00003D21">
        <w:rPr>
          <w:rFonts w:ascii="Arial" w:hAnsi="Arial" w:cs="Arial"/>
          <w:b/>
          <w:bCs/>
          <w:lang w:val="en-CA"/>
        </w:rPr>
        <w:t xml:space="preserve">STAKEHOLDERS </w:t>
      </w:r>
    </w:p>
    <w:p w14:paraId="5F6B87CF" w14:textId="77777777" w:rsidR="00790ABB" w:rsidRPr="003472DD" w:rsidRDefault="00790ABB" w:rsidP="005312B7">
      <w:pPr>
        <w:pStyle w:val="BodyTextMain"/>
        <w:rPr>
          <w:sz w:val="14"/>
          <w:szCs w:val="14"/>
          <w:lang w:val="en-CA"/>
        </w:rPr>
      </w:pPr>
    </w:p>
    <w:p w14:paraId="02CC72CC" w14:textId="68BE048C" w:rsidR="00790ABB" w:rsidRPr="00003D21" w:rsidRDefault="00790ABB" w:rsidP="005312B7">
      <w:pPr>
        <w:pStyle w:val="BodyTextMain"/>
        <w:rPr>
          <w:lang w:val="en-CA"/>
        </w:rPr>
      </w:pPr>
      <w:r w:rsidRPr="00003D21">
        <w:rPr>
          <w:lang w:val="en-CA"/>
        </w:rPr>
        <w:t>Koho’s recent funding round included fintech venture capital firm Portag3 Ventures and U</w:t>
      </w:r>
      <w:r>
        <w:rPr>
          <w:lang w:val="en-CA"/>
        </w:rPr>
        <w:t>.</w:t>
      </w:r>
      <w:r w:rsidRPr="00003D21">
        <w:rPr>
          <w:lang w:val="en-CA"/>
        </w:rPr>
        <w:t>K</w:t>
      </w:r>
      <w:r>
        <w:rPr>
          <w:lang w:val="en-CA"/>
        </w:rPr>
        <w:t>.</w:t>
      </w:r>
      <w:r w:rsidRPr="00003D21">
        <w:rPr>
          <w:lang w:val="en-CA"/>
        </w:rPr>
        <w:t>-based Greyhound Capital, among others.</w:t>
      </w:r>
      <w:r w:rsidRPr="00003D21">
        <w:rPr>
          <w:rStyle w:val="EndnoteReference"/>
          <w:lang w:val="en-CA"/>
        </w:rPr>
        <w:endnoteReference w:id="25"/>
      </w:r>
      <w:r w:rsidRPr="00003D21">
        <w:rPr>
          <w:lang w:val="en-CA"/>
        </w:rPr>
        <w:t xml:space="preserve"> Investors in Koho’s current series B funding round expected the company to grow further by increasing customer acquisition, entering new markets, or developing new products and services. In exchange for mentorship and funding, venture capital firms typically expected successful portfolio companies to generate returns up to 10 times the size of their investments, with a typical time horizon of eight to 10 years.</w:t>
      </w:r>
      <w:r w:rsidRPr="00003D21">
        <w:rPr>
          <w:rStyle w:val="EndnoteReference"/>
          <w:lang w:val="en-CA"/>
        </w:rPr>
        <w:endnoteReference w:id="26"/>
      </w:r>
      <w:r w:rsidRPr="00003D21">
        <w:rPr>
          <w:lang w:val="en-CA"/>
        </w:rPr>
        <w:t xml:space="preserve"> Exit strategies of venture capital firms included initial public offerings, acquisitions, and management buyouts.</w:t>
      </w:r>
      <w:r w:rsidRPr="00003D21">
        <w:rPr>
          <w:rStyle w:val="EndnoteReference"/>
          <w:lang w:val="en-CA"/>
        </w:rPr>
        <w:endnoteReference w:id="27"/>
      </w:r>
      <w:r w:rsidRPr="00003D21">
        <w:rPr>
          <w:lang w:val="en-CA"/>
        </w:rPr>
        <w:t xml:space="preserve"> </w:t>
      </w:r>
    </w:p>
    <w:p w14:paraId="785CB427" w14:textId="392C37E2" w:rsidR="00790ABB" w:rsidRPr="00003D21" w:rsidRDefault="00790ABB" w:rsidP="005312B7">
      <w:pPr>
        <w:pStyle w:val="BodyTextMain"/>
        <w:rPr>
          <w:lang w:val="en-CA"/>
        </w:rPr>
      </w:pPr>
      <w:r w:rsidRPr="00003D21">
        <w:rPr>
          <w:lang w:val="en-CA"/>
        </w:rPr>
        <w:lastRenderedPageBreak/>
        <w:t>Like other fintech companies, Koho mainly targeted millennials, who prioritized convenience, value, and trust when choosing the products and services they would adopt. Unlike older consumers, who preferred traditional channels such as brick-and-mortar stores, millennials sought digital user experiences that were seamless and fast. Millennial users also sought products and services that provided the best value. According to a study, 93 per cent of millennials saw a fee-free service as essential when choosing a financial institution, and 83 per cent would switch to banks that offered better terms or rewards.</w:t>
      </w:r>
      <w:r w:rsidRPr="00003D21">
        <w:rPr>
          <w:rStyle w:val="EndnoteReference"/>
          <w:lang w:val="en-CA"/>
        </w:rPr>
        <w:endnoteReference w:id="28"/>
      </w:r>
      <w:r w:rsidRPr="00003D21">
        <w:rPr>
          <w:lang w:val="en-CA"/>
        </w:rPr>
        <w:t xml:space="preserve"> Finally, millennials tended to have little trust in financial services due to the impact of the financial crisis in 2008.</w:t>
      </w:r>
      <w:r w:rsidRPr="00003D21">
        <w:rPr>
          <w:rStyle w:val="EndnoteReference"/>
          <w:lang w:val="en-CA"/>
        </w:rPr>
        <w:endnoteReference w:id="29"/>
      </w:r>
      <w:r w:rsidRPr="00003D21">
        <w:rPr>
          <w:lang w:val="en-CA"/>
        </w:rPr>
        <w:t xml:space="preserve"> Fintech companies had to recognize that trust and security were of utmost importance to retaining users.</w:t>
      </w:r>
    </w:p>
    <w:p w14:paraId="016A30C5" w14:textId="77777777" w:rsidR="00790ABB" w:rsidRPr="00003D21" w:rsidRDefault="00790ABB" w:rsidP="005312B7">
      <w:pPr>
        <w:pStyle w:val="BodyTextMain"/>
        <w:rPr>
          <w:lang w:val="en-CA"/>
        </w:rPr>
      </w:pPr>
    </w:p>
    <w:p w14:paraId="17783748" w14:textId="5C1A9CC2" w:rsidR="00790ABB" w:rsidRPr="00003D21" w:rsidRDefault="00790ABB" w:rsidP="005312B7">
      <w:pPr>
        <w:pStyle w:val="BodyTextMain"/>
        <w:rPr>
          <w:lang w:val="en-CA"/>
        </w:rPr>
      </w:pPr>
      <w:r w:rsidRPr="00003D21">
        <w:rPr>
          <w:lang w:val="en-CA"/>
        </w:rPr>
        <w:t>One of Koho’s main value propositions was the PowerUps cash back program, where users received rewards when shopping at select merchants.</w:t>
      </w:r>
      <w:r w:rsidRPr="00003D21">
        <w:rPr>
          <w:rStyle w:val="EndnoteReference"/>
          <w:lang w:val="en-CA"/>
        </w:rPr>
        <w:endnoteReference w:id="30"/>
      </w:r>
      <w:r w:rsidRPr="00003D21">
        <w:rPr>
          <w:lang w:val="en-CA"/>
        </w:rPr>
        <w:t xml:space="preserve"> Merchants participating in the program included Foodora, Greenhouse Juice Co., and Chefs Plate, which offered customers 1.5–5.0 per cent cash back when they used their Koho cards.</w:t>
      </w:r>
      <w:r w:rsidRPr="00003D21">
        <w:rPr>
          <w:rStyle w:val="EndnoteReference"/>
          <w:lang w:val="en-CA"/>
        </w:rPr>
        <w:endnoteReference w:id="31"/>
      </w:r>
      <w:r w:rsidRPr="00003D21">
        <w:rPr>
          <w:lang w:val="en-CA"/>
        </w:rPr>
        <w:t xml:space="preserve"> This feature enabled merchants to use Koho as a marketing platform to attract new customers to shop at their stores and benefited both merchants, through increased sales and loyalty, and customers, through cash back rewards.</w:t>
      </w:r>
    </w:p>
    <w:p w14:paraId="343D7E4A" w14:textId="30FC7950" w:rsidR="00790ABB" w:rsidRPr="00003D21" w:rsidRDefault="00790ABB" w:rsidP="005312B7">
      <w:pPr>
        <w:pStyle w:val="BodyTextMain"/>
        <w:rPr>
          <w:lang w:val="en-CA"/>
        </w:rPr>
      </w:pPr>
    </w:p>
    <w:p w14:paraId="60C6C2E9" w14:textId="77777777" w:rsidR="00790ABB" w:rsidRPr="00003D21" w:rsidRDefault="00790ABB" w:rsidP="005312B7">
      <w:pPr>
        <w:pStyle w:val="BodyTextMain"/>
        <w:rPr>
          <w:lang w:val="en-CA"/>
        </w:rPr>
      </w:pPr>
    </w:p>
    <w:p w14:paraId="79ED79FA" w14:textId="77777777" w:rsidR="00790ABB" w:rsidRPr="00003D21" w:rsidRDefault="00790ABB" w:rsidP="005312B7">
      <w:pPr>
        <w:jc w:val="both"/>
        <w:rPr>
          <w:rFonts w:ascii="Arial" w:hAnsi="Arial" w:cs="Arial"/>
          <w:b/>
          <w:bCs/>
          <w:lang w:val="en-CA"/>
        </w:rPr>
      </w:pPr>
      <w:r w:rsidRPr="00003D21">
        <w:rPr>
          <w:rFonts w:ascii="Arial" w:hAnsi="Arial" w:cs="Arial"/>
          <w:b/>
          <w:bCs/>
          <w:lang w:val="en-CA"/>
        </w:rPr>
        <w:t xml:space="preserve">OPEN BANKING </w:t>
      </w:r>
    </w:p>
    <w:p w14:paraId="266D6E33" w14:textId="77777777" w:rsidR="00790ABB" w:rsidRPr="00003D21" w:rsidRDefault="00790ABB" w:rsidP="005312B7">
      <w:pPr>
        <w:pStyle w:val="BodyTextMain"/>
        <w:rPr>
          <w:lang w:val="en-CA"/>
        </w:rPr>
      </w:pPr>
    </w:p>
    <w:p w14:paraId="4F29501A" w14:textId="77B1C6BE" w:rsidR="00790ABB" w:rsidRPr="00003D21" w:rsidRDefault="00790ABB" w:rsidP="005312B7">
      <w:pPr>
        <w:pStyle w:val="BodyTextMain"/>
        <w:rPr>
          <w:lang w:val="en-CA"/>
        </w:rPr>
      </w:pPr>
      <w:r w:rsidRPr="00003D21">
        <w:rPr>
          <w:lang w:val="en-CA"/>
        </w:rPr>
        <w:t>Open banking, also known as consumer-directed banking, was a framework that enabled third-party providers (TPPs) such as fintech companies to securely access consumer financial data. Through application programming interfaces (APIs), fintech companies were able to leverage financial data, traditionally available only to banks, to improve their product offerings by providing personalized solutions (see Exhibit 3). Typically, customers were required to provide consent to allow third-party access to their financial data. Open banking was commonly used to analyze customers’ transactional data, aggregate data from multiple banks, and create new transactions.</w:t>
      </w:r>
      <w:r w:rsidRPr="00003D21">
        <w:rPr>
          <w:rStyle w:val="EndnoteReference"/>
          <w:lang w:val="en-CA"/>
        </w:rPr>
        <w:endnoteReference w:id="32"/>
      </w:r>
    </w:p>
    <w:p w14:paraId="7EF2CA69" w14:textId="57B55C1C" w:rsidR="00790ABB" w:rsidRPr="00003D21" w:rsidRDefault="00790ABB" w:rsidP="005312B7">
      <w:pPr>
        <w:pStyle w:val="BodyTextMain"/>
        <w:rPr>
          <w:lang w:val="en-CA"/>
        </w:rPr>
      </w:pPr>
    </w:p>
    <w:p w14:paraId="434C1D99" w14:textId="04CC9F40" w:rsidR="00790ABB" w:rsidRPr="002F623D" w:rsidRDefault="00790ABB" w:rsidP="005312B7">
      <w:pPr>
        <w:pStyle w:val="BodyTextMain"/>
        <w:rPr>
          <w:spacing w:val="-2"/>
          <w:lang w:val="en-CA"/>
        </w:rPr>
      </w:pPr>
      <w:r w:rsidRPr="002F623D">
        <w:rPr>
          <w:spacing w:val="-2"/>
          <w:lang w:val="en-CA"/>
        </w:rPr>
        <w:t>Open banking allowed fintech companies to understand consumers better by analyzing their financial data. Benefits of open banking included innovation, lower barriers to entry for new fintech start-ups, efficiency through faster data sharing, standardization, and the creation of opportunities for marginalized communities. Consumers benefited from open banking as businesses were able to leverage user-level data to fuel insights and provide more personalized experiences. Businesses and financial services benefited from open banking as data sharing allowed for a more holistic, accurate portrayal of a consumer’s financial position.</w:t>
      </w:r>
      <w:r w:rsidRPr="002F623D">
        <w:rPr>
          <w:rStyle w:val="EndnoteReference"/>
          <w:spacing w:val="-2"/>
          <w:lang w:val="en-CA"/>
        </w:rPr>
        <w:endnoteReference w:id="33"/>
      </w:r>
    </w:p>
    <w:p w14:paraId="5A184F5F" w14:textId="77777777" w:rsidR="00790ABB" w:rsidRPr="00003D21" w:rsidRDefault="00790ABB" w:rsidP="005312B7">
      <w:pPr>
        <w:pStyle w:val="BodyTextMain"/>
        <w:rPr>
          <w:lang w:val="en-CA"/>
        </w:rPr>
      </w:pPr>
    </w:p>
    <w:p w14:paraId="71A9D2B7" w14:textId="586B22A0" w:rsidR="00790ABB" w:rsidRPr="00003D21" w:rsidRDefault="00790ABB" w:rsidP="005312B7">
      <w:pPr>
        <w:pStyle w:val="BodyTextMain"/>
        <w:rPr>
          <w:lang w:val="en-CA"/>
        </w:rPr>
      </w:pPr>
      <w:r>
        <w:rPr>
          <w:lang w:val="en-CA"/>
        </w:rPr>
        <w:t>O</w:t>
      </w:r>
      <w:r w:rsidRPr="00003D21">
        <w:rPr>
          <w:lang w:val="en-CA"/>
        </w:rPr>
        <w:t>pen banking</w:t>
      </w:r>
      <w:r>
        <w:rPr>
          <w:lang w:val="en-CA"/>
        </w:rPr>
        <w:t>,</w:t>
      </w:r>
      <w:r w:rsidRPr="00003D21">
        <w:rPr>
          <w:lang w:val="en-CA"/>
        </w:rPr>
        <w:t xml:space="preserve"> </w:t>
      </w:r>
      <w:r>
        <w:rPr>
          <w:lang w:val="en-CA"/>
        </w:rPr>
        <w:t xml:space="preserve">which </w:t>
      </w:r>
      <w:r w:rsidRPr="00003D21">
        <w:rPr>
          <w:lang w:val="en-CA"/>
        </w:rPr>
        <w:t>required consumers to share their personal data with multiple stakeholders, came with major security and privacy risks. Open banking invited many stakeholders—such as payment processors, banks, customers, regulators, and start-ups—to share information. This resulted in information asymmetry and made it possible for parties to take advantage of consumers through methods such as predatory lending.</w:t>
      </w:r>
      <w:r w:rsidRPr="00003D21">
        <w:rPr>
          <w:rStyle w:val="EndnoteReference"/>
          <w:lang w:val="en-CA"/>
        </w:rPr>
        <w:endnoteReference w:id="34"/>
      </w:r>
      <w:r w:rsidRPr="00003D21">
        <w:rPr>
          <w:lang w:val="en-CA"/>
        </w:rPr>
        <w:t xml:space="preserve"> Moreover, open-banking operations were entirely online, and the digital environment created a higher risk that hackers would attempt to access financial data. Consequently, the higher potential for financial crime</w:t>
      </w:r>
      <w:r>
        <w:rPr>
          <w:lang w:val="en-CA"/>
        </w:rPr>
        <w:t xml:space="preserve"> made i</w:t>
      </w:r>
      <w:r w:rsidRPr="00003D21">
        <w:rPr>
          <w:lang w:val="en-CA"/>
        </w:rPr>
        <w:t>t more difficult to identify suspicious behaviour.</w:t>
      </w:r>
      <w:r w:rsidRPr="00003D21">
        <w:rPr>
          <w:rStyle w:val="EndnoteReference"/>
          <w:lang w:val="en-CA"/>
        </w:rPr>
        <w:endnoteReference w:id="35"/>
      </w:r>
    </w:p>
    <w:p w14:paraId="1B05A334" w14:textId="77777777" w:rsidR="00790ABB" w:rsidRPr="00003D21" w:rsidRDefault="00790ABB" w:rsidP="005312B7">
      <w:pPr>
        <w:pStyle w:val="BodyTextMain"/>
        <w:rPr>
          <w:lang w:val="en-CA"/>
        </w:rPr>
      </w:pPr>
    </w:p>
    <w:p w14:paraId="4252CAF2" w14:textId="60B05877" w:rsidR="00790ABB" w:rsidRPr="00003D21" w:rsidRDefault="00790ABB" w:rsidP="005312B7">
      <w:pPr>
        <w:pStyle w:val="BodyTextMain"/>
        <w:rPr>
          <w:lang w:val="en-CA"/>
        </w:rPr>
      </w:pPr>
      <w:r w:rsidRPr="00003D21">
        <w:rPr>
          <w:lang w:val="en-CA"/>
        </w:rPr>
        <w:t xml:space="preserve">In Canada, the </w:t>
      </w:r>
      <w:r w:rsidRPr="00003D21">
        <w:rPr>
          <w:i/>
          <w:lang w:val="en-CA"/>
        </w:rPr>
        <w:t>Personal Information Protection and Electronic Documents Act</w:t>
      </w:r>
      <w:r w:rsidRPr="00003D21">
        <w:rPr>
          <w:lang w:val="en-CA"/>
        </w:rPr>
        <w:t xml:space="preserve"> (PIPEDA) applied to private-sector uses of personal information in the course of commercial business.</w:t>
      </w:r>
      <w:r w:rsidRPr="00003D21">
        <w:rPr>
          <w:rStyle w:val="EndnoteReference"/>
          <w:lang w:val="en-CA"/>
        </w:rPr>
        <w:endnoteReference w:id="36"/>
      </w:r>
      <w:r w:rsidRPr="00003D21">
        <w:rPr>
          <w:lang w:val="en-CA"/>
        </w:rPr>
        <w:t xml:space="preserve"> Under PIPEDA, companies had to be transparent and clearly identify</w:t>
      </w:r>
      <w:r>
        <w:rPr>
          <w:lang w:val="en-CA"/>
        </w:rPr>
        <w:t>,</w:t>
      </w:r>
      <w:r w:rsidRPr="00003D21">
        <w:rPr>
          <w:lang w:val="en-CA"/>
        </w:rPr>
        <w:t xml:space="preserve"> for consumers</w:t>
      </w:r>
      <w:r>
        <w:rPr>
          <w:lang w:val="en-CA"/>
        </w:rPr>
        <w:t>,</w:t>
      </w:r>
      <w:r w:rsidRPr="00003D21">
        <w:rPr>
          <w:lang w:val="en-CA"/>
        </w:rPr>
        <w:t xml:space="preserve"> the information they were collecting, the purpose of collecting the data, the stakeholders that had access to the data, and any potential risks that might arise.</w:t>
      </w:r>
      <w:r w:rsidRPr="00003D21">
        <w:rPr>
          <w:rStyle w:val="EndnoteReference"/>
          <w:lang w:val="en-CA"/>
        </w:rPr>
        <w:endnoteReference w:id="37"/>
      </w:r>
      <w:r w:rsidRPr="00003D21">
        <w:rPr>
          <w:lang w:val="en-CA"/>
        </w:rPr>
        <w:t xml:space="preserve"> However, PIPEDA was not specific to open banking or technological uses.</w:t>
      </w:r>
      <w:r w:rsidRPr="00003D21">
        <w:rPr>
          <w:rStyle w:val="EndnoteReference"/>
          <w:lang w:val="en-CA"/>
        </w:rPr>
        <w:endnoteReference w:id="38"/>
      </w:r>
      <w:r w:rsidRPr="00003D21">
        <w:rPr>
          <w:lang w:val="en-CA"/>
        </w:rPr>
        <w:t xml:space="preserve"> As a result, the industry was constantly undergoing regulatory changes to ensure that consumers were protected.</w:t>
      </w:r>
      <w:r w:rsidRPr="00003D21">
        <w:rPr>
          <w:rStyle w:val="EndnoteReference"/>
          <w:lang w:val="en-CA"/>
        </w:rPr>
        <w:endnoteReference w:id="39"/>
      </w:r>
    </w:p>
    <w:p w14:paraId="7D408392" w14:textId="77777777" w:rsidR="00790ABB" w:rsidRPr="00003D21" w:rsidRDefault="00790ABB" w:rsidP="005312B7">
      <w:pPr>
        <w:pStyle w:val="BodyTextMain"/>
        <w:rPr>
          <w:lang w:val="en-CA"/>
        </w:rPr>
      </w:pPr>
    </w:p>
    <w:p w14:paraId="2C885C95" w14:textId="77777777" w:rsidR="00790ABB" w:rsidRPr="00003D21" w:rsidRDefault="00790ABB" w:rsidP="005312B7">
      <w:pPr>
        <w:keepNext/>
        <w:jc w:val="both"/>
        <w:rPr>
          <w:rFonts w:ascii="Arial" w:hAnsi="Arial" w:cs="Arial"/>
          <w:i/>
          <w:iCs/>
          <w:sz w:val="21"/>
          <w:szCs w:val="21"/>
          <w:highlight w:val="yellow"/>
          <w:lang w:val="en-CA"/>
        </w:rPr>
      </w:pPr>
      <w:r w:rsidRPr="00003D21">
        <w:rPr>
          <w:rFonts w:ascii="Arial" w:hAnsi="Arial" w:cs="Arial"/>
          <w:b/>
          <w:bCs/>
          <w:lang w:val="en-CA"/>
        </w:rPr>
        <w:lastRenderedPageBreak/>
        <w:t>REGULATION</w:t>
      </w:r>
    </w:p>
    <w:p w14:paraId="065493FA" w14:textId="77777777" w:rsidR="00790ABB" w:rsidRPr="00003D21" w:rsidRDefault="00790ABB" w:rsidP="005312B7">
      <w:pPr>
        <w:pStyle w:val="BodyTextMain"/>
        <w:rPr>
          <w:lang w:val="en-CA"/>
        </w:rPr>
      </w:pPr>
    </w:p>
    <w:p w14:paraId="75BD9B1C" w14:textId="62D992F4" w:rsidR="00790ABB" w:rsidRPr="00003D21" w:rsidRDefault="00790ABB" w:rsidP="005312B7">
      <w:pPr>
        <w:pStyle w:val="BodyTextMain"/>
        <w:rPr>
          <w:lang w:val="en-CA"/>
        </w:rPr>
      </w:pPr>
      <w:r w:rsidRPr="00003D21">
        <w:rPr>
          <w:lang w:val="en-CA"/>
        </w:rPr>
        <w:t xml:space="preserve">In January 2020, the Canadian Department of Finance’s Advisory Committee on Open Banking released </w:t>
      </w:r>
      <w:r w:rsidRPr="00003D21">
        <w:rPr>
          <w:i/>
          <w:lang w:val="en-CA"/>
        </w:rPr>
        <w:t>Consumer-Directed Finance: The Future of Financial Services</w:t>
      </w:r>
      <w:r w:rsidRPr="00003D21">
        <w:rPr>
          <w:lang w:val="en-CA"/>
        </w:rPr>
        <w:t>, a report that presented findings and recommendations regarding open banking.</w:t>
      </w:r>
      <w:r w:rsidRPr="00003D21">
        <w:rPr>
          <w:rStyle w:val="EndnoteReference"/>
          <w:lang w:val="en-CA"/>
        </w:rPr>
        <w:endnoteReference w:id="40"/>
      </w:r>
      <w:r w:rsidRPr="00003D21">
        <w:rPr>
          <w:lang w:val="en-CA"/>
        </w:rPr>
        <w:t xml:space="preserve"> The report aggregated over 100 written submissions in response to the consultation paper the committee released in January 2019, </w:t>
      </w:r>
      <w:r w:rsidRPr="00003D21">
        <w:rPr>
          <w:i/>
          <w:lang w:val="en-CA"/>
        </w:rPr>
        <w:t>A Review into the Merits of Open Banking</w:t>
      </w:r>
      <w:r w:rsidRPr="00003D21">
        <w:rPr>
          <w:lang w:val="en-CA"/>
        </w:rPr>
        <w:t>.</w:t>
      </w:r>
      <w:r w:rsidRPr="00003D21">
        <w:rPr>
          <w:rStyle w:val="EndnoteReference"/>
          <w:lang w:val="en-CA"/>
        </w:rPr>
        <w:endnoteReference w:id="41"/>
      </w:r>
      <w:r w:rsidRPr="00003D21">
        <w:rPr>
          <w:lang w:val="en-CA"/>
        </w:rPr>
        <w:t xml:space="preserve"> The submissions were written by various stakeholders, including consulting firms, financial services firms, and regulators (see Exhibit 4).</w:t>
      </w:r>
    </w:p>
    <w:p w14:paraId="05F47158" w14:textId="77777777" w:rsidR="00790ABB" w:rsidRPr="00003D21" w:rsidRDefault="00790ABB" w:rsidP="005312B7">
      <w:pPr>
        <w:pStyle w:val="BodyTextMain"/>
        <w:rPr>
          <w:lang w:val="en-CA"/>
        </w:rPr>
      </w:pPr>
    </w:p>
    <w:p w14:paraId="0DACED4D" w14:textId="64C3DF2D" w:rsidR="00790ABB" w:rsidRPr="00003D21" w:rsidRDefault="00790ABB" w:rsidP="005312B7">
      <w:pPr>
        <w:pStyle w:val="BodyTextMain"/>
        <w:rPr>
          <w:lang w:val="en-CA"/>
        </w:rPr>
      </w:pPr>
      <w:r w:rsidRPr="00003D21">
        <w:rPr>
          <w:lang w:val="en-CA"/>
        </w:rPr>
        <w:t>Key findings stated in the report were that the Department of Finance, along with industry stakeholders, should develop a white paper regarding an open banking framework and that open banking would help support Canadians’ financial health. The most common method of sharing financial data was screen scraping, which involves copying information shown on a digital display for future use;</w:t>
      </w:r>
      <w:r w:rsidRPr="00003D21">
        <w:rPr>
          <w:rStyle w:val="EndnoteReference"/>
          <w:lang w:val="en-CA"/>
        </w:rPr>
        <w:endnoteReference w:id="42"/>
      </w:r>
      <w:r w:rsidRPr="00003D21">
        <w:rPr>
          <w:lang w:val="en-CA"/>
        </w:rPr>
        <w:t xml:space="preserve"> however, screen scraping involved sharing password information to access user data</w:t>
      </w:r>
      <w:r>
        <w:rPr>
          <w:lang w:val="en-CA"/>
        </w:rPr>
        <w:t xml:space="preserve"> and so </w:t>
      </w:r>
      <w:r w:rsidRPr="00003D21">
        <w:rPr>
          <w:lang w:val="en-CA"/>
        </w:rPr>
        <w:t>created security and liability risks for all stakeholders. Additionally, the report emphasized the importance of integrating consumer privacy and protection when designing user experiences and user interfaces.</w:t>
      </w:r>
      <w:r w:rsidRPr="00003D21">
        <w:rPr>
          <w:rStyle w:val="EndnoteReference"/>
          <w:lang w:val="en-CA"/>
        </w:rPr>
        <w:endnoteReference w:id="43"/>
      </w:r>
      <w:r w:rsidRPr="00003D21">
        <w:rPr>
          <w:lang w:val="en-CA"/>
        </w:rPr>
        <w:t xml:space="preserve"> </w:t>
      </w:r>
      <w:r>
        <w:rPr>
          <w:lang w:val="en-CA"/>
        </w:rPr>
        <w:t xml:space="preserve">That report </w:t>
      </w:r>
      <w:r w:rsidRPr="00003D21">
        <w:rPr>
          <w:lang w:val="en-CA"/>
        </w:rPr>
        <w:t xml:space="preserve">also said that financial institutions and start-ups needed to incorporate tools and processes to better educate consumers about the usage of their financial data. </w:t>
      </w:r>
    </w:p>
    <w:p w14:paraId="3E185C85" w14:textId="77777777" w:rsidR="00790ABB" w:rsidRPr="00003D21" w:rsidRDefault="00790ABB" w:rsidP="005312B7">
      <w:pPr>
        <w:pStyle w:val="BodyTextMain"/>
        <w:rPr>
          <w:lang w:val="en-CA"/>
        </w:rPr>
      </w:pPr>
    </w:p>
    <w:p w14:paraId="47A220F9" w14:textId="49559D49" w:rsidR="00790ABB" w:rsidRPr="00003D21" w:rsidRDefault="00790ABB" w:rsidP="005312B7">
      <w:pPr>
        <w:pStyle w:val="BodyTextMain"/>
        <w:rPr>
          <w:lang w:val="en-CA"/>
        </w:rPr>
      </w:pPr>
      <w:r w:rsidRPr="00003D21">
        <w:rPr>
          <w:lang w:val="en-CA"/>
        </w:rPr>
        <w:t>Governments and fintech start-ups needed to look to other markets that were leading in open banking, for example, Europe, and specifically the United Kingdom.</w:t>
      </w:r>
      <w:r w:rsidRPr="00003D21">
        <w:rPr>
          <w:rStyle w:val="EndnoteReference"/>
          <w:lang w:val="en-CA"/>
        </w:rPr>
        <w:endnoteReference w:id="44"/>
      </w:r>
      <w:r w:rsidRPr="00003D21">
        <w:rPr>
          <w:lang w:val="en-CA"/>
        </w:rPr>
        <w:t xml:space="preserve"> In Europe, two frameworks had been created specifically to regulate fintech innovations: the Payment Services Directive (PSD2) and the General Data Protection Regulation (GDPR).</w:t>
      </w:r>
      <w:r w:rsidRPr="00003D21">
        <w:rPr>
          <w:rStyle w:val="EndnoteReference"/>
          <w:lang w:val="en-CA"/>
        </w:rPr>
        <w:endnoteReference w:id="45"/>
      </w:r>
      <w:r w:rsidRPr="00003D21">
        <w:rPr>
          <w:lang w:val="en-CA"/>
        </w:rPr>
        <w:t xml:space="preserve"> The United Kingdom’s Competition and Markets Authority had recognized the importance of open banking as a tool that would allow smaller fintech players to compete with traditional banks.</w:t>
      </w:r>
      <w:r w:rsidRPr="00003D21">
        <w:rPr>
          <w:rStyle w:val="EndnoteReference"/>
          <w:lang w:val="en-CA"/>
        </w:rPr>
        <w:endnoteReference w:id="46"/>
      </w:r>
      <w:r w:rsidRPr="00003D21">
        <w:rPr>
          <w:lang w:val="en-CA"/>
        </w:rPr>
        <w:t xml:space="preserve"> As a result, the Open Banking Implementation Entity </w:t>
      </w:r>
      <w:r>
        <w:rPr>
          <w:lang w:val="en-CA"/>
        </w:rPr>
        <w:t xml:space="preserve">was created </w:t>
      </w:r>
      <w:r w:rsidRPr="00003D21">
        <w:rPr>
          <w:lang w:val="en-CA"/>
        </w:rPr>
        <w:t>to work directly with the government, banks, and fintech start-ups to build a framework and educate consumers on open-banking opportunities and risks.</w:t>
      </w:r>
      <w:r w:rsidRPr="00003D21">
        <w:rPr>
          <w:rStyle w:val="EndnoteReference"/>
          <w:lang w:val="en-CA"/>
        </w:rPr>
        <w:endnoteReference w:id="47"/>
      </w:r>
    </w:p>
    <w:p w14:paraId="31D7D550" w14:textId="49E9FD98" w:rsidR="00790ABB" w:rsidRPr="00003D21" w:rsidRDefault="00790ABB" w:rsidP="005312B7">
      <w:pPr>
        <w:pStyle w:val="BodyTextMain"/>
        <w:rPr>
          <w:lang w:val="en-CA"/>
        </w:rPr>
      </w:pPr>
    </w:p>
    <w:p w14:paraId="30B29825" w14:textId="77777777" w:rsidR="00790ABB" w:rsidRPr="00003D21" w:rsidRDefault="00790ABB" w:rsidP="005312B7">
      <w:pPr>
        <w:pStyle w:val="BodyTextMain"/>
        <w:rPr>
          <w:lang w:val="en-CA"/>
        </w:rPr>
      </w:pPr>
    </w:p>
    <w:p w14:paraId="401F2445" w14:textId="77777777" w:rsidR="00790ABB" w:rsidRPr="00003D21" w:rsidRDefault="00790ABB" w:rsidP="005312B7">
      <w:pPr>
        <w:jc w:val="both"/>
        <w:rPr>
          <w:rFonts w:ascii="Arial" w:hAnsi="Arial" w:cs="Arial"/>
          <w:b/>
          <w:bCs/>
          <w:lang w:val="en-CA"/>
        </w:rPr>
      </w:pPr>
      <w:r w:rsidRPr="00003D21">
        <w:rPr>
          <w:rFonts w:ascii="Arial" w:hAnsi="Arial" w:cs="Arial"/>
          <w:b/>
          <w:bCs/>
          <w:lang w:val="en-CA"/>
        </w:rPr>
        <w:t>COMPETITION</w:t>
      </w:r>
    </w:p>
    <w:p w14:paraId="05BF4C7A" w14:textId="77777777" w:rsidR="00790ABB" w:rsidRPr="00003D21" w:rsidRDefault="00790ABB" w:rsidP="005312B7">
      <w:pPr>
        <w:pStyle w:val="BodyTextMain"/>
        <w:rPr>
          <w:lang w:val="en-CA"/>
        </w:rPr>
      </w:pPr>
    </w:p>
    <w:p w14:paraId="20FE5B88" w14:textId="747FCE7C" w:rsidR="00790ABB" w:rsidRPr="00003D21" w:rsidRDefault="00790ABB" w:rsidP="005312B7">
      <w:pPr>
        <w:pStyle w:val="BodyTextMain"/>
        <w:rPr>
          <w:lang w:val="en-CA"/>
        </w:rPr>
      </w:pPr>
      <w:r w:rsidRPr="00003D21">
        <w:rPr>
          <w:lang w:val="en-CA"/>
        </w:rPr>
        <w:t>Koho faced competition from several other financial services providers.</w:t>
      </w:r>
    </w:p>
    <w:p w14:paraId="590A2D66" w14:textId="77777777" w:rsidR="00790ABB" w:rsidRPr="00003D21" w:rsidRDefault="00790ABB" w:rsidP="005312B7">
      <w:pPr>
        <w:pStyle w:val="BodyTextMain"/>
        <w:rPr>
          <w:lang w:val="en-CA"/>
        </w:rPr>
      </w:pPr>
    </w:p>
    <w:p w14:paraId="4D8A48C4" w14:textId="77777777" w:rsidR="00790ABB" w:rsidRPr="00003D21" w:rsidRDefault="00790ABB" w:rsidP="005312B7">
      <w:pPr>
        <w:pStyle w:val="BodyTextMain"/>
        <w:rPr>
          <w:lang w:val="en-CA"/>
        </w:rPr>
      </w:pPr>
    </w:p>
    <w:p w14:paraId="05E312BF" w14:textId="3F02B143" w:rsidR="00790ABB" w:rsidRPr="00003D21" w:rsidRDefault="00790ABB" w:rsidP="00840E6B">
      <w:pPr>
        <w:pStyle w:val="Casehead2"/>
        <w:rPr>
          <w:lang w:val="en-CA"/>
        </w:rPr>
      </w:pPr>
      <w:r w:rsidRPr="00003D21">
        <w:rPr>
          <w:lang w:val="en-CA"/>
        </w:rPr>
        <w:t xml:space="preserve">Stack Fintech Inc. </w:t>
      </w:r>
    </w:p>
    <w:p w14:paraId="14C5BB13" w14:textId="77777777" w:rsidR="00790ABB" w:rsidRPr="00003D21" w:rsidRDefault="00790ABB" w:rsidP="005312B7">
      <w:pPr>
        <w:pStyle w:val="BodyTextMain"/>
        <w:rPr>
          <w:lang w:val="en-CA"/>
        </w:rPr>
      </w:pPr>
    </w:p>
    <w:p w14:paraId="01C0B5FE" w14:textId="4F2245CE" w:rsidR="00790ABB" w:rsidRPr="00003D21" w:rsidRDefault="00790ABB" w:rsidP="005312B7">
      <w:pPr>
        <w:pStyle w:val="BodyTextMain"/>
        <w:rPr>
          <w:lang w:val="en-CA"/>
        </w:rPr>
      </w:pPr>
      <w:r w:rsidRPr="00003D21">
        <w:rPr>
          <w:lang w:val="en-CA"/>
        </w:rPr>
        <w:t>Stack Fintech Inc. (STACK) was a fee-free mobile banking alternative that provided rewards, tools for money management, and a reloadable Mastercard.</w:t>
      </w:r>
      <w:r w:rsidRPr="00003D21">
        <w:rPr>
          <w:rStyle w:val="EndnoteReference"/>
          <w:lang w:val="en-CA"/>
        </w:rPr>
        <w:endnoteReference w:id="48"/>
      </w:r>
      <w:r w:rsidRPr="00003D21">
        <w:rPr>
          <w:lang w:val="en-CA"/>
        </w:rPr>
        <w:t xml:space="preserve"> Similar to Koho, STACK operated in partnership with Mastercard Incorporated and Peoples Trust Company.</w:t>
      </w:r>
      <w:r w:rsidRPr="00003D21">
        <w:rPr>
          <w:rStyle w:val="EndnoteReference"/>
          <w:lang w:val="en-CA"/>
        </w:rPr>
        <w:endnoteReference w:id="49"/>
      </w:r>
      <w:r w:rsidRPr="00003D21">
        <w:rPr>
          <w:lang w:val="en-CA"/>
        </w:rPr>
        <w:t xml:space="preserve"> The start-up leveraged machine learning to provide customizable tools to users and offered instant access to multicurrency and cryptocurrency services. Its main competitive advantages included fee-free foreign-exchange cash back at over 140 retailers and free money transfers. Despite its recent presence in the media, STACK had not raised any public funding rounds, suggesting a potential lack of capital and growth prospects.</w:t>
      </w:r>
      <w:r w:rsidRPr="00003D21">
        <w:rPr>
          <w:rStyle w:val="EndnoteReference"/>
          <w:lang w:val="en-CA"/>
        </w:rPr>
        <w:endnoteReference w:id="50"/>
      </w:r>
    </w:p>
    <w:p w14:paraId="5912789C" w14:textId="06EDFDF8" w:rsidR="00790ABB" w:rsidRPr="00003D21" w:rsidRDefault="00790ABB" w:rsidP="005312B7">
      <w:pPr>
        <w:pStyle w:val="BodyTextMain"/>
        <w:rPr>
          <w:lang w:val="en-CA"/>
        </w:rPr>
      </w:pPr>
    </w:p>
    <w:p w14:paraId="7334D58D" w14:textId="77777777" w:rsidR="00790ABB" w:rsidRPr="00003D21" w:rsidRDefault="00790ABB" w:rsidP="005312B7">
      <w:pPr>
        <w:pStyle w:val="BodyTextMain"/>
        <w:rPr>
          <w:lang w:val="en-CA"/>
        </w:rPr>
      </w:pPr>
    </w:p>
    <w:p w14:paraId="34A9E060" w14:textId="58F2FA2D" w:rsidR="00790ABB" w:rsidRPr="00003D21" w:rsidRDefault="00790ABB" w:rsidP="003472DD">
      <w:pPr>
        <w:pStyle w:val="Casehead2"/>
        <w:rPr>
          <w:lang w:val="en-CA"/>
        </w:rPr>
      </w:pPr>
      <w:r w:rsidRPr="00003D21">
        <w:rPr>
          <w:lang w:val="en-CA"/>
        </w:rPr>
        <w:t>Drop Technologies Inc.</w:t>
      </w:r>
    </w:p>
    <w:p w14:paraId="7C748396" w14:textId="77777777" w:rsidR="00790ABB" w:rsidRPr="003472DD" w:rsidRDefault="00790ABB" w:rsidP="003472DD">
      <w:pPr>
        <w:pStyle w:val="BodyTextMain"/>
        <w:rPr>
          <w:sz w:val="14"/>
          <w:szCs w:val="14"/>
          <w:lang w:val="en-CA"/>
        </w:rPr>
      </w:pPr>
    </w:p>
    <w:p w14:paraId="74119C56" w14:textId="2AFF894B" w:rsidR="00790ABB" w:rsidRPr="00003D21" w:rsidRDefault="00790ABB" w:rsidP="003472DD">
      <w:pPr>
        <w:pStyle w:val="BodyTextMain"/>
        <w:rPr>
          <w:lang w:val="en-CA"/>
        </w:rPr>
      </w:pPr>
      <w:r w:rsidRPr="00003D21">
        <w:rPr>
          <w:lang w:val="en-CA"/>
        </w:rPr>
        <w:t xml:space="preserve">Drop Technologies Inc. (Drop) was a Canada-based fintech start-up that leveraged open-banking APIs and targeted financially conscious millennials. Drop was a mobile loyalty and shopping platform that implemented a system which automatically rewarded users for their purchasing behaviour via reading their </w:t>
      </w:r>
      <w:r w:rsidRPr="00003D21">
        <w:rPr>
          <w:lang w:val="en-CA"/>
        </w:rPr>
        <w:lastRenderedPageBreak/>
        <w:t>transactional data. Drop had raised a total of $75 million in funding by the spring of 2020 and had over 3 million users, mostly in the United States.</w:t>
      </w:r>
      <w:r w:rsidRPr="00003D21">
        <w:rPr>
          <w:rStyle w:val="EndnoteReference"/>
          <w:lang w:val="en-CA"/>
        </w:rPr>
        <w:endnoteReference w:id="51"/>
      </w:r>
      <w:r w:rsidRPr="00003D21">
        <w:rPr>
          <w:lang w:val="en-CA"/>
        </w:rPr>
        <w:t xml:space="preserve"> Drop’s business model was unique: its revenues </w:t>
      </w:r>
      <w:r>
        <w:rPr>
          <w:lang w:val="en-CA"/>
        </w:rPr>
        <w:t xml:space="preserve">were derived </w:t>
      </w:r>
      <w:r w:rsidRPr="00003D21">
        <w:rPr>
          <w:lang w:val="en-CA"/>
        </w:rPr>
        <w:t>mainly from payments marketing or advertising from merchants.</w:t>
      </w:r>
      <w:r w:rsidRPr="00003D21">
        <w:rPr>
          <w:rStyle w:val="EndnoteReference"/>
          <w:lang w:val="en-CA"/>
        </w:rPr>
        <w:endnoteReference w:id="52"/>
      </w:r>
      <w:r w:rsidRPr="00003D21">
        <w:rPr>
          <w:lang w:val="en-CA"/>
        </w:rPr>
        <w:t xml:space="preserve"> Using user-level data allowed Drop to uniquely target specific groups of users using machine-learning algorithms. </w:t>
      </w:r>
    </w:p>
    <w:p w14:paraId="5166D425" w14:textId="77777777" w:rsidR="00790ABB" w:rsidRPr="003472DD" w:rsidRDefault="00790ABB" w:rsidP="005312B7">
      <w:pPr>
        <w:jc w:val="both"/>
        <w:rPr>
          <w:i/>
          <w:iCs/>
          <w:sz w:val="14"/>
          <w:szCs w:val="14"/>
          <w:lang w:val="en-CA"/>
        </w:rPr>
      </w:pPr>
    </w:p>
    <w:p w14:paraId="5EFEB03B" w14:textId="77777777" w:rsidR="00790ABB" w:rsidRPr="003472DD" w:rsidRDefault="00790ABB" w:rsidP="005312B7">
      <w:pPr>
        <w:jc w:val="both"/>
        <w:rPr>
          <w:i/>
          <w:iCs/>
          <w:sz w:val="14"/>
          <w:szCs w:val="14"/>
          <w:lang w:val="en-CA"/>
        </w:rPr>
      </w:pPr>
    </w:p>
    <w:p w14:paraId="5084A22E" w14:textId="71371264" w:rsidR="00790ABB" w:rsidRPr="00003D21" w:rsidRDefault="00790ABB" w:rsidP="005312B7">
      <w:pPr>
        <w:pStyle w:val="Casehead2"/>
        <w:rPr>
          <w:lang w:val="en-CA"/>
        </w:rPr>
      </w:pPr>
      <w:r w:rsidRPr="00003D21">
        <w:rPr>
          <w:lang w:val="en-CA"/>
        </w:rPr>
        <w:t>American Express Company</w:t>
      </w:r>
    </w:p>
    <w:p w14:paraId="09BC71B5" w14:textId="77777777" w:rsidR="00790ABB" w:rsidRPr="003472DD" w:rsidRDefault="00790ABB" w:rsidP="005312B7">
      <w:pPr>
        <w:pStyle w:val="BodyTextMain"/>
        <w:rPr>
          <w:sz w:val="14"/>
          <w:szCs w:val="14"/>
          <w:lang w:val="en-CA"/>
        </w:rPr>
      </w:pPr>
    </w:p>
    <w:p w14:paraId="0B4E9209" w14:textId="64A2519A" w:rsidR="00790ABB" w:rsidRPr="00003D21" w:rsidRDefault="00790ABB" w:rsidP="005312B7">
      <w:pPr>
        <w:pStyle w:val="BodyTextMain"/>
        <w:rPr>
          <w:lang w:val="en-CA"/>
        </w:rPr>
      </w:pPr>
      <w:r w:rsidRPr="00003D21">
        <w:rPr>
          <w:lang w:val="en-CA"/>
        </w:rPr>
        <w:t>The American Express Company (Amex) was a card issuer and payment processor.</w:t>
      </w:r>
      <w:r w:rsidRPr="00003D21">
        <w:rPr>
          <w:rStyle w:val="EndnoteReference"/>
          <w:lang w:val="en-CA"/>
        </w:rPr>
        <w:endnoteReference w:id="53"/>
      </w:r>
      <w:r w:rsidRPr="00003D21">
        <w:rPr>
          <w:lang w:val="en-CA"/>
        </w:rPr>
        <w:t xml:space="preserve"> Amex operated a closed-loop payments business model: the company issued cards to and also processed payments for its users.</w:t>
      </w:r>
      <w:r w:rsidRPr="00003D21">
        <w:rPr>
          <w:rStyle w:val="EndnoteReference"/>
          <w:lang w:val="en-CA"/>
        </w:rPr>
        <w:endnoteReference w:id="54"/>
      </w:r>
      <w:r w:rsidRPr="00003D21">
        <w:rPr>
          <w:lang w:val="en-CA"/>
        </w:rPr>
        <w:t xml:space="preserve"> The closed-loop model allowed Amex access to cardholder spending and transactional data, which it could leverage to attract merchants and incentivize higher spending. The majority of its revenues were derived from the fees charged to merchants who decided to accept Amex cards. Amex members had access to many perks, such as access to airport lounges and high cash-back values. However, there were issues with Amex cards, including a high exposure to credit risk and difficulties with merchant adoption.</w:t>
      </w:r>
      <w:r w:rsidRPr="00003D21">
        <w:rPr>
          <w:rStyle w:val="EndnoteReference"/>
          <w:lang w:val="en-CA"/>
        </w:rPr>
        <w:endnoteReference w:id="55"/>
      </w:r>
    </w:p>
    <w:p w14:paraId="60451625" w14:textId="4E6326F4" w:rsidR="00790ABB" w:rsidRPr="003472DD" w:rsidRDefault="00790ABB" w:rsidP="005312B7">
      <w:pPr>
        <w:pStyle w:val="BodyTextMain"/>
        <w:rPr>
          <w:sz w:val="14"/>
          <w:szCs w:val="14"/>
          <w:lang w:val="en-CA"/>
        </w:rPr>
      </w:pPr>
    </w:p>
    <w:p w14:paraId="4CDA4AE9" w14:textId="77777777" w:rsidR="00790ABB" w:rsidRPr="003472DD" w:rsidRDefault="00790ABB" w:rsidP="005312B7">
      <w:pPr>
        <w:pStyle w:val="BodyTextMain"/>
        <w:rPr>
          <w:sz w:val="14"/>
          <w:szCs w:val="14"/>
          <w:lang w:val="en-CA"/>
        </w:rPr>
      </w:pPr>
    </w:p>
    <w:p w14:paraId="556F7018" w14:textId="77777777" w:rsidR="00790ABB" w:rsidRPr="00003D21" w:rsidRDefault="00790ABB" w:rsidP="005312B7">
      <w:pPr>
        <w:jc w:val="both"/>
        <w:rPr>
          <w:rFonts w:ascii="Arial" w:hAnsi="Arial" w:cs="Arial"/>
          <w:i/>
          <w:iCs/>
          <w:sz w:val="21"/>
          <w:szCs w:val="21"/>
          <w:lang w:val="en-CA"/>
        </w:rPr>
      </w:pPr>
      <w:r w:rsidRPr="00003D21">
        <w:rPr>
          <w:rFonts w:ascii="Arial" w:hAnsi="Arial" w:cs="Arial"/>
          <w:b/>
          <w:bCs/>
          <w:lang w:val="en-CA"/>
        </w:rPr>
        <w:t>ALTERNATIVES</w:t>
      </w:r>
      <w:r w:rsidRPr="00003D21">
        <w:rPr>
          <w:rFonts w:ascii="Arial" w:hAnsi="Arial" w:cs="Arial"/>
          <w:i/>
          <w:iCs/>
          <w:sz w:val="21"/>
          <w:szCs w:val="21"/>
          <w:highlight w:val="yellow"/>
          <w:lang w:val="en-CA"/>
        </w:rPr>
        <w:t xml:space="preserve"> </w:t>
      </w:r>
    </w:p>
    <w:p w14:paraId="2F2C1CB7" w14:textId="77777777" w:rsidR="00790ABB" w:rsidRPr="003472DD" w:rsidRDefault="00790ABB" w:rsidP="005312B7">
      <w:pPr>
        <w:pStyle w:val="BodyTextMain"/>
        <w:rPr>
          <w:sz w:val="14"/>
          <w:szCs w:val="14"/>
          <w:lang w:val="en-CA"/>
        </w:rPr>
      </w:pPr>
    </w:p>
    <w:p w14:paraId="4A5663B5" w14:textId="4E3CBB64" w:rsidR="00790ABB" w:rsidRPr="00003D21" w:rsidRDefault="00790ABB" w:rsidP="005312B7">
      <w:pPr>
        <w:pStyle w:val="BodyTextMain"/>
        <w:rPr>
          <w:lang w:val="en-CA" w:eastAsia="ko-KR"/>
        </w:rPr>
      </w:pPr>
      <w:r w:rsidRPr="00003D21">
        <w:rPr>
          <w:lang w:val="en-CA"/>
        </w:rPr>
        <w:t>To better understand Koho’s potential options and analyze which strategy would provide the most returns for Koho’s investors, it would be beneficial to know the return on investment of the various alternatives.</w:t>
      </w:r>
    </w:p>
    <w:p w14:paraId="6F3BFEAD" w14:textId="77777777" w:rsidR="00790ABB" w:rsidRPr="003472DD" w:rsidRDefault="00790ABB" w:rsidP="005312B7">
      <w:pPr>
        <w:pStyle w:val="BodyTextMain"/>
        <w:rPr>
          <w:sz w:val="14"/>
          <w:szCs w:val="14"/>
          <w:lang w:val="en-CA"/>
        </w:rPr>
      </w:pPr>
    </w:p>
    <w:p w14:paraId="6BA63093" w14:textId="625AF31A" w:rsidR="005312B7" w:rsidRPr="00003D21" w:rsidRDefault="00790ABB" w:rsidP="005312B7">
      <w:pPr>
        <w:pStyle w:val="BodyTextMain"/>
        <w:rPr>
          <w:lang w:val="en-CA"/>
        </w:rPr>
      </w:pPr>
      <w:r w:rsidRPr="00003D21">
        <w:rPr>
          <w:lang w:val="en-CA"/>
        </w:rPr>
        <w:t xml:space="preserve">Eberhard could choose to continue Koho’s strategy by focusing on the fintech’s current business model without further external investments. Compared to regular brick-and-mortar banks, Koho already provided significant cost savings to both shareholders and users. Most of Koho’s revenues were currently derived from MDR fees from the transactions made by Koho. </w:t>
      </w:r>
      <w:r>
        <w:rPr>
          <w:lang w:val="en-CA"/>
        </w:rPr>
        <w:t xml:space="preserve">The </w:t>
      </w:r>
      <w:r w:rsidRPr="00003D21">
        <w:rPr>
          <w:lang w:val="en-CA"/>
        </w:rPr>
        <w:t>small portion of revenues derived from commissions was negligible. Eberhard would have to calculate the estimated revenues from the average MDR. Koho had made more than $500 million in annualized transactions over the past year,</w:t>
      </w:r>
      <w:r w:rsidRPr="00003D21">
        <w:rPr>
          <w:rStyle w:val="EndnoteReference"/>
          <w:lang w:val="en-CA"/>
        </w:rPr>
        <w:endnoteReference w:id="56"/>
      </w:r>
      <w:r w:rsidRPr="00003D21">
        <w:rPr>
          <w:lang w:val="en-CA"/>
        </w:rPr>
        <w:t xml:space="preserve"> and its major costs included marketing costs and salaries for approximately 96 full-time employees, who all received market average fintech start-up salaries.</w:t>
      </w:r>
      <w:r w:rsidRPr="00003D21">
        <w:rPr>
          <w:rStyle w:val="EndnoteReference"/>
          <w:lang w:val="en-CA"/>
        </w:rPr>
        <w:endnoteReference w:id="57"/>
      </w:r>
      <w:r w:rsidRPr="00003D21">
        <w:rPr>
          <w:lang w:val="en-CA"/>
        </w:rPr>
        <w:t xml:space="preserve"> </w:t>
      </w:r>
      <w:r w:rsidR="00360BA8" w:rsidRPr="00003D21">
        <w:rPr>
          <w:lang w:val="en-CA"/>
        </w:rPr>
        <w:t>Technological i</w:t>
      </w:r>
      <w:r w:rsidR="005312B7" w:rsidRPr="00003D21">
        <w:rPr>
          <w:lang w:val="en-CA"/>
        </w:rPr>
        <w:t xml:space="preserve">nvestments </w:t>
      </w:r>
      <w:r w:rsidR="00545B09" w:rsidRPr="00003D21">
        <w:rPr>
          <w:lang w:val="en-CA"/>
        </w:rPr>
        <w:t xml:space="preserve">made </w:t>
      </w:r>
      <w:r w:rsidR="00B93BA5" w:rsidRPr="00003D21">
        <w:rPr>
          <w:lang w:val="en-CA"/>
        </w:rPr>
        <w:t xml:space="preserve">were related to the maintenance of </w:t>
      </w:r>
      <w:r w:rsidR="00360BA8" w:rsidRPr="00003D21">
        <w:rPr>
          <w:lang w:val="en-CA"/>
        </w:rPr>
        <w:t>digital i</w:t>
      </w:r>
      <w:r w:rsidR="005312B7" w:rsidRPr="00003D21">
        <w:rPr>
          <w:lang w:val="en-CA"/>
        </w:rPr>
        <w:t>nfrastructure required to store data and develop the application.</w:t>
      </w:r>
      <w:r w:rsidR="0094198E" w:rsidRPr="00003D21">
        <w:rPr>
          <w:rStyle w:val="EndnoteReference"/>
          <w:lang w:val="en-CA"/>
        </w:rPr>
        <w:endnoteReference w:id="58"/>
      </w:r>
    </w:p>
    <w:p w14:paraId="61A26FCF" w14:textId="77777777" w:rsidR="005312B7" w:rsidRPr="003472DD" w:rsidRDefault="005312B7" w:rsidP="005312B7">
      <w:pPr>
        <w:pStyle w:val="BodyTextMain"/>
        <w:rPr>
          <w:sz w:val="14"/>
          <w:szCs w:val="14"/>
          <w:lang w:val="en-CA"/>
        </w:rPr>
      </w:pPr>
    </w:p>
    <w:p w14:paraId="2FA85482" w14:textId="103EBBC2" w:rsidR="005312B7" w:rsidRPr="00003D21" w:rsidRDefault="005312B7" w:rsidP="005312B7">
      <w:pPr>
        <w:pStyle w:val="BodyTextMain"/>
        <w:rPr>
          <w:lang w:val="en-CA"/>
        </w:rPr>
      </w:pPr>
      <w:r w:rsidRPr="00003D21">
        <w:rPr>
          <w:lang w:val="en-CA"/>
        </w:rPr>
        <w:t xml:space="preserve">Another alternative that should be considered </w:t>
      </w:r>
      <w:r w:rsidR="00AF4DC2" w:rsidRPr="00003D21">
        <w:rPr>
          <w:lang w:val="en-CA"/>
        </w:rPr>
        <w:t>was</w:t>
      </w:r>
      <w:r w:rsidRPr="00003D21">
        <w:rPr>
          <w:lang w:val="en-CA"/>
        </w:rPr>
        <w:t xml:space="preserve"> expand</w:t>
      </w:r>
      <w:r w:rsidR="00AF4DC2" w:rsidRPr="00003D21">
        <w:rPr>
          <w:lang w:val="en-CA"/>
        </w:rPr>
        <w:t>ing</w:t>
      </w:r>
      <w:r w:rsidRPr="00003D21">
        <w:rPr>
          <w:lang w:val="en-CA"/>
        </w:rPr>
        <w:t xml:space="preserve"> Koho’s open-banking capabilities. </w:t>
      </w:r>
      <w:r w:rsidR="00AF233A" w:rsidRPr="00003D21">
        <w:rPr>
          <w:lang w:val="en-CA"/>
        </w:rPr>
        <w:t xml:space="preserve">This option would require </w:t>
      </w:r>
      <w:r w:rsidR="001E03D4" w:rsidRPr="00003D21">
        <w:rPr>
          <w:lang w:val="en-CA"/>
        </w:rPr>
        <w:t xml:space="preserve">making </w:t>
      </w:r>
      <w:r w:rsidR="00AF233A" w:rsidRPr="00003D21">
        <w:rPr>
          <w:lang w:val="en-CA"/>
        </w:rPr>
        <w:t>m</w:t>
      </w:r>
      <w:r w:rsidRPr="00003D21">
        <w:rPr>
          <w:lang w:val="en-CA"/>
        </w:rPr>
        <w:t xml:space="preserve">ajor investments </w:t>
      </w:r>
      <w:r w:rsidR="00AF233A" w:rsidRPr="00003D21">
        <w:rPr>
          <w:lang w:val="en-CA"/>
        </w:rPr>
        <w:t xml:space="preserve">in </w:t>
      </w:r>
      <w:r w:rsidRPr="00003D21">
        <w:rPr>
          <w:lang w:val="en-CA"/>
        </w:rPr>
        <w:t>the infrastructure required to build an API or work</w:t>
      </w:r>
      <w:r w:rsidR="00AF233A" w:rsidRPr="00003D21">
        <w:rPr>
          <w:lang w:val="en-CA"/>
        </w:rPr>
        <w:t>ing</w:t>
      </w:r>
      <w:r w:rsidRPr="00003D21">
        <w:rPr>
          <w:lang w:val="en-CA"/>
        </w:rPr>
        <w:t xml:space="preserve"> directly with a current open-banking API start-up such as Flinks or Plaid. Koho could also follow </w:t>
      </w:r>
      <w:r w:rsidR="00AF233A" w:rsidRPr="00003D21">
        <w:rPr>
          <w:lang w:val="en-CA"/>
        </w:rPr>
        <w:t xml:space="preserve">the lead of its </w:t>
      </w:r>
      <w:r w:rsidRPr="00003D21">
        <w:rPr>
          <w:lang w:val="en-CA"/>
        </w:rPr>
        <w:t xml:space="preserve">competitor STACK </w:t>
      </w:r>
      <w:r w:rsidR="00AF233A" w:rsidRPr="00003D21">
        <w:rPr>
          <w:lang w:val="en-CA"/>
        </w:rPr>
        <w:t xml:space="preserve">by </w:t>
      </w:r>
      <w:r w:rsidRPr="00003D21">
        <w:rPr>
          <w:lang w:val="en-CA"/>
        </w:rPr>
        <w:t>offer</w:t>
      </w:r>
      <w:r w:rsidR="00AF233A" w:rsidRPr="00003D21">
        <w:rPr>
          <w:lang w:val="en-CA"/>
        </w:rPr>
        <w:t>ing</w:t>
      </w:r>
      <w:r w:rsidRPr="00003D21">
        <w:rPr>
          <w:lang w:val="en-CA"/>
        </w:rPr>
        <w:t xml:space="preserve"> cryptocurrency services. However, Koho had </w:t>
      </w:r>
      <w:r w:rsidR="00AF233A" w:rsidRPr="00003D21">
        <w:rPr>
          <w:lang w:val="en-CA"/>
        </w:rPr>
        <w:t>not yet entered</w:t>
      </w:r>
      <w:r w:rsidRPr="00003D21">
        <w:rPr>
          <w:lang w:val="en-CA"/>
        </w:rPr>
        <w:t xml:space="preserve"> the cryptocurrency industry and had no knowledge </w:t>
      </w:r>
      <w:r w:rsidR="00AF233A" w:rsidRPr="00003D21">
        <w:rPr>
          <w:lang w:val="en-CA"/>
        </w:rPr>
        <w:t xml:space="preserve">or experience </w:t>
      </w:r>
      <w:r w:rsidRPr="00003D21">
        <w:rPr>
          <w:lang w:val="en-CA"/>
        </w:rPr>
        <w:t xml:space="preserve">operating in this space. Costs </w:t>
      </w:r>
      <w:r w:rsidR="00AF233A" w:rsidRPr="00003D21">
        <w:rPr>
          <w:lang w:val="en-CA"/>
        </w:rPr>
        <w:t xml:space="preserve">for this alternative would </w:t>
      </w:r>
      <w:r w:rsidRPr="00003D21">
        <w:rPr>
          <w:lang w:val="en-CA"/>
        </w:rPr>
        <w:t xml:space="preserve">include hiring a specialist and engineer to develop this feature. </w:t>
      </w:r>
      <w:r w:rsidR="00AF233A" w:rsidRPr="00003D21">
        <w:rPr>
          <w:lang w:val="en-CA"/>
        </w:rPr>
        <w:t>It would require m</w:t>
      </w:r>
      <w:r w:rsidRPr="00003D21">
        <w:rPr>
          <w:lang w:val="en-CA"/>
        </w:rPr>
        <w:t xml:space="preserve">ajor investments </w:t>
      </w:r>
      <w:r w:rsidR="00AF233A" w:rsidRPr="00003D21">
        <w:rPr>
          <w:lang w:val="en-CA"/>
        </w:rPr>
        <w:t>in</w:t>
      </w:r>
      <w:r w:rsidRPr="00003D21">
        <w:rPr>
          <w:lang w:val="en-CA"/>
        </w:rPr>
        <w:t xml:space="preserve"> cryptocurrency infrastructure or software.</w:t>
      </w:r>
      <w:r w:rsidR="00215B03" w:rsidRPr="00003D21">
        <w:rPr>
          <w:rStyle w:val="EndnoteReference"/>
          <w:lang w:val="en-CA"/>
        </w:rPr>
        <w:endnoteReference w:id="59"/>
      </w:r>
    </w:p>
    <w:p w14:paraId="67BEBFD0" w14:textId="77777777" w:rsidR="005312B7" w:rsidRPr="003472DD" w:rsidRDefault="005312B7" w:rsidP="005312B7">
      <w:pPr>
        <w:pStyle w:val="BodyTextMain"/>
        <w:rPr>
          <w:sz w:val="14"/>
          <w:szCs w:val="14"/>
          <w:lang w:val="en-CA"/>
        </w:rPr>
      </w:pPr>
    </w:p>
    <w:p w14:paraId="1BD17E6F" w14:textId="4F4C561F" w:rsidR="005312B7" w:rsidRPr="00003D21" w:rsidRDefault="005312B7" w:rsidP="005312B7">
      <w:pPr>
        <w:pStyle w:val="BodyTextMain"/>
        <w:rPr>
          <w:lang w:val="en-CA"/>
        </w:rPr>
      </w:pPr>
      <w:r w:rsidRPr="00003D21">
        <w:rPr>
          <w:lang w:val="en-CA"/>
        </w:rPr>
        <w:t xml:space="preserve">Other fintech business models that Koho </w:t>
      </w:r>
      <w:r w:rsidR="000B3F2A">
        <w:rPr>
          <w:lang w:val="en-CA"/>
        </w:rPr>
        <w:t>could</w:t>
      </w:r>
      <w:r w:rsidR="000B3F2A" w:rsidRPr="00003D21">
        <w:rPr>
          <w:lang w:val="en-CA"/>
        </w:rPr>
        <w:t xml:space="preserve"> </w:t>
      </w:r>
      <w:r w:rsidRPr="00003D21">
        <w:rPr>
          <w:lang w:val="en-CA"/>
        </w:rPr>
        <w:t xml:space="preserve">consider were asset management, digital insurance, </w:t>
      </w:r>
      <w:r w:rsidR="00AF233A" w:rsidRPr="00003D21">
        <w:rPr>
          <w:lang w:val="en-CA"/>
        </w:rPr>
        <w:t>small-</w:t>
      </w:r>
      <w:r w:rsidRPr="00003D21">
        <w:rPr>
          <w:lang w:val="en-CA"/>
        </w:rPr>
        <w:t xml:space="preserve">ticket loans, </w:t>
      </w:r>
      <w:r w:rsidR="00AF233A" w:rsidRPr="00003D21">
        <w:rPr>
          <w:lang w:val="en-CA"/>
        </w:rPr>
        <w:t xml:space="preserve">and </w:t>
      </w:r>
      <w:r w:rsidRPr="00003D21">
        <w:rPr>
          <w:lang w:val="en-CA"/>
        </w:rPr>
        <w:t>peer-to-peer lending (</w:t>
      </w:r>
      <w:r w:rsidR="00AF4DC2" w:rsidRPr="00003D21">
        <w:rPr>
          <w:lang w:val="en-CA"/>
        </w:rPr>
        <w:t xml:space="preserve">see </w:t>
      </w:r>
      <w:r w:rsidRPr="00003D21">
        <w:rPr>
          <w:lang w:val="en-CA"/>
        </w:rPr>
        <w:t>Exhibit 5).</w:t>
      </w:r>
    </w:p>
    <w:p w14:paraId="4EEC2311" w14:textId="53B38242" w:rsidR="005312B7" w:rsidRPr="003472DD" w:rsidRDefault="005312B7" w:rsidP="005312B7">
      <w:pPr>
        <w:pStyle w:val="BodyTextMain"/>
        <w:rPr>
          <w:sz w:val="14"/>
          <w:szCs w:val="14"/>
          <w:lang w:val="en-CA"/>
        </w:rPr>
      </w:pPr>
    </w:p>
    <w:p w14:paraId="289901DC" w14:textId="77777777" w:rsidR="005312B7" w:rsidRPr="003472DD" w:rsidRDefault="005312B7" w:rsidP="005312B7">
      <w:pPr>
        <w:pStyle w:val="BodyTextMain"/>
        <w:rPr>
          <w:sz w:val="14"/>
          <w:szCs w:val="14"/>
          <w:lang w:val="en-CA"/>
        </w:rPr>
      </w:pPr>
    </w:p>
    <w:p w14:paraId="540A2C99" w14:textId="77777777" w:rsidR="005312B7" w:rsidRPr="00003D21" w:rsidRDefault="005312B7" w:rsidP="003472DD">
      <w:pPr>
        <w:jc w:val="both"/>
        <w:rPr>
          <w:rFonts w:ascii="Arial" w:hAnsi="Arial" w:cs="Arial"/>
          <w:b/>
          <w:bCs/>
          <w:lang w:val="en-CA"/>
        </w:rPr>
      </w:pPr>
      <w:r w:rsidRPr="00003D21">
        <w:rPr>
          <w:rFonts w:ascii="Arial" w:hAnsi="Arial" w:cs="Arial"/>
          <w:b/>
          <w:bCs/>
          <w:lang w:val="en-CA"/>
        </w:rPr>
        <w:t>NEXT STEPS</w:t>
      </w:r>
    </w:p>
    <w:p w14:paraId="255DD93A" w14:textId="77777777" w:rsidR="005312B7" w:rsidRPr="003472DD" w:rsidRDefault="005312B7" w:rsidP="003472DD">
      <w:pPr>
        <w:pStyle w:val="BodyTextMain"/>
        <w:rPr>
          <w:sz w:val="14"/>
          <w:szCs w:val="14"/>
          <w:lang w:val="en-CA"/>
        </w:rPr>
      </w:pPr>
    </w:p>
    <w:p w14:paraId="7C71781B" w14:textId="44EE5155" w:rsidR="005312B7" w:rsidRPr="003472DD" w:rsidRDefault="00AF233A" w:rsidP="003472DD">
      <w:pPr>
        <w:pStyle w:val="BodyTextMain"/>
        <w:rPr>
          <w:spacing w:val="-2"/>
          <w:lang w:val="en-CA"/>
        </w:rPr>
      </w:pPr>
      <w:r w:rsidRPr="002F623D">
        <w:rPr>
          <w:spacing w:val="-2"/>
          <w:lang w:val="en-CA"/>
        </w:rPr>
        <w:t>Eberhard had decision</w:t>
      </w:r>
      <w:r w:rsidR="00627B2B" w:rsidRPr="002F623D">
        <w:rPr>
          <w:spacing w:val="-2"/>
          <w:lang w:val="en-CA"/>
        </w:rPr>
        <w:t>s</w:t>
      </w:r>
      <w:r w:rsidRPr="002F623D">
        <w:rPr>
          <w:spacing w:val="-2"/>
          <w:lang w:val="en-CA"/>
        </w:rPr>
        <w:t xml:space="preserve"> to make: </w:t>
      </w:r>
      <w:r w:rsidR="005312B7" w:rsidRPr="002F623D">
        <w:rPr>
          <w:spacing w:val="-2"/>
          <w:lang w:val="en-CA"/>
        </w:rPr>
        <w:t xml:space="preserve">How </w:t>
      </w:r>
      <w:r w:rsidRPr="002F623D">
        <w:rPr>
          <w:spacing w:val="-2"/>
          <w:lang w:val="en-CA"/>
        </w:rPr>
        <w:t xml:space="preserve">could he </w:t>
      </w:r>
      <w:r w:rsidR="005312B7" w:rsidRPr="002F623D">
        <w:rPr>
          <w:spacing w:val="-2"/>
          <w:lang w:val="en-CA"/>
        </w:rPr>
        <w:t xml:space="preserve">effectively deploy </w:t>
      </w:r>
      <w:r w:rsidRPr="002F623D">
        <w:rPr>
          <w:spacing w:val="-2"/>
          <w:lang w:val="en-CA"/>
        </w:rPr>
        <w:t xml:space="preserve">Koho’s </w:t>
      </w:r>
      <w:r w:rsidR="005312B7" w:rsidRPr="002F623D">
        <w:rPr>
          <w:spacing w:val="-2"/>
          <w:lang w:val="en-CA"/>
        </w:rPr>
        <w:t xml:space="preserve">latest </w:t>
      </w:r>
      <w:r w:rsidRPr="002F623D">
        <w:rPr>
          <w:spacing w:val="-2"/>
          <w:lang w:val="en-CA"/>
        </w:rPr>
        <w:t>$</w:t>
      </w:r>
      <w:r w:rsidR="005312B7" w:rsidRPr="002F623D">
        <w:rPr>
          <w:spacing w:val="-2"/>
          <w:lang w:val="en-CA"/>
        </w:rPr>
        <w:t>25</w:t>
      </w:r>
      <w:r w:rsidRPr="002F623D">
        <w:rPr>
          <w:spacing w:val="-2"/>
          <w:lang w:val="en-CA"/>
        </w:rPr>
        <w:t xml:space="preserve"> </w:t>
      </w:r>
      <w:r w:rsidR="005312B7" w:rsidRPr="002F623D">
        <w:rPr>
          <w:spacing w:val="-2"/>
          <w:lang w:val="en-CA"/>
        </w:rPr>
        <w:t>million</w:t>
      </w:r>
      <w:r w:rsidRPr="002F623D">
        <w:rPr>
          <w:spacing w:val="-2"/>
          <w:lang w:val="en-CA"/>
        </w:rPr>
        <w:t xml:space="preserve"> </w:t>
      </w:r>
      <w:r w:rsidR="005312B7" w:rsidRPr="002F623D">
        <w:rPr>
          <w:spacing w:val="-2"/>
          <w:lang w:val="en-CA"/>
        </w:rPr>
        <w:t xml:space="preserve">investment to satisfy all stakeholders? Should Koho continue </w:t>
      </w:r>
      <w:r w:rsidRPr="002F623D">
        <w:rPr>
          <w:spacing w:val="-2"/>
          <w:lang w:val="en-CA"/>
        </w:rPr>
        <w:t xml:space="preserve">its </w:t>
      </w:r>
      <w:r w:rsidR="005312B7" w:rsidRPr="002F623D">
        <w:rPr>
          <w:spacing w:val="-2"/>
          <w:lang w:val="en-CA"/>
        </w:rPr>
        <w:t>current strategy and compete directly with traditional banks</w:t>
      </w:r>
      <w:r w:rsidRPr="002F623D">
        <w:rPr>
          <w:spacing w:val="-2"/>
          <w:lang w:val="en-CA"/>
        </w:rPr>
        <w:t>, o</w:t>
      </w:r>
      <w:r w:rsidR="005312B7" w:rsidRPr="002F623D">
        <w:rPr>
          <w:spacing w:val="-2"/>
          <w:lang w:val="en-CA"/>
        </w:rPr>
        <w:t xml:space="preserve">r should </w:t>
      </w:r>
      <w:r w:rsidRPr="002F623D">
        <w:rPr>
          <w:spacing w:val="-2"/>
          <w:lang w:val="en-CA"/>
        </w:rPr>
        <w:t xml:space="preserve">it </w:t>
      </w:r>
      <w:r w:rsidR="005312B7" w:rsidRPr="002F623D">
        <w:rPr>
          <w:spacing w:val="-2"/>
          <w:lang w:val="en-CA"/>
        </w:rPr>
        <w:t xml:space="preserve">invest in new technologies and compete with other fintech start-ups? How could Koho’s marketing strategy be improved to acquire </w:t>
      </w:r>
      <w:r w:rsidR="007F5F4D" w:rsidRPr="002F623D">
        <w:rPr>
          <w:spacing w:val="-2"/>
          <w:lang w:val="en-CA"/>
        </w:rPr>
        <w:t xml:space="preserve">more </w:t>
      </w:r>
      <w:r w:rsidR="005312B7" w:rsidRPr="002F623D">
        <w:rPr>
          <w:spacing w:val="-2"/>
          <w:lang w:val="en-CA"/>
        </w:rPr>
        <w:t>customers? How would the changing fintech regulatory environment affect Koho’s strategy</w:t>
      </w:r>
      <w:r w:rsidR="007F5F4D" w:rsidRPr="002F623D">
        <w:rPr>
          <w:spacing w:val="-2"/>
          <w:lang w:val="en-CA"/>
        </w:rPr>
        <w:t>,</w:t>
      </w:r>
      <w:r w:rsidR="005312B7" w:rsidRPr="002F623D">
        <w:rPr>
          <w:spacing w:val="-2"/>
          <w:lang w:val="en-CA"/>
        </w:rPr>
        <w:t xml:space="preserve"> and what could Eberhard learn from </w:t>
      </w:r>
      <w:r w:rsidR="007F5F4D" w:rsidRPr="002F623D">
        <w:rPr>
          <w:spacing w:val="-2"/>
          <w:lang w:val="en-CA"/>
        </w:rPr>
        <w:t xml:space="preserve">similar companies in </w:t>
      </w:r>
      <w:r w:rsidR="005312B7" w:rsidRPr="002F623D">
        <w:rPr>
          <w:spacing w:val="-2"/>
          <w:lang w:val="en-CA"/>
        </w:rPr>
        <w:t xml:space="preserve">other </w:t>
      </w:r>
      <w:r w:rsidR="007F5F4D" w:rsidRPr="002F623D">
        <w:rPr>
          <w:spacing w:val="-2"/>
          <w:lang w:val="en-CA"/>
        </w:rPr>
        <w:t>locations</w:t>
      </w:r>
      <w:r w:rsidR="005312B7" w:rsidRPr="002F623D">
        <w:rPr>
          <w:spacing w:val="-2"/>
          <w:lang w:val="en-CA"/>
        </w:rPr>
        <w:t>?</w:t>
      </w:r>
      <w:r w:rsidR="005312B7" w:rsidRPr="00003D21">
        <w:rPr>
          <w:lang w:val="en-CA"/>
        </w:rPr>
        <w:br w:type="page"/>
      </w:r>
    </w:p>
    <w:p w14:paraId="0D04D58C" w14:textId="77777777" w:rsidR="005312B7" w:rsidRPr="00003D21" w:rsidRDefault="005312B7" w:rsidP="005312B7">
      <w:pPr>
        <w:pStyle w:val="ExhibitHeading"/>
        <w:rPr>
          <w:lang w:val="en-CA"/>
        </w:rPr>
      </w:pPr>
      <w:r w:rsidRPr="00003D21">
        <w:rPr>
          <w:lang w:val="en-CA"/>
        </w:rPr>
        <w:lastRenderedPageBreak/>
        <w:t>EXHIBIT 1: KOHO PRODUCT FEATURES</w:t>
      </w:r>
    </w:p>
    <w:p w14:paraId="0D8105BF" w14:textId="77777777" w:rsidR="005312B7" w:rsidRPr="00003D21" w:rsidRDefault="005312B7" w:rsidP="005312B7">
      <w:pPr>
        <w:jc w:val="center"/>
        <w:rPr>
          <w:rFonts w:ascii="Arial" w:hAnsi="Arial" w:cs="Arial"/>
          <w:b/>
          <w:bCs/>
          <w:sz w:val="21"/>
          <w:szCs w:val="21"/>
          <w:lang w:val="en-CA"/>
        </w:rPr>
      </w:pPr>
    </w:p>
    <w:tbl>
      <w:tblPr>
        <w:tblStyle w:val="TableGrid"/>
        <w:tblW w:w="0" w:type="auto"/>
        <w:tblLook w:val="04A0" w:firstRow="1" w:lastRow="0" w:firstColumn="1" w:lastColumn="0" w:noHBand="0" w:noVBand="1"/>
      </w:tblPr>
      <w:tblGrid>
        <w:gridCol w:w="2225"/>
        <w:gridCol w:w="1243"/>
        <w:gridCol w:w="5882"/>
      </w:tblGrid>
      <w:tr w:rsidR="005312B7" w:rsidRPr="00003D21" w14:paraId="6931BEAD" w14:textId="77777777" w:rsidTr="00BB04D8">
        <w:tc>
          <w:tcPr>
            <w:tcW w:w="2225" w:type="dxa"/>
          </w:tcPr>
          <w:p w14:paraId="29C63878" w14:textId="77777777" w:rsidR="005312B7" w:rsidRPr="00003D21" w:rsidRDefault="005312B7" w:rsidP="00BB04D8">
            <w:pPr>
              <w:jc w:val="center"/>
              <w:rPr>
                <w:rFonts w:ascii="Arial" w:hAnsi="Arial" w:cs="Arial"/>
                <w:b/>
                <w:bCs/>
                <w:lang w:val="en-CA"/>
              </w:rPr>
            </w:pPr>
            <w:r w:rsidRPr="00003D21">
              <w:rPr>
                <w:rFonts w:ascii="Arial" w:hAnsi="Arial" w:cs="Arial"/>
                <w:b/>
                <w:bCs/>
                <w:lang w:val="en-CA"/>
              </w:rPr>
              <w:t>Feature Name</w:t>
            </w:r>
          </w:p>
        </w:tc>
        <w:tc>
          <w:tcPr>
            <w:tcW w:w="1243" w:type="dxa"/>
          </w:tcPr>
          <w:p w14:paraId="34712365" w14:textId="77777777" w:rsidR="005312B7" w:rsidRPr="00003D21" w:rsidRDefault="005312B7" w:rsidP="00BB04D8">
            <w:pPr>
              <w:jc w:val="center"/>
              <w:rPr>
                <w:rFonts w:ascii="Arial" w:hAnsi="Arial" w:cs="Arial"/>
                <w:b/>
                <w:bCs/>
                <w:lang w:val="en-CA"/>
              </w:rPr>
            </w:pPr>
            <w:r w:rsidRPr="00003D21">
              <w:rPr>
                <w:rFonts w:ascii="Arial" w:hAnsi="Arial" w:cs="Arial"/>
                <w:b/>
                <w:bCs/>
                <w:lang w:val="en-CA"/>
              </w:rPr>
              <w:t>Premium?</w:t>
            </w:r>
          </w:p>
        </w:tc>
        <w:tc>
          <w:tcPr>
            <w:tcW w:w="5882" w:type="dxa"/>
          </w:tcPr>
          <w:p w14:paraId="73679E53" w14:textId="77777777" w:rsidR="005312B7" w:rsidRPr="00003D21" w:rsidRDefault="005312B7" w:rsidP="00BB04D8">
            <w:pPr>
              <w:jc w:val="center"/>
              <w:rPr>
                <w:rFonts w:ascii="Arial" w:hAnsi="Arial" w:cs="Arial"/>
                <w:b/>
                <w:bCs/>
                <w:lang w:val="en-CA"/>
              </w:rPr>
            </w:pPr>
            <w:r w:rsidRPr="00003D21">
              <w:rPr>
                <w:rFonts w:ascii="Arial" w:hAnsi="Arial" w:cs="Arial"/>
                <w:b/>
                <w:bCs/>
                <w:lang w:val="en-CA"/>
              </w:rPr>
              <w:t>Description</w:t>
            </w:r>
          </w:p>
        </w:tc>
      </w:tr>
      <w:tr w:rsidR="005312B7" w:rsidRPr="00003D21" w14:paraId="64E56397" w14:textId="77777777" w:rsidTr="00BB04D8">
        <w:tc>
          <w:tcPr>
            <w:tcW w:w="2225" w:type="dxa"/>
          </w:tcPr>
          <w:p w14:paraId="346CDBAC" w14:textId="77777777" w:rsidR="005312B7" w:rsidRPr="00003D21" w:rsidRDefault="005312B7" w:rsidP="00840E6B">
            <w:pPr>
              <w:rPr>
                <w:rFonts w:ascii="Arial" w:hAnsi="Arial" w:cs="Arial"/>
                <w:lang w:val="en-CA"/>
              </w:rPr>
            </w:pPr>
            <w:r w:rsidRPr="00003D21">
              <w:rPr>
                <w:rFonts w:ascii="Arial" w:hAnsi="Arial" w:cs="Arial"/>
                <w:lang w:val="en-CA"/>
              </w:rPr>
              <w:t>No Fees</w:t>
            </w:r>
          </w:p>
        </w:tc>
        <w:tc>
          <w:tcPr>
            <w:tcW w:w="1243" w:type="dxa"/>
          </w:tcPr>
          <w:p w14:paraId="4F3433BE" w14:textId="77777777" w:rsidR="005312B7" w:rsidRPr="00003D21" w:rsidRDefault="005312B7" w:rsidP="00BB04D8">
            <w:pPr>
              <w:jc w:val="center"/>
              <w:rPr>
                <w:rFonts w:ascii="Arial" w:hAnsi="Arial" w:cs="Arial"/>
                <w:lang w:val="en-CA"/>
              </w:rPr>
            </w:pPr>
          </w:p>
        </w:tc>
        <w:tc>
          <w:tcPr>
            <w:tcW w:w="5882" w:type="dxa"/>
          </w:tcPr>
          <w:p w14:paraId="20B1ED32" w14:textId="0FC9AF46" w:rsidR="005312B7" w:rsidRPr="00003D21" w:rsidRDefault="005312B7" w:rsidP="00840E6B">
            <w:pPr>
              <w:jc w:val="both"/>
              <w:rPr>
                <w:rFonts w:ascii="Arial" w:hAnsi="Arial" w:cs="Arial"/>
                <w:lang w:val="en-CA"/>
              </w:rPr>
            </w:pPr>
            <w:r w:rsidRPr="00003D21">
              <w:rPr>
                <w:rFonts w:ascii="Arial" w:hAnsi="Arial" w:cs="Arial"/>
                <w:lang w:val="en-CA"/>
              </w:rPr>
              <w:t>No account or card fees</w:t>
            </w:r>
            <w:r w:rsidR="00B65E61" w:rsidRPr="00003D21">
              <w:rPr>
                <w:rFonts w:ascii="Arial" w:hAnsi="Arial" w:cs="Arial"/>
                <w:lang w:val="en-CA"/>
              </w:rPr>
              <w:t>;</w:t>
            </w:r>
            <w:r w:rsidRPr="00003D21">
              <w:rPr>
                <w:rFonts w:ascii="Arial" w:hAnsi="Arial" w:cs="Arial"/>
                <w:lang w:val="en-CA"/>
              </w:rPr>
              <w:t xml:space="preserve"> no non-sufficient funds fees</w:t>
            </w:r>
            <w:r w:rsidR="00B65E61" w:rsidRPr="00003D21">
              <w:rPr>
                <w:rFonts w:ascii="Arial" w:hAnsi="Arial" w:cs="Arial"/>
                <w:lang w:val="en-CA"/>
              </w:rPr>
              <w:t>;</w:t>
            </w:r>
            <w:r w:rsidRPr="00003D21">
              <w:rPr>
                <w:rFonts w:ascii="Arial" w:hAnsi="Arial" w:cs="Arial"/>
                <w:lang w:val="en-CA"/>
              </w:rPr>
              <w:t xml:space="preserve"> no minimum account balances</w:t>
            </w:r>
            <w:r w:rsidR="00B65E61" w:rsidRPr="00003D21">
              <w:rPr>
                <w:rFonts w:ascii="Arial" w:hAnsi="Arial" w:cs="Arial"/>
                <w:lang w:val="en-CA"/>
              </w:rPr>
              <w:t>;</w:t>
            </w:r>
            <w:r w:rsidRPr="00003D21">
              <w:rPr>
                <w:rFonts w:ascii="Arial" w:hAnsi="Arial" w:cs="Arial"/>
                <w:lang w:val="en-CA"/>
              </w:rPr>
              <w:t xml:space="preserve"> no maximum number of transactions</w:t>
            </w:r>
          </w:p>
        </w:tc>
      </w:tr>
      <w:tr w:rsidR="005312B7" w:rsidRPr="00003D21" w14:paraId="66466076" w14:textId="77777777" w:rsidTr="00BB04D8">
        <w:tc>
          <w:tcPr>
            <w:tcW w:w="2225" w:type="dxa"/>
          </w:tcPr>
          <w:p w14:paraId="4F2A7C2F" w14:textId="77777777" w:rsidR="005312B7" w:rsidRPr="00003D21" w:rsidRDefault="005312B7" w:rsidP="00840E6B">
            <w:pPr>
              <w:rPr>
                <w:rFonts w:ascii="Arial" w:hAnsi="Arial" w:cs="Arial"/>
                <w:lang w:val="en-CA"/>
              </w:rPr>
            </w:pPr>
            <w:r w:rsidRPr="00003D21">
              <w:rPr>
                <w:rFonts w:ascii="Arial" w:hAnsi="Arial" w:cs="Arial"/>
                <w:lang w:val="en-CA"/>
              </w:rPr>
              <w:t>Virtual Card</w:t>
            </w:r>
          </w:p>
        </w:tc>
        <w:tc>
          <w:tcPr>
            <w:tcW w:w="1243" w:type="dxa"/>
          </w:tcPr>
          <w:p w14:paraId="2BEAF93B" w14:textId="77777777" w:rsidR="005312B7" w:rsidRPr="00003D21" w:rsidRDefault="005312B7" w:rsidP="00BB04D8">
            <w:pPr>
              <w:jc w:val="center"/>
              <w:rPr>
                <w:rFonts w:ascii="Arial" w:hAnsi="Arial" w:cs="Arial"/>
                <w:lang w:val="en-CA"/>
              </w:rPr>
            </w:pPr>
          </w:p>
        </w:tc>
        <w:tc>
          <w:tcPr>
            <w:tcW w:w="5882" w:type="dxa"/>
          </w:tcPr>
          <w:p w14:paraId="70682452" w14:textId="3C3BEAB2" w:rsidR="005312B7" w:rsidRPr="00003D21" w:rsidRDefault="005312B7" w:rsidP="00944D3D">
            <w:pPr>
              <w:jc w:val="both"/>
              <w:rPr>
                <w:rFonts w:ascii="Arial" w:hAnsi="Arial" w:cs="Arial"/>
                <w:lang w:val="en-CA"/>
              </w:rPr>
            </w:pPr>
            <w:r w:rsidRPr="00003D21">
              <w:rPr>
                <w:rFonts w:ascii="Arial" w:hAnsi="Arial" w:cs="Arial"/>
                <w:lang w:val="en-CA"/>
              </w:rPr>
              <w:t>Virtual prepaid Visa card</w:t>
            </w:r>
            <w:r w:rsidR="00944D3D">
              <w:rPr>
                <w:rFonts w:ascii="Arial" w:hAnsi="Arial" w:cs="Arial"/>
                <w:lang w:val="en-CA"/>
              </w:rPr>
              <w:t>—</w:t>
            </w:r>
            <w:r w:rsidR="00EE1A55" w:rsidRPr="00003D21">
              <w:rPr>
                <w:rFonts w:ascii="Arial" w:hAnsi="Arial" w:cs="Arial"/>
                <w:lang w:val="en-CA"/>
              </w:rPr>
              <w:t xml:space="preserve">used </w:t>
            </w:r>
            <w:r w:rsidRPr="00003D21">
              <w:rPr>
                <w:rFonts w:ascii="Arial" w:hAnsi="Arial" w:cs="Arial"/>
                <w:lang w:val="en-CA"/>
              </w:rPr>
              <w:t>a different card number to protect user’s physical card numbers</w:t>
            </w:r>
          </w:p>
        </w:tc>
      </w:tr>
      <w:tr w:rsidR="005312B7" w:rsidRPr="00003D21" w14:paraId="5914003E" w14:textId="77777777" w:rsidTr="00BB04D8">
        <w:tc>
          <w:tcPr>
            <w:tcW w:w="2225" w:type="dxa"/>
          </w:tcPr>
          <w:p w14:paraId="34EF86AE" w14:textId="77777777" w:rsidR="005312B7" w:rsidRPr="00003D21" w:rsidRDefault="005312B7" w:rsidP="00840E6B">
            <w:pPr>
              <w:rPr>
                <w:rFonts w:ascii="Arial" w:hAnsi="Arial" w:cs="Arial"/>
                <w:lang w:val="en-CA"/>
              </w:rPr>
            </w:pPr>
            <w:r w:rsidRPr="00003D21">
              <w:rPr>
                <w:rFonts w:ascii="Arial" w:hAnsi="Arial" w:cs="Arial"/>
                <w:lang w:val="en-CA"/>
              </w:rPr>
              <w:t>Physical Card</w:t>
            </w:r>
          </w:p>
        </w:tc>
        <w:tc>
          <w:tcPr>
            <w:tcW w:w="1243" w:type="dxa"/>
          </w:tcPr>
          <w:p w14:paraId="640E85B2" w14:textId="77777777" w:rsidR="005312B7" w:rsidRPr="00003D21" w:rsidRDefault="005312B7" w:rsidP="00BB04D8">
            <w:pPr>
              <w:jc w:val="center"/>
              <w:rPr>
                <w:rFonts w:ascii="Arial" w:hAnsi="Arial" w:cs="Arial"/>
                <w:lang w:val="en-CA"/>
              </w:rPr>
            </w:pPr>
          </w:p>
        </w:tc>
        <w:tc>
          <w:tcPr>
            <w:tcW w:w="5882" w:type="dxa"/>
          </w:tcPr>
          <w:p w14:paraId="1C2BD841" w14:textId="49907E63" w:rsidR="005312B7" w:rsidRPr="00003D21" w:rsidRDefault="005312B7" w:rsidP="00840E6B">
            <w:pPr>
              <w:jc w:val="both"/>
              <w:rPr>
                <w:rFonts w:ascii="Arial" w:hAnsi="Arial" w:cs="Arial"/>
                <w:lang w:val="en-CA"/>
              </w:rPr>
            </w:pPr>
            <w:r w:rsidRPr="00003D21">
              <w:rPr>
                <w:rFonts w:ascii="Arial" w:hAnsi="Arial" w:cs="Arial"/>
                <w:lang w:val="en-CA"/>
              </w:rPr>
              <w:t>Physical prepaid Visa card for in-store purchases</w:t>
            </w:r>
          </w:p>
        </w:tc>
      </w:tr>
      <w:tr w:rsidR="005312B7" w:rsidRPr="00003D21" w14:paraId="32E79050" w14:textId="77777777" w:rsidTr="00BB04D8">
        <w:tc>
          <w:tcPr>
            <w:tcW w:w="2225" w:type="dxa"/>
          </w:tcPr>
          <w:p w14:paraId="6F5A2110" w14:textId="77777777" w:rsidR="005312B7" w:rsidRPr="00003D21" w:rsidRDefault="005312B7" w:rsidP="00840E6B">
            <w:pPr>
              <w:rPr>
                <w:rFonts w:ascii="Arial" w:hAnsi="Arial" w:cs="Arial"/>
                <w:lang w:val="en-CA"/>
              </w:rPr>
            </w:pPr>
            <w:r w:rsidRPr="00003D21">
              <w:rPr>
                <w:rFonts w:ascii="Arial" w:hAnsi="Arial" w:cs="Arial"/>
                <w:lang w:val="en-CA"/>
              </w:rPr>
              <w:t>0.5% PowerUp</w:t>
            </w:r>
          </w:p>
        </w:tc>
        <w:tc>
          <w:tcPr>
            <w:tcW w:w="1243" w:type="dxa"/>
          </w:tcPr>
          <w:p w14:paraId="6FB35B25" w14:textId="77777777" w:rsidR="005312B7" w:rsidRPr="00003D21" w:rsidRDefault="005312B7" w:rsidP="00BB04D8">
            <w:pPr>
              <w:jc w:val="center"/>
              <w:rPr>
                <w:rFonts w:ascii="Arial" w:hAnsi="Arial" w:cs="Arial"/>
                <w:lang w:val="en-CA"/>
              </w:rPr>
            </w:pPr>
          </w:p>
        </w:tc>
        <w:tc>
          <w:tcPr>
            <w:tcW w:w="5882" w:type="dxa"/>
          </w:tcPr>
          <w:p w14:paraId="4EBC8FDA" w14:textId="474D713C" w:rsidR="005312B7" w:rsidRPr="00003D21" w:rsidRDefault="005312B7" w:rsidP="00840E6B">
            <w:pPr>
              <w:jc w:val="both"/>
              <w:rPr>
                <w:rFonts w:ascii="Arial" w:hAnsi="Arial" w:cs="Arial"/>
                <w:lang w:val="en-CA"/>
              </w:rPr>
            </w:pPr>
            <w:r w:rsidRPr="00003D21">
              <w:rPr>
                <w:rFonts w:ascii="Arial" w:hAnsi="Arial" w:cs="Arial"/>
                <w:lang w:val="en-CA"/>
              </w:rPr>
              <w:t>Instant 0.5% cash back on all purchases</w:t>
            </w:r>
          </w:p>
        </w:tc>
      </w:tr>
      <w:tr w:rsidR="005312B7" w:rsidRPr="00003D21" w14:paraId="11CC608C" w14:textId="77777777" w:rsidTr="00BB04D8">
        <w:tc>
          <w:tcPr>
            <w:tcW w:w="2225" w:type="dxa"/>
          </w:tcPr>
          <w:p w14:paraId="78981909" w14:textId="77777777" w:rsidR="005312B7" w:rsidRPr="00003D21" w:rsidRDefault="005312B7" w:rsidP="00840E6B">
            <w:pPr>
              <w:rPr>
                <w:rFonts w:ascii="Arial" w:hAnsi="Arial" w:cs="Arial"/>
                <w:lang w:val="en-CA"/>
              </w:rPr>
            </w:pPr>
            <w:r w:rsidRPr="00003D21">
              <w:rPr>
                <w:rFonts w:ascii="Arial" w:hAnsi="Arial" w:cs="Arial"/>
                <w:lang w:val="en-CA"/>
              </w:rPr>
              <w:t>2% PowerUp</w:t>
            </w:r>
          </w:p>
        </w:tc>
        <w:tc>
          <w:tcPr>
            <w:tcW w:w="1243" w:type="dxa"/>
          </w:tcPr>
          <w:p w14:paraId="7E057583" w14:textId="77777777" w:rsidR="005312B7" w:rsidRPr="00003D21" w:rsidRDefault="005312B7" w:rsidP="00BB04D8">
            <w:pPr>
              <w:jc w:val="center"/>
              <w:rPr>
                <w:rFonts w:ascii="Arial" w:hAnsi="Arial" w:cs="Arial"/>
                <w:lang w:val="en-CA"/>
              </w:rPr>
            </w:pPr>
            <w:r w:rsidRPr="00003D21">
              <w:rPr>
                <w:rFonts w:ascii="Segoe UI Symbol" w:hAnsi="Segoe UI Symbol" w:cs="Segoe UI Symbol"/>
                <w:color w:val="3C4043"/>
                <w:shd w:val="clear" w:color="auto" w:fill="FFFFFF"/>
                <w:lang w:val="en-CA"/>
              </w:rPr>
              <w:t>✓</w:t>
            </w:r>
          </w:p>
        </w:tc>
        <w:tc>
          <w:tcPr>
            <w:tcW w:w="5882" w:type="dxa"/>
          </w:tcPr>
          <w:p w14:paraId="327A1D8C" w14:textId="00FDD967" w:rsidR="005312B7" w:rsidRPr="00003D21" w:rsidRDefault="005312B7" w:rsidP="00840E6B">
            <w:pPr>
              <w:jc w:val="both"/>
              <w:rPr>
                <w:rFonts w:ascii="Arial" w:hAnsi="Arial" w:cs="Arial"/>
                <w:lang w:val="en-CA"/>
              </w:rPr>
            </w:pPr>
            <w:r w:rsidRPr="00003D21">
              <w:rPr>
                <w:rFonts w:ascii="Arial" w:hAnsi="Arial" w:cs="Arial"/>
                <w:lang w:val="en-CA"/>
              </w:rPr>
              <w:t>Instant 2% cash back on all purchases</w:t>
            </w:r>
          </w:p>
        </w:tc>
      </w:tr>
      <w:tr w:rsidR="005312B7" w:rsidRPr="00003D21" w14:paraId="359FCB02" w14:textId="77777777" w:rsidTr="00BB04D8">
        <w:tc>
          <w:tcPr>
            <w:tcW w:w="2225" w:type="dxa"/>
          </w:tcPr>
          <w:p w14:paraId="68A0A8C8" w14:textId="77777777" w:rsidR="005312B7" w:rsidRPr="00003D21" w:rsidRDefault="005312B7" w:rsidP="00840E6B">
            <w:pPr>
              <w:rPr>
                <w:rFonts w:ascii="Arial" w:hAnsi="Arial" w:cs="Arial"/>
                <w:lang w:val="en-CA"/>
              </w:rPr>
            </w:pPr>
            <w:r w:rsidRPr="00003D21">
              <w:rPr>
                <w:rFonts w:ascii="Arial" w:hAnsi="Arial" w:cs="Arial"/>
                <w:lang w:val="en-CA"/>
              </w:rPr>
              <w:t>Merchant PowerUp</w:t>
            </w:r>
          </w:p>
        </w:tc>
        <w:tc>
          <w:tcPr>
            <w:tcW w:w="1243" w:type="dxa"/>
          </w:tcPr>
          <w:p w14:paraId="7677FD42" w14:textId="77777777" w:rsidR="005312B7" w:rsidRPr="00003D21" w:rsidRDefault="005312B7" w:rsidP="00BB04D8">
            <w:pPr>
              <w:jc w:val="center"/>
              <w:rPr>
                <w:rFonts w:ascii="Arial" w:hAnsi="Arial" w:cs="Arial"/>
                <w:lang w:val="en-CA"/>
              </w:rPr>
            </w:pPr>
          </w:p>
        </w:tc>
        <w:tc>
          <w:tcPr>
            <w:tcW w:w="5882" w:type="dxa"/>
          </w:tcPr>
          <w:p w14:paraId="743BCFCC" w14:textId="1FDE23B8" w:rsidR="005312B7" w:rsidRPr="00003D21" w:rsidRDefault="005312B7" w:rsidP="00840E6B">
            <w:pPr>
              <w:jc w:val="both"/>
              <w:rPr>
                <w:rFonts w:ascii="Arial" w:hAnsi="Arial" w:cs="Arial"/>
                <w:lang w:val="en-CA"/>
              </w:rPr>
            </w:pPr>
            <w:r w:rsidRPr="00003D21">
              <w:rPr>
                <w:rFonts w:ascii="Arial" w:hAnsi="Arial" w:cs="Arial"/>
                <w:lang w:val="en-CA"/>
              </w:rPr>
              <w:t xml:space="preserve">Users </w:t>
            </w:r>
            <w:r w:rsidR="00EE1A55" w:rsidRPr="00003D21">
              <w:rPr>
                <w:rFonts w:ascii="Arial" w:hAnsi="Arial" w:cs="Arial"/>
                <w:lang w:val="en-CA"/>
              </w:rPr>
              <w:t xml:space="preserve">could </w:t>
            </w:r>
            <w:r w:rsidRPr="00003D21">
              <w:rPr>
                <w:rFonts w:ascii="Arial" w:hAnsi="Arial" w:cs="Arial"/>
                <w:lang w:val="en-CA"/>
              </w:rPr>
              <w:t xml:space="preserve">earn additional cash back </w:t>
            </w:r>
            <w:r w:rsidR="00B65E61" w:rsidRPr="00003D21">
              <w:rPr>
                <w:rFonts w:ascii="Arial" w:hAnsi="Arial" w:cs="Arial"/>
                <w:lang w:val="en-CA"/>
              </w:rPr>
              <w:t>(</w:t>
            </w:r>
            <w:r w:rsidRPr="00003D21">
              <w:rPr>
                <w:rFonts w:ascii="Arial" w:hAnsi="Arial" w:cs="Arial"/>
                <w:lang w:val="en-CA"/>
              </w:rPr>
              <w:t>1.5%</w:t>
            </w:r>
            <w:r w:rsidR="00B65E61" w:rsidRPr="00003D21">
              <w:rPr>
                <w:rFonts w:ascii="Arial" w:hAnsi="Arial" w:cs="Arial"/>
                <w:lang w:val="en-CA"/>
              </w:rPr>
              <w:t>–</w:t>
            </w:r>
            <w:r w:rsidRPr="00003D21">
              <w:rPr>
                <w:rFonts w:ascii="Arial" w:hAnsi="Arial" w:cs="Arial"/>
                <w:lang w:val="en-CA"/>
              </w:rPr>
              <w:t>5%</w:t>
            </w:r>
            <w:r w:rsidR="00B65E61" w:rsidRPr="00003D21">
              <w:rPr>
                <w:rFonts w:ascii="Arial" w:hAnsi="Arial" w:cs="Arial"/>
                <w:lang w:val="en-CA"/>
              </w:rPr>
              <w:t>)</w:t>
            </w:r>
            <w:r w:rsidRPr="00003D21">
              <w:rPr>
                <w:rFonts w:ascii="Arial" w:hAnsi="Arial" w:cs="Arial"/>
                <w:lang w:val="en-CA"/>
              </w:rPr>
              <w:t xml:space="preserve"> when using their Koho card with participating merchants. Merchant partners include</w:t>
            </w:r>
            <w:r w:rsidR="00EE1A55" w:rsidRPr="00003D21">
              <w:rPr>
                <w:rFonts w:ascii="Arial" w:hAnsi="Arial" w:cs="Arial"/>
                <w:lang w:val="en-CA"/>
              </w:rPr>
              <w:t>d</w:t>
            </w:r>
            <w:r w:rsidRPr="00003D21">
              <w:rPr>
                <w:rFonts w:ascii="Arial" w:hAnsi="Arial" w:cs="Arial"/>
                <w:lang w:val="en-CA"/>
              </w:rPr>
              <w:t xml:space="preserve"> </w:t>
            </w:r>
            <w:r w:rsidR="00B65E61" w:rsidRPr="00003D21">
              <w:rPr>
                <w:rFonts w:ascii="Arial" w:hAnsi="Arial" w:cs="Arial"/>
                <w:lang w:val="en-CA"/>
              </w:rPr>
              <w:t>Well</w:t>
            </w:r>
            <w:r w:rsidRPr="00003D21">
              <w:rPr>
                <w:rFonts w:ascii="Arial" w:hAnsi="Arial" w:cs="Arial"/>
                <w:lang w:val="en-CA"/>
              </w:rPr>
              <w:t xml:space="preserve">.ca, </w:t>
            </w:r>
            <w:r w:rsidR="00C25AB1" w:rsidRPr="00003D21">
              <w:rPr>
                <w:rFonts w:ascii="Arial" w:hAnsi="Arial" w:cs="Arial"/>
                <w:lang w:val="en-CA"/>
              </w:rPr>
              <w:t>Foodora</w:t>
            </w:r>
            <w:r w:rsidRPr="00003D21">
              <w:rPr>
                <w:rFonts w:ascii="Arial" w:hAnsi="Arial" w:cs="Arial"/>
                <w:lang w:val="en-CA"/>
              </w:rPr>
              <w:t>, Chef</w:t>
            </w:r>
            <w:r w:rsidR="00B65E61" w:rsidRPr="00003D21">
              <w:rPr>
                <w:rFonts w:ascii="Arial" w:hAnsi="Arial" w:cs="Arial"/>
                <w:lang w:val="en-CA"/>
              </w:rPr>
              <w:t>’</w:t>
            </w:r>
            <w:r w:rsidRPr="00003D21">
              <w:rPr>
                <w:rFonts w:ascii="Arial" w:hAnsi="Arial" w:cs="Arial"/>
                <w:lang w:val="en-CA"/>
              </w:rPr>
              <w:t>s</w:t>
            </w:r>
            <w:r w:rsidR="00B65E61" w:rsidRPr="00003D21">
              <w:rPr>
                <w:rFonts w:ascii="Arial" w:hAnsi="Arial" w:cs="Arial"/>
                <w:lang w:val="en-CA"/>
              </w:rPr>
              <w:t xml:space="preserve"> </w:t>
            </w:r>
            <w:r w:rsidRPr="00003D21">
              <w:rPr>
                <w:rFonts w:ascii="Arial" w:hAnsi="Arial" w:cs="Arial"/>
                <w:lang w:val="en-CA"/>
              </w:rPr>
              <w:t>Plate, Sunwing</w:t>
            </w:r>
            <w:r w:rsidR="00B65E61" w:rsidRPr="00003D21">
              <w:rPr>
                <w:rFonts w:ascii="Arial" w:hAnsi="Arial" w:cs="Arial"/>
                <w:lang w:val="en-CA"/>
              </w:rPr>
              <w:t xml:space="preserve"> Airlines Inc.</w:t>
            </w:r>
            <w:r w:rsidRPr="00003D21">
              <w:rPr>
                <w:rFonts w:ascii="Arial" w:hAnsi="Arial" w:cs="Arial"/>
                <w:lang w:val="en-CA"/>
              </w:rPr>
              <w:t>, Greenhouse Juice</w:t>
            </w:r>
            <w:r w:rsidR="00B65E61" w:rsidRPr="00003D21">
              <w:rPr>
                <w:rFonts w:ascii="Arial" w:hAnsi="Arial" w:cs="Arial"/>
                <w:lang w:val="en-CA"/>
              </w:rPr>
              <w:t xml:space="preserve"> Co.</w:t>
            </w:r>
            <w:r w:rsidRPr="00003D21">
              <w:rPr>
                <w:rFonts w:ascii="Arial" w:hAnsi="Arial" w:cs="Arial"/>
                <w:lang w:val="en-CA"/>
              </w:rPr>
              <w:t>, Freshii</w:t>
            </w:r>
            <w:r w:rsidR="00B65E61" w:rsidRPr="00003D21">
              <w:rPr>
                <w:rFonts w:ascii="Arial" w:hAnsi="Arial" w:cs="Arial"/>
                <w:lang w:val="en-CA"/>
              </w:rPr>
              <w:t xml:space="preserve"> Inc.</w:t>
            </w:r>
            <w:r w:rsidRPr="00003D21">
              <w:rPr>
                <w:rFonts w:ascii="Arial" w:hAnsi="Arial" w:cs="Arial"/>
                <w:lang w:val="en-CA"/>
              </w:rPr>
              <w:t>, JJ Bean, Public Mobile, Frank and Oak, and Altitude Sports.</w:t>
            </w:r>
          </w:p>
        </w:tc>
      </w:tr>
      <w:tr w:rsidR="005312B7" w:rsidRPr="00003D21" w14:paraId="7D33D541" w14:textId="77777777" w:rsidTr="00BB04D8">
        <w:tc>
          <w:tcPr>
            <w:tcW w:w="2225" w:type="dxa"/>
          </w:tcPr>
          <w:p w14:paraId="4E3BD5FB" w14:textId="77777777" w:rsidR="005312B7" w:rsidRPr="00003D21" w:rsidRDefault="005312B7" w:rsidP="00840E6B">
            <w:pPr>
              <w:rPr>
                <w:rFonts w:ascii="Arial" w:hAnsi="Arial" w:cs="Arial"/>
                <w:lang w:val="en-CA"/>
              </w:rPr>
            </w:pPr>
            <w:r w:rsidRPr="00003D21">
              <w:rPr>
                <w:rFonts w:ascii="Arial" w:hAnsi="Arial" w:cs="Arial"/>
                <w:lang w:val="en-CA"/>
              </w:rPr>
              <w:t>RoundUp</w:t>
            </w:r>
          </w:p>
        </w:tc>
        <w:tc>
          <w:tcPr>
            <w:tcW w:w="1243" w:type="dxa"/>
          </w:tcPr>
          <w:p w14:paraId="688CD83F" w14:textId="77777777" w:rsidR="005312B7" w:rsidRPr="00003D21" w:rsidRDefault="005312B7" w:rsidP="00BB04D8">
            <w:pPr>
              <w:jc w:val="center"/>
              <w:rPr>
                <w:rFonts w:ascii="Arial" w:hAnsi="Arial" w:cs="Arial"/>
                <w:lang w:val="en-CA"/>
              </w:rPr>
            </w:pPr>
          </w:p>
        </w:tc>
        <w:tc>
          <w:tcPr>
            <w:tcW w:w="5882" w:type="dxa"/>
          </w:tcPr>
          <w:p w14:paraId="7E50CF76" w14:textId="1A4598F8" w:rsidR="005312B7" w:rsidRPr="00003D21" w:rsidRDefault="005312B7" w:rsidP="00840E6B">
            <w:pPr>
              <w:jc w:val="both"/>
              <w:rPr>
                <w:rFonts w:ascii="Arial" w:hAnsi="Arial" w:cs="Arial"/>
                <w:lang w:val="en-CA"/>
              </w:rPr>
            </w:pPr>
            <w:r w:rsidRPr="00003D21">
              <w:rPr>
                <w:rFonts w:ascii="Arial" w:hAnsi="Arial" w:cs="Arial"/>
                <w:lang w:val="en-CA"/>
              </w:rPr>
              <w:t xml:space="preserve">Every purchase a user </w:t>
            </w:r>
            <w:r w:rsidR="00EE1A55" w:rsidRPr="00003D21">
              <w:rPr>
                <w:rFonts w:ascii="Arial" w:hAnsi="Arial" w:cs="Arial"/>
                <w:lang w:val="en-CA"/>
              </w:rPr>
              <w:t>made was</w:t>
            </w:r>
            <w:r w:rsidRPr="00003D21">
              <w:rPr>
                <w:rFonts w:ascii="Arial" w:hAnsi="Arial" w:cs="Arial"/>
                <w:lang w:val="en-CA"/>
              </w:rPr>
              <w:t xml:space="preserve"> rounded to the nearest $1, $2, $5, or $10. The extra amount </w:t>
            </w:r>
            <w:r w:rsidR="00EE1A55" w:rsidRPr="00003D21">
              <w:rPr>
                <w:rFonts w:ascii="Arial" w:hAnsi="Arial" w:cs="Arial"/>
                <w:lang w:val="en-CA"/>
              </w:rPr>
              <w:t xml:space="preserve">was </w:t>
            </w:r>
            <w:r w:rsidRPr="00003D21">
              <w:rPr>
                <w:rFonts w:ascii="Arial" w:hAnsi="Arial" w:cs="Arial"/>
                <w:lang w:val="en-CA"/>
              </w:rPr>
              <w:t xml:space="preserve">set aside in the user’s </w:t>
            </w:r>
            <w:r w:rsidR="00EE1A55" w:rsidRPr="00003D21">
              <w:rPr>
                <w:rFonts w:ascii="Arial" w:hAnsi="Arial" w:cs="Arial"/>
                <w:lang w:val="en-CA"/>
              </w:rPr>
              <w:t>s</w:t>
            </w:r>
            <w:r w:rsidRPr="00003D21">
              <w:rPr>
                <w:rFonts w:ascii="Arial" w:hAnsi="Arial" w:cs="Arial"/>
                <w:lang w:val="en-CA"/>
              </w:rPr>
              <w:t>avings</w:t>
            </w:r>
            <w:r w:rsidR="00EE1A55" w:rsidRPr="00003D21">
              <w:rPr>
                <w:rFonts w:ascii="Arial" w:hAnsi="Arial" w:cs="Arial"/>
                <w:lang w:val="en-CA"/>
              </w:rPr>
              <w:t xml:space="preserve"> account</w:t>
            </w:r>
            <w:r w:rsidRPr="00003D21">
              <w:rPr>
                <w:rFonts w:ascii="Arial" w:hAnsi="Arial" w:cs="Arial"/>
                <w:lang w:val="en-CA"/>
              </w:rPr>
              <w:t>.</w:t>
            </w:r>
          </w:p>
        </w:tc>
      </w:tr>
      <w:tr w:rsidR="005312B7" w:rsidRPr="00003D21" w14:paraId="33BBAB30" w14:textId="77777777" w:rsidTr="00BB04D8">
        <w:tc>
          <w:tcPr>
            <w:tcW w:w="2225" w:type="dxa"/>
          </w:tcPr>
          <w:p w14:paraId="48891453" w14:textId="77777777" w:rsidR="005312B7" w:rsidRPr="00003D21" w:rsidRDefault="005312B7" w:rsidP="00840E6B">
            <w:pPr>
              <w:rPr>
                <w:rFonts w:ascii="Arial" w:hAnsi="Arial" w:cs="Arial"/>
                <w:lang w:val="en-CA"/>
              </w:rPr>
            </w:pPr>
            <w:r w:rsidRPr="00003D21">
              <w:rPr>
                <w:rFonts w:ascii="Arial" w:hAnsi="Arial" w:cs="Arial"/>
                <w:lang w:val="en-CA"/>
              </w:rPr>
              <w:t>Automated Savings</w:t>
            </w:r>
          </w:p>
        </w:tc>
        <w:tc>
          <w:tcPr>
            <w:tcW w:w="1243" w:type="dxa"/>
          </w:tcPr>
          <w:p w14:paraId="4DDD9BC7" w14:textId="77777777" w:rsidR="005312B7" w:rsidRPr="00003D21" w:rsidRDefault="005312B7" w:rsidP="00BB04D8">
            <w:pPr>
              <w:jc w:val="center"/>
              <w:rPr>
                <w:rFonts w:ascii="Arial" w:hAnsi="Arial" w:cs="Arial"/>
                <w:lang w:val="en-CA"/>
              </w:rPr>
            </w:pPr>
          </w:p>
        </w:tc>
        <w:tc>
          <w:tcPr>
            <w:tcW w:w="5882" w:type="dxa"/>
          </w:tcPr>
          <w:p w14:paraId="49AE0326" w14:textId="7149A442" w:rsidR="005312B7" w:rsidRPr="00003D21" w:rsidRDefault="00EE1A55" w:rsidP="00944D3D">
            <w:pPr>
              <w:jc w:val="both"/>
              <w:rPr>
                <w:rFonts w:ascii="Arial" w:hAnsi="Arial" w:cs="Arial"/>
                <w:lang w:val="en-CA"/>
              </w:rPr>
            </w:pPr>
            <w:r w:rsidRPr="00003D21">
              <w:rPr>
                <w:rFonts w:ascii="Arial" w:hAnsi="Arial" w:cs="Arial"/>
                <w:lang w:val="en-CA"/>
              </w:rPr>
              <w:t>Money was a</w:t>
            </w:r>
            <w:r w:rsidR="005312B7" w:rsidRPr="00003D21">
              <w:rPr>
                <w:rFonts w:ascii="Arial" w:hAnsi="Arial" w:cs="Arial"/>
                <w:lang w:val="en-CA"/>
              </w:rPr>
              <w:t>utomatic</w:t>
            </w:r>
            <w:r w:rsidRPr="00003D21">
              <w:rPr>
                <w:rFonts w:ascii="Arial" w:hAnsi="Arial" w:cs="Arial"/>
                <w:lang w:val="en-CA"/>
              </w:rPr>
              <w:t>ally</w:t>
            </w:r>
            <w:r w:rsidR="005312B7" w:rsidRPr="00003D21">
              <w:rPr>
                <w:rFonts w:ascii="Arial" w:hAnsi="Arial" w:cs="Arial"/>
                <w:lang w:val="en-CA"/>
              </w:rPr>
              <w:t xml:space="preserve"> </w:t>
            </w:r>
            <w:r w:rsidRPr="00003D21">
              <w:rPr>
                <w:rFonts w:ascii="Arial" w:hAnsi="Arial" w:cs="Arial"/>
                <w:lang w:val="en-CA"/>
              </w:rPr>
              <w:t xml:space="preserve">moved </w:t>
            </w:r>
            <w:r w:rsidR="005312B7" w:rsidRPr="00003D21">
              <w:rPr>
                <w:rFonts w:ascii="Arial" w:hAnsi="Arial" w:cs="Arial"/>
                <w:lang w:val="en-CA"/>
              </w:rPr>
              <w:t xml:space="preserve">from </w:t>
            </w:r>
            <w:r w:rsidR="00944D3D">
              <w:rPr>
                <w:rFonts w:ascii="Arial" w:hAnsi="Arial" w:cs="Arial"/>
                <w:lang w:val="en-CA"/>
              </w:rPr>
              <w:t xml:space="preserve">a </w:t>
            </w:r>
            <w:r w:rsidR="005312B7" w:rsidRPr="00003D21">
              <w:rPr>
                <w:rFonts w:ascii="Arial" w:hAnsi="Arial" w:cs="Arial"/>
                <w:lang w:val="en-CA"/>
              </w:rPr>
              <w:t>user</w:t>
            </w:r>
            <w:r w:rsidRPr="00003D21">
              <w:rPr>
                <w:rFonts w:ascii="Arial" w:hAnsi="Arial" w:cs="Arial"/>
                <w:lang w:val="en-CA"/>
              </w:rPr>
              <w:t>’s</w:t>
            </w:r>
            <w:r w:rsidR="005312B7" w:rsidRPr="00003D21">
              <w:rPr>
                <w:rFonts w:ascii="Arial" w:hAnsi="Arial" w:cs="Arial"/>
                <w:lang w:val="en-CA"/>
              </w:rPr>
              <w:t xml:space="preserve"> </w:t>
            </w:r>
            <w:r w:rsidRPr="00003D21">
              <w:rPr>
                <w:rFonts w:ascii="Arial" w:hAnsi="Arial" w:cs="Arial"/>
                <w:lang w:val="en-CA"/>
              </w:rPr>
              <w:t>s</w:t>
            </w:r>
            <w:r w:rsidR="005312B7" w:rsidRPr="00003D21">
              <w:rPr>
                <w:rFonts w:ascii="Arial" w:hAnsi="Arial" w:cs="Arial"/>
                <w:lang w:val="en-CA"/>
              </w:rPr>
              <w:t>pendable</w:t>
            </w:r>
            <w:r w:rsidRPr="00003D21">
              <w:rPr>
                <w:rFonts w:ascii="Arial" w:hAnsi="Arial" w:cs="Arial"/>
                <w:lang w:val="en-CA"/>
              </w:rPr>
              <w:t xml:space="preserve"> account</w:t>
            </w:r>
            <w:r w:rsidR="005312B7" w:rsidRPr="00003D21">
              <w:rPr>
                <w:rFonts w:ascii="Arial" w:hAnsi="Arial" w:cs="Arial"/>
                <w:lang w:val="en-CA"/>
              </w:rPr>
              <w:t xml:space="preserve"> (</w:t>
            </w:r>
            <w:r w:rsidRPr="00003D21">
              <w:rPr>
                <w:rFonts w:ascii="Arial" w:hAnsi="Arial" w:cs="Arial"/>
                <w:lang w:val="en-CA"/>
              </w:rPr>
              <w:t xml:space="preserve">the </w:t>
            </w:r>
            <w:r w:rsidR="005312B7" w:rsidRPr="00003D21">
              <w:rPr>
                <w:rFonts w:ascii="Arial" w:hAnsi="Arial" w:cs="Arial"/>
                <w:lang w:val="en-CA"/>
              </w:rPr>
              <w:t xml:space="preserve">suggested amount </w:t>
            </w:r>
            <w:r w:rsidRPr="00003D21">
              <w:rPr>
                <w:rFonts w:ascii="Arial" w:hAnsi="Arial" w:cs="Arial"/>
                <w:lang w:val="en-CA"/>
              </w:rPr>
              <w:t xml:space="preserve">the </w:t>
            </w:r>
            <w:r w:rsidR="005312B7" w:rsidRPr="00003D21">
              <w:rPr>
                <w:rFonts w:ascii="Arial" w:hAnsi="Arial" w:cs="Arial"/>
                <w:lang w:val="en-CA"/>
              </w:rPr>
              <w:t xml:space="preserve">user </w:t>
            </w:r>
            <w:r w:rsidRPr="00003D21">
              <w:rPr>
                <w:rFonts w:ascii="Arial" w:hAnsi="Arial" w:cs="Arial"/>
                <w:lang w:val="en-CA"/>
              </w:rPr>
              <w:t xml:space="preserve">had </w:t>
            </w:r>
            <w:r w:rsidR="005312B7" w:rsidRPr="00003D21">
              <w:rPr>
                <w:rFonts w:ascii="Arial" w:hAnsi="Arial" w:cs="Arial"/>
                <w:lang w:val="en-CA"/>
              </w:rPr>
              <w:t xml:space="preserve">to spend) to </w:t>
            </w:r>
            <w:r w:rsidRPr="00003D21">
              <w:rPr>
                <w:rFonts w:ascii="Arial" w:hAnsi="Arial" w:cs="Arial"/>
                <w:lang w:val="en-CA"/>
              </w:rPr>
              <w:t>th</w:t>
            </w:r>
            <w:r w:rsidR="00944D3D">
              <w:rPr>
                <w:rFonts w:ascii="Arial" w:hAnsi="Arial" w:cs="Arial"/>
                <w:lang w:val="en-CA"/>
              </w:rPr>
              <w:t>at user’s</w:t>
            </w:r>
            <w:r w:rsidRPr="00003D21">
              <w:rPr>
                <w:rFonts w:ascii="Arial" w:hAnsi="Arial" w:cs="Arial"/>
                <w:lang w:val="en-CA"/>
              </w:rPr>
              <w:t xml:space="preserve"> g</w:t>
            </w:r>
            <w:r w:rsidR="005312B7" w:rsidRPr="00003D21">
              <w:rPr>
                <w:rFonts w:ascii="Arial" w:hAnsi="Arial" w:cs="Arial"/>
                <w:lang w:val="en-CA"/>
              </w:rPr>
              <w:t xml:space="preserve">oal </w:t>
            </w:r>
            <w:r w:rsidRPr="00003D21">
              <w:rPr>
                <w:rFonts w:ascii="Arial" w:hAnsi="Arial" w:cs="Arial"/>
                <w:lang w:val="en-CA"/>
              </w:rPr>
              <w:t>s</w:t>
            </w:r>
            <w:r w:rsidR="005312B7" w:rsidRPr="00003D21">
              <w:rPr>
                <w:rFonts w:ascii="Arial" w:hAnsi="Arial" w:cs="Arial"/>
                <w:lang w:val="en-CA"/>
              </w:rPr>
              <w:t>avings</w:t>
            </w:r>
            <w:r w:rsidRPr="00003D21">
              <w:rPr>
                <w:rFonts w:ascii="Arial" w:hAnsi="Arial" w:cs="Arial"/>
                <w:lang w:val="en-CA"/>
              </w:rPr>
              <w:t xml:space="preserve"> account</w:t>
            </w:r>
            <w:r w:rsidR="005312B7" w:rsidRPr="00003D21">
              <w:rPr>
                <w:rFonts w:ascii="Arial" w:hAnsi="Arial" w:cs="Arial"/>
                <w:lang w:val="en-CA"/>
              </w:rPr>
              <w:t>.</w:t>
            </w:r>
          </w:p>
        </w:tc>
      </w:tr>
      <w:tr w:rsidR="005312B7" w:rsidRPr="00003D21" w14:paraId="6DB46278" w14:textId="77777777" w:rsidTr="00BB04D8">
        <w:tc>
          <w:tcPr>
            <w:tcW w:w="2225" w:type="dxa"/>
          </w:tcPr>
          <w:p w14:paraId="41A316DF" w14:textId="77777777" w:rsidR="005312B7" w:rsidRPr="00003D21" w:rsidRDefault="005312B7" w:rsidP="00840E6B">
            <w:pPr>
              <w:rPr>
                <w:rFonts w:ascii="Arial" w:hAnsi="Arial" w:cs="Arial"/>
                <w:lang w:val="en-CA"/>
              </w:rPr>
            </w:pPr>
            <w:r w:rsidRPr="00003D21">
              <w:rPr>
                <w:rFonts w:ascii="Arial" w:hAnsi="Arial" w:cs="Arial"/>
                <w:lang w:val="en-CA"/>
              </w:rPr>
              <w:t>Dialogue</w:t>
            </w:r>
          </w:p>
        </w:tc>
        <w:tc>
          <w:tcPr>
            <w:tcW w:w="1243" w:type="dxa"/>
          </w:tcPr>
          <w:p w14:paraId="28B138F6" w14:textId="77777777" w:rsidR="005312B7" w:rsidRPr="00003D21" w:rsidRDefault="005312B7" w:rsidP="00BB04D8">
            <w:pPr>
              <w:jc w:val="center"/>
              <w:rPr>
                <w:rFonts w:ascii="Arial" w:hAnsi="Arial" w:cs="Arial"/>
                <w:lang w:val="en-CA"/>
              </w:rPr>
            </w:pPr>
            <w:r w:rsidRPr="00003D21">
              <w:rPr>
                <w:rFonts w:ascii="Segoe UI Symbol" w:hAnsi="Segoe UI Symbol" w:cs="Segoe UI Symbol"/>
                <w:color w:val="3C4043"/>
                <w:shd w:val="clear" w:color="auto" w:fill="FFFFFF"/>
                <w:lang w:val="en-CA"/>
              </w:rPr>
              <w:t>✓</w:t>
            </w:r>
          </w:p>
        </w:tc>
        <w:tc>
          <w:tcPr>
            <w:tcW w:w="5882" w:type="dxa"/>
          </w:tcPr>
          <w:p w14:paraId="31E307F0" w14:textId="1DEA1C3D" w:rsidR="005312B7" w:rsidRPr="00003D21" w:rsidRDefault="00EE1A55" w:rsidP="00840E6B">
            <w:pPr>
              <w:jc w:val="both"/>
              <w:rPr>
                <w:rFonts w:ascii="Arial" w:hAnsi="Arial" w:cs="Arial"/>
                <w:lang w:val="en-CA"/>
              </w:rPr>
            </w:pPr>
            <w:r w:rsidRPr="00003D21">
              <w:rPr>
                <w:rFonts w:ascii="Arial" w:hAnsi="Arial" w:cs="Arial"/>
                <w:lang w:val="en-CA"/>
              </w:rPr>
              <w:t>A third</w:t>
            </w:r>
            <w:r w:rsidR="005312B7" w:rsidRPr="00003D21">
              <w:rPr>
                <w:rFonts w:ascii="Arial" w:hAnsi="Arial" w:cs="Arial"/>
                <w:lang w:val="en-CA"/>
              </w:rPr>
              <w:t xml:space="preserve">-party partner that </w:t>
            </w:r>
            <w:r w:rsidRPr="00003D21">
              <w:rPr>
                <w:rFonts w:ascii="Arial" w:hAnsi="Arial" w:cs="Arial"/>
                <w:lang w:val="en-CA"/>
              </w:rPr>
              <w:t xml:space="preserve">provided </w:t>
            </w:r>
            <w:r w:rsidR="005312B7" w:rsidRPr="00003D21">
              <w:rPr>
                <w:rFonts w:ascii="Arial" w:hAnsi="Arial" w:cs="Arial"/>
                <w:lang w:val="en-CA"/>
              </w:rPr>
              <w:t>access to healthcare professionals to chat and refill prescriptions</w:t>
            </w:r>
          </w:p>
        </w:tc>
      </w:tr>
      <w:tr w:rsidR="005312B7" w:rsidRPr="00003D21" w14:paraId="28029B4C" w14:textId="77777777" w:rsidTr="00BB04D8">
        <w:tc>
          <w:tcPr>
            <w:tcW w:w="2225" w:type="dxa"/>
          </w:tcPr>
          <w:p w14:paraId="3C327F18" w14:textId="77777777" w:rsidR="005312B7" w:rsidRPr="00003D21" w:rsidRDefault="005312B7" w:rsidP="00840E6B">
            <w:pPr>
              <w:rPr>
                <w:rFonts w:ascii="Arial" w:hAnsi="Arial" w:cs="Arial"/>
                <w:lang w:val="en-CA"/>
              </w:rPr>
            </w:pPr>
            <w:r w:rsidRPr="00003D21">
              <w:rPr>
                <w:rFonts w:ascii="Arial" w:hAnsi="Arial" w:cs="Arial"/>
                <w:lang w:val="en-CA"/>
              </w:rPr>
              <w:t>Price Match</w:t>
            </w:r>
          </w:p>
        </w:tc>
        <w:tc>
          <w:tcPr>
            <w:tcW w:w="1243" w:type="dxa"/>
          </w:tcPr>
          <w:p w14:paraId="78428BF7" w14:textId="77777777" w:rsidR="005312B7" w:rsidRPr="00003D21" w:rsidRDefault="005312B7" w:rsidP="00BB04D8">
            <w:pPr>
              <w:jc w:val="center"/>
              <w:rPr>
                <w:rFonts w:ascii="Arial" w:hAnsi="Arial" w:cs="Arial"/>
                <w:lang w:val="en-CA"/>
              </w:rPr>
            </w:pPr>
            <w:r w:rsidRPr="00003D21">
              <w:rPr>
                <w:rFonts w:ascii="Segoe UI Symbol" w:hAnsi="Segoe UI Symbol" w:cs="Segoe UI Symbol"/>
                <w:color w:val="3C4043"/>
                <w:shd w:val="clear" w:color="auto" w:fill="FFFFFF"/>
                <w:lang w:val="en-CA"/>
              </w:rPr>
              <w:t>✓</w:t>
            </w:r>
          </w:p>
        </w:tc>
        <w:tc>
          <w:tcPr>
            <w:tcW w:w="5882" w:type="dxa"/>
          </w:tcPr>
          <w:p w14:paraId="2C00712D" w14:textId="1418D748" w:rsidR="005312B7" w:rsidRPr="00003D21" w:rsidRDefault="005312B7" w:rsidP="00840E6B">
            <w:pPr>
              <w:jc w:val="both"/>
              <w:rPr>
                <w:rFonts w:ascii="Arial" w:hAnsi="Arial" w:cs="Arial"/>
                <w:lang w:val="en-CA"/>
              </w:rPr>
            </w:pPr>
            <w:r w:rsidRPr="00003D21">
              <w:rPr>
                <w:rFonts w:ascii="Arial" w:hAnsi="Arial" w:cs="Arial"/>
                <w:lang w:val="en-CA"/>
              </w:rPr>
              <w:t>Users upload</w:t>
            </w:r>
            <w:r w:rsidR="00EE1A55" w:rsidRPr="00003D21">
              <w:rPr>
                <w:rFonts w:ascii="Arial" w:hAnsi="Arial" w:cs="Arial"/>
                <w:lang w:val="en-CA"/>
              </w:rPr>
              <w:t>ed</w:t>
            </w:r>
            <w:r w:rsidRPr="00003D21">
              <w:rPr>
                <w:rFonts w:ascii="Arial" w:hAnsi="Arial" w:cs="Arial"/>
                <w:lang w:val="en-CA"/>
              </w:rPr>
              <w:t xml:space="preserve"> receipts for recent purchases at select merchants</w:t>
            </w:r>
            <w:r w:rsidR="00EE1A55" w:rsidRPr="00003D21">
              <w:rPr>
                <w:rFonts w:ascii="Arial" w:hAnsi="Arial" w:cs="Arial"/>
                <w:lang w:val="en-CA"/>
              </w:rPr>
              <w:t>,</w:t>
            </w:r>
            <w:r w:rsidRPr="00003D21">
              <w:rPr>
                <w:rFonts w:ascii="Arial" w:hAnsi="Arial" w:cs="Arial"/>
                <w:lang w:val="en-CA"/>
              </w:rPr>
              <w:t xml:space="preserve"> and Koho scan</w:t>
            </w:r>
            <w:r w:rsidR="00EE1A55" w:rsidRPr="00003D21">
              <w:rPr>
                <w:rFonts w:ascii="Arial" w:hAnsi="Arial" w:cs="Arial"/>
                <w:lang w:val="en-CA"/>
              </w:rPr>
              <w:t>ned</w:t>
            </w:r>
            <w:r w:rsidRPr="00003D21">
              <w:rPr>
                <w:rFonts w:ascii="Arial" w:hAnsi="Arial" w:cs="Arial"/>
                <w:lang w:val="en-CA"/>
              </w:rPr>
              <w:t xml:space="preserve"> to see if the price </w:t>
            </w:r>
            <w:r w:rsidR="00EE1A55" w:rsidRPr="00003D21">
              <w:rPr>
                <w:rFonts w:ascii="Arial" w:hAnsi="Arial" w:cs="Arial"/>
                <w:lang w:val="en-CA"/>
              </w:rPr>
              <w:t xml:space="preserve">dropped </w:t>
            </w:r>
            <w:r w:rsidRPr="00003D21">
              <w:rPr>
                <w:rFonts w:ascii="Arial" w:hAnsi="Arial" w:cs="Arial"/>
                <w:lang w:val="en-CA"/>
              </w:rPr>
              <w:t xml:space="preserve">or if </w:t>
            </w:r>
            <w:r w:rsidR="00EE1A55" w:rsidRPr="00003D21">
              <w:rPr>
                <w:rFonts w:ascii="Arial" w:hAnsi="Arial" w:cs="Arial"/>
                <w:lang w:val="en-CA"/>
              </w:rPr>
              <w:t>the item was</w:t>
            </w:r>
            <w:r w:rsidRPr="00003D21">
              <w:rPr>
                <w:rFonts w:ascii="Arial" w:hAnsi="Arial" w:cs="Arial"/>
                <w:lang w:val="en-CA"/>
              </w:rPr>
              <w:t xml:space="preserve"> being sold </w:t>
            </w:r>
            <w:r w:rsidR="00EE1A55" w:rsidRPr="00003D21">
              <w:rPr>
                <w:rFonts w:ascii="Arial" w:hAnsi="Arial" w:cs="Arial"/>
                <w:lang w:val="en-CA"/>
              </w:rPr>
              <w:t xml:space="preserve">for </w:t>
            </w:r>
            <w:r w:rsidRPr="00003D21">
              <w:rPr>
                <w:rFonts w:ascii="Arial" w:hAnsi="Arial" w:cs="Arial"/>
                <w:lang w:val="en-CA"/>
              </w:rPr>
              <w:t>less elsewhere.</w:t>
            </w:r>
          </w:p>
        </w:tc>
      </w:tr>
      <w:tr w:rsidR="005312B7" w:rsidRPr="00003D21" w14:paraId="2E046E2E" w14:textId="77777777" w:rsidTr="00BB04D8">
        <w:tc>
          <w:tcPr>
            <w:tcW w:w="2225" w:type="dxa"/>
          </w:tcPr>
          <w:p w14:paraId="070C852F" w14:textId="77777777" w:rsidR="005312B7" w:rsidRPr="00003D21" w:rsidRDefault="005312B7" w:rsidP="00840E6B">
            <w:pPr>
              <w:rPr>
                <w:rFonts w:ascii="Arial" w:hAnsi="Arial" w:cs="Arial"/>
                <w:lang w:val="en-CA"/>
              </w:rPr>
            </w:pPr>
            <w:r w:rsidRPr="00003D21">
              <w:rPr>
                <w:rFonts w:ascii="Arial" w:hAnsi="Arial" w:cs="Arial"/>
                <w:lang w:val="en-CA"/>
              </w:rPr>
              <w:t>Insights</w:t>
            </w:r>
          </w:p>
        </w:tc>
        <w:tc>
          <w:tcPr>
            <w:tcW w:w="1243" w:type="dxa"/>
          </w:tcPr>
          <w:p w14:paraId="065E15FF" w14:textId="77777777" w:rsidR="005312B7" w:rsidRPr="00003D21" w:rsidRDefault="005312B7" w:rsidP="00BB04D8">
            <w:pPr>
              <w:jc w:val="center"/>
              <w:rPr>
                <w:rFonts w:ascii="Arial" w:hAnsi="Arial" w:cs="Arial"/>
                <w:color w:val="3C4043"/>
                <w:shd w:val="clear" w:color="auto" w:fill="FFFFFF"/>
                <w:lang w:val="en-CA"/>
              </w:rPr>
            </w:pPr>
          </w:p>
        </w:tc>
        <w:tc>
          <w:tcPr>
            <w:tcW w:w="5882" w:type="dxa"/>
          </w:tcPr>
          <w:p w14:paraId="627E9AC5" w14:textId="08B54538" w:rsidR="005312B7" w:rsidRPr="00003D21" w:rsidRDefault="005312B7" w:rsidP="00840E6B">
            <w:pPr>
              <w:jc w:val="both"/>
              <w:rPr>
                <w:rFonts w:ascii="Arial" w:hAnsi="Arial" w:cs="Arial"/>
                <w:lang w:val="en-CA"/>
              </w:rPr>
            </w:pPr>
            <w:r w:rsidRPr="00003D21">
              <w:rPr>
                <w:rFonts w:ascii="Arial" w:hAnsi="Arial" w:cs="Arial"/>
                <w:lang w:val="en-CA"/>
              </w:rPr>
              <w:t>A</w:t>
            </w:r>
            <w:r w:rsidR="00EE1A55" w:rsidRPr="00003D21">
              <w:rPr>
                <w:rFonts w:ascii="Arial" w:hAnsi="Arial" w:cs="Arial"/>
                <w:lang w:val="en-CA"/>
              </w:rPr>
              <w:t>n a</w:t>
            </w:r>
            <w:r w:rsidRPr="00003D21">
              <w:rPr>
                <w:rFonts w:ascii="Arial" w:hAnsi="Arial" w:cs="Arial"/>
                <w:lang w:val="en-CA"/>
              </w:rPr>
              <w:t xml:space="preserve">lgorithm that </w:t>
            </w:r>
            <w:r w:rsidR="00EE1A55" w:rsidRPr="00003D21">
              <w:rPr>
                <w:rFonts w:ascii="Arial" w:hAnsi="Arial" w:cs="Arial"/>
                <w:lang w:val="en-CA"/>
              </w:rPr>
              <w:t xml:space="preserve">showed </w:t>
            </w:r>
            <w:r w:rsidRPr="00003D21">
              <w:rPr>
                <w:rFonts w:ascii="Arial" w:hAnsi="Arial" w:cs="Arial"/>
                <w:lang w:val="en-CA"/>
              </w:rPr>
              <w:t xml:space="preserve">and </w:t>
            </w:r>
            <w:r w:rsidR="00EE1A55" w:rsidRPr="00003D21">
              <w:rPr>
                <w:rFonts w:ascii="Arial" w:hAnsi="Arial" w:cs="Arial"/>
                <w:lang w:val="en-CA"/>
              </w:rPr>
              <w:t xml:space="preserve">categorized </w:t>
            </w:r>
            <w:r w:rsidRPr="00003D21">
              <w:rPr>
                <w:rFonts w:ascii="Arial" w:hAnsi="Arial" w:cs="Arial"/>
                <w:lang w:val="en-CA"/>
              </w:rPr>
              <w:t>transactions in real</w:t>
            </w:r>
            <w:r w:rsidR="00EE1A55" w:rsidRPr="00003D21">
              <w:rPr>
                <w:rFonts w:ascii="Arial" w:hAnsi="Arial" w:cs="Arial"/>
                <w:lang w:val="en-CA"/>
              </w:rPr>
              <w:t xml:space="preserve"> </w:t>
            </w:r>
            <w:r w:rsidRPr="00003D21">
              <w:rPr>
                <w:rFonts w:ascii="Arial" w:hAnsi="Arial" w:cs="Arial"/>
                <w:lang w:val="en-CA"/>
              </w:rPr>
              <w:t>time</w:t>
            </w:r>
          </w:p>
        </w:tc>
      </w:tr>
      <w:tr w:rsidR="005312B7" w:rsidRPr="00003D21" w14:paraId="00E18A2C" w14:textId="77777777" w:rsidTr="00BB04D8">
        <w:tc>
          <w:tcPr>
            <w:tcW w:w="2225" w:type="dxa"/>
          </w:tcPr>
          <w:p w14:paraId="7B03A2CA" w14:textId="77777777" w:rsidR="005312B7" w:rsidRPr="00003D21" w:rsidRDefault="005312B7" w:rsidP="00840E6B">
            <w:pPr>
              <w:rPr>
                <w:rFonts w:ascii="Arial" w:hAnsi="Arial" w:cs="Arial"/>
                <w:lang w:val="en-CA"/>
              </w:rPr>
            </w:pPr>
            <w:r w:rsidRPr="00003D21">
              <w:rPr>
                <w:rFonts w:ascii="Arial" w:hAnsi="Arial" w:cs="Arial"/>
                <w:lang w:val="en-CA"/>
              </w:rPr>
              <w:t>Referral Program</w:t>
            </w:r>
          </w:p>
        </w:tc>
        <w:tc>
          <w:tcPr>
            <w:tcW w:w="1243" w:type="dxa"/>
          </w:tcPr>
          <w:p w14:paraId="5589158B" w14:textId="77777777" w:rsidR="005312B7" w:rsidRPr="00003D21" w:rsidRDefault="005312B7" w:rsidP="00BB04D8">
            <w:pPr>
              <w:jc w:val="center"/>
              <w:rPr>
                <w:rFonts w:ascii="Arial" w:hAnsi="Arial" w:cs="Arial"/>
                <w:color w:val="3C4043"/>
                <w:shd w:val="clear" w:color="auto" w:fill="FFFFFF"/>
                <w:lang w:val="en-CA"/>
              </w:rPr>
            </w:pPr>
          </w:p>
        </w:tc>
        <w:tc>
          <w:tcPr>
            <w:tcW w:w="5882" w:type="dxa"/>
          </w:tcPr>
          <w:p w14:paraId="070C6093" w14:textId="3F64DF09" w:rsidR="005312B7" w:rsidRPr="00003D21" w:rsidRDefault="00EE1A55" w:rsidP="00840E6B">
            <w:pPr>
              <w:jc w:val="both"/>
              <w:rPr>
                <w:rFonts w:ascii="Arial" w:hAnsi="Arial" w:cs="Arial"/>
                <w:lang w:val="en-CA"/>
              </w:rPr>
            </w:pPr>
            <w:r w:rsidRPr="00003D21">
              <w:rPr>
                <w:rFonts w:ascii="Arial" w:hAnsi="Arial" w:cs="Arial"/>
                <w:lang w:val="en-CA"/>
              </w:rPr>
              <w:t>E</w:t>
            </w:r>
            <w:r w:rsidR="005312B7" w:rsidRPr="00003D21">
              <w:rPr>
                <w:rFonts w:ascii="Arial" w:hAnsi="Arial" w:cs="Arial"/>
                <w:lang w:val="en-CA"/>
              </w:rPr>
              <w:t xml:space="preserve">ach </w:t>
            </w:r>
            <w:r w:rsidRPr="00003D21">
              <w:rPr>
                <w:rFonts w:ascii="Arial" w:hAnsi="Arial" w:cs="Arial"/>
                <w:lang w:val="en-CA"/>
              </w:rPr>
              <w:t xml:space="preserve">time a use referred a </w:t>
            </w:r>
            <w:r w:rsidR="005312B7" w:rsidRPr="00003D21">
              <w:rPr>
                <w:rFonts w:ascii="Arial" w:hAnsi="Arial" w:cs="Arial"/>
                <w:lang w:val="en-CA"/>
              </w:rPr>
              <w:t>friend to Koho, both users earn</w:t>
            </w:r>
            <w:r w:rsidRPr="00003D21">
              <w:rPr>
                <w:rFonts w:ascii="Arial" w:hAnsi="Arial" w:cs="Arial"/>
                <w:lang w:val="en-CA"/>
              </w:rPr>
              <w:t>ed</w:t>
            </w:r>
            <w:r w:rsidR="005312B7" w:rsidRPr="00003D21">
              <w:rPr>
                <w:rFonts w:ascii="Arial" w:hAnsi="Arial" w:cs="Arial"/>
                <w:lang w:val="en-CA"/>
              </w:rPr>
              <w:t xml:space="preserve"> an extra 1% in PowerUps on all purchases for 90 days.</w:t>
            </w:r>
          </w:p>
        </w:tc>
      </w:tr>
      <w:tr w:rsidR="005312B7" w:rsidRPr="00003D21" w14:paraId="3E107877" w14:textId="77777777" w:rsidTr="00BB04D8">
        <w:tc>
          <w:tcPr>
            <w:tcW w:w="2225" w:type="dxa"/>
          </w:tcPr>
          <w:p w14:paraId="677E783F" w14:textId="77777777" w:rsidR="005312B7" w:rsidRPr="00003D21" w:rsidRDefault="005312B7" w:rsidP="00840E6B">
            <w:pPr>
              <w:rPr>
                <w:rFonts w:ascii="Arial" w:hAnsi="Arial" w:cs="Arial"/>
                <w:lang w:val="en-CA"/>
              </w:rPr>
            </w:pPr>
            <w:r w:rsidRPr="00003D21">
              <w:rPr>
                <w:rFonts w:ascii="Arial" w:hAnsi="Arial" w:cs="Arial"/>
                <w:lang w:val="en-CA"/>
              </w:rPr>
              <w:t>ATM Withdrawals</w:t>
            </w:r>
          </w:p>
        </w:tc>
        <w:tc>
          <w:tcPr>
            <w:tcW w:w="1243" w:type="dxa"/>
          </w:tcPr>
          <w:p w14:paraId="79D806EA" w14:textId="77777777" w:rsidR="005312B7" w:rsidRPr="00003D21" w:rsidRDefault="005312B7" w:rsidP="00BB04D8">
            <w:pPr>
              <w:jc w:val="center"/>
              <w:rPr>
                <w:rFonts w:ascii="Arial" w:hAnsi="Arial" w:cs="Arial"/>
                <w:color w:val="3C4043"/>
                <w:shd w:val="clear" w:color="auto" w:fill="FFFFFF"/>
                <w:lang w:val="en-CA"/>
              </w:rPr>
            </w:pPr>
            <w:r w:rsidRPr="00003D21">
              <w:rPr>
                <w:rFonts w:ascii="Arial" w:hAnsi="Arial" w:cs="Arial"/>
                <w:color w:val="3C4043"/>
                <w:shd w:val="clear" w:color="auto" w:fill="FFFFFF"/>
                <w:lang w:val="en-CA"/>
              </w:rPr>
              <w:t>(</w:t>
            </w:r>
            <w:r w:rsidRPr="00003D21">
              <w:rPr>
                <w:rFonts w:ascii="Segoe UI Symbol" w:hAnsi="Segoe UI Symbol" w:cs="Segoe UI Symbol"/>
                <w:color w:val="3C4043"/>
                <w:shd w:val="clear" w:color="auto" w:fill="FFFFFF"/>
                <w:lang w:val="en-CA"/>
              </w:rPr>
              <w:t>✓</w:t>
            </w:r>
            <w:r w:rsidRPr="00003D21">
              <w:rPr>
                <w:rFonts w:ascii="Arial" w:hAnsi="Arial" w:cs="Arial"/>
                <w:color w:val="3C4043"/>
                <w:shd w:val="clear" w:color="auto" w:fill="FFFFFF"/>
                <w:lang w:val="en-CA"/>
              </w:rPr>
              <w:t>)</w:t>
            </w:r>
          </w:p>
        </w:tc>
        <w:tc>
          <w:tcPr>
            <w:tcW w:w="5882" w:type="dxa"/>
          </w:tcPr>
          <w:p w14:paraId="6F8E383D" w14:textId="6D479027" w:rsidR="005312B7" w:rsidRPr="00003D21" w:rsidRDefault="00EE1A55" w:rsidP="00840E6B">
            <w:pPr>
              <w:jc w:val="both"/>
              <w:rPr>
                <w:rFonts w:ascii="Arial" w:hAnsi="Arial" w:cs="Arial"/>
                <w:lang w:val="en-CA"/>
              </w:rPr>
            </w:pPr>
            <w:r w:rsidRPr="00003D21">
              <w:rPr>
                <w:rFonts w:ascii="Arial" w:hAnsi="Arial" w:cs="Arial"/>
                <w:lang w:val="en-CA"/>
              </w:rPr>
              <w:t>Users could</w:t>
            </w:r>
            <w:r w:rsidR="005312B7" w:rsidRPr="00003D21">
              <w:rPr>
                <w:rFonts w:ascii="Arial" w:hAnsi="Arial" w:cs="Arial"/>
                <w:lang w:val="en-CA"/>
              </w:rPr>
              <w:t xml:space="preserve"> withdraw money at any ATM. Premium users </w:t>
            </w:r>
            <w:r w:rsidRPr="00003D21">
              <w:rPr>
                <w:rFonts w:ascii="Arial" w:hAnsi="Arial" w:cs="Arial"/>
                <w:lang w:val="en-CA"/>
              </w:rPr>
              <w:t xml:space="preserve">got </w:t>
            </w:r>
            <w:r w:rsidR="005312B7" w:rsidRPr="00003D21">
              <w:rPr>
                <w:rFonts w:ascii="Arial" w:hAnsi="Arial" w:cs="Arial"/>
                <w:lang w:val="en-CA"/>
              </w:rPr>
              <w:t xml:space="preserve">one free withdrawal at ATMs outside of Canada each month. Withdrawals </w:t>
            </w:r>
            <w:r w:rsidRPr="00003D21">
              <w:rPr>
                <w:rFonts w:ascii="Arial" w:hAnsi="Arial" w:cs="Arial"/>
                <w:lang w:val="en-CA"/>
              </w:rPr>
              <w:t xml:space="preserve">were </w:t>
            </w:r>
            <w:r w:rsidR="005312B7" w:rsidRPr="00003D21">
              <w:rPr>
                <w:rFonts w:ascii="Arial" w:hAnsi="Arial" w:cs="Arial"/>
                <w:lang w:val="en-CA"/>
              </w:rPr>
              <w:t xml:space="preserve">typically </w:t>
            </w:r>
            <w:r w:rsidRPr="00003D21">
              <w:rPr>
                <w:rFonts w:ascii="Arial" w:hAnsi="Arial" w:cs="Arial"/>
                <w:lang w:val="en-CA"/>
              </w:rPr>
              <w:t xml:space="preserve">charged </w:t>
            </w:r>
            <w:r w:rsidR="005312B7" w:rsidRPr="00003D21">
              <w:rPr>
                <w:rFonts w:ascii="Arial" w:hAnsi="Arial" w:cs="Arial"/>
                <w:lang w:val="en-CA"/>
              </w:rPr>
              <w:t>$2 to $3 by the ATM provider.</w:t>
            </w:r>
          </w:p>
        </w:tc>
      </w:tr>
      <w:tr w:rsidR="005312B7" w:rsidRPr="00003D21" w14:paraId="0A93D2B8" w14:textId="77777777" w:rsidTr="00BB04D8">
        <w:tc>
          <w:tcPr>
            <w:tcW w:w="2225" w:type="dxa"/>
          </w:tcPr>
          <w:p w14:paraId="18EA5442" w14:textId="77777777" w:rsidR="005312B7" w:rsidRPr="00003D21" w:rsidRDefault="005312B7" w:rsidP="00840E6B">
            <w:pPr>
              <w:rPr>
                <w:rFonts w:ascii="Arial" w:hAnsi="Arial" w:cs="Arial"/>
                <w:lang w:val="en-CA"/>
              </w:rPr>
            </w:pPr>
            <w:r w:rsidRPr="00003D21">
              <w:rPr>
                <w:rFonts w:ascii="Arial" w:hAnsi="Arial" w:cs="Arial"/>
                <w:lang w:val="en-CA"/>
              </w:rPr>
              <w:t>e-Transfers</w:t>
            </w:r>
          </w:p>
        </w:tc>
        <w:tc>
          <w:tcPr>
            <w:tcW w:w="1243" w:type="dxa"/>
          </w:tcPr>
          <w:p w14:paraId="70AF3872" w14:textId="77777777" w:rsidR="005312B7" w:rsidRPr="00003D21" w:rsidRDefault="005312B7" w:rsidP="00BB04D8">
            <w:pPr>
              <w:jc w:val="center"/>
              <w:rPr>
                <w:rFonts w:ascii="Arial" w:hAnsi="Arial" w:cs="Arial"/>
                <w:color w:val="3C4043"/>
                <w:shd w:val="clear" w:color="auto" w:fill="FFFFFF"/>
                <w:lang w:val="en-CA"/>
              </w:rPr>
            </w:pPr>
          </w:p>
        </w:tc>
        <w:tc>
          <w:tcPr>
            <w:tcW w:w="5882" w:type="dxa"/>
          </w:tcPr>
          <w:p w14:paraId="0D1570C4" w14:textId="6D722406" w:rsidR="005312B7" w:rsidRPr="00003D21" w:rsidRDefault="005312B7" w:rsidP="00840E6B">
            <w:pPr>
              <w:jc w:val="both"/>
              <w:rPr>
                <w:rFonts w:ascii="Arial" w:hAnsi="Arial" w:cs="Arial"/>
                <w:lang w:val="en-CA"/>
              </w:rPr>
            </w:pPr>
            <w:r w:rsidRPr="00003D21">
              <w:rPr>
                <w:rFonts w:ascii="Arial" w:hAnsi="Arial" w:cs="Arial"/>
                <w:lang w:val="en-CA"/>
              </w:rPr>
              <w:t>Free and unlimited Interac e-transfers</w:t>
            </w:r>
          </w:p>
        </w:tc>
      </w:tr>
      <w:tr w:rsidR="005312B7" w:rsidRPr="00003D21" w14:paraId="3D7E49B8" w14:textId="77777777" w:rsidTr="00BB04D8">
        <w:tc>
          <w:tcPr>
            <w:tcW w:w="2225" w:type="dxa"/>
          </w:tcPr>
          <w:p w14:paraId="64078335" w14:textId="77777777" w:rsidR="005312B7" w:rsidRPr="00003D21" w:rsidRDefault="005312B7" w:rsidP="00840E6B">
            <w:pPr>
              <w:rPr>
                <w:rFonts w:ascii="Arial" w:hAnsi="Arial" w:cs="Arial"/>
                <w:lang w:val="en-CA"/>
              </w:rPr>
            </w:pPr>
            <w:r w:rsidRPr="00003D21">
              <w:rPr>
                <w:rFonts w:ascii="Arial" w:hAnsi="Arial" w:cs="Arial"/>
                <w:lang w:val="en-CA"/>
              </w:rPr>
              <w:t>Foreign Transactions</w:t>
            </w:r>
          </w:p>
        </w:tc>
        <w:tc>
          <w:tcPr>
            <w:tcW w:w="1243" w:type="dxa"/>
          </w:tcPr>
          <w:p w14:paraId="0F416219" w14:textId="77777777" w:rsidR="005312B7" w:rsidRPr="00003D21" w:rsidRDefault="005312B7" w:rsidP="00BB04D8">
            <w:pPr>
              <w:jc w:val="center"/>
              <w:rPr>
                <w:rFonts w:ascii="Arial" w:hAnsi="Arial" w:cs="Arial"/>
                <w:color w:val="3C4043"/>
                <w:shd w:val="clear" w:color="auto" w:fill="FFFFFF"/>
                <w:lang w:val="en-CA"/>
              </w:rPr>
            </w:pPr>
            <w:r w:rsidRPr="00003D21">
              <w:rPr>
                <w:rFonts w:ascii="Arial" w:hAnsi="Arial" w:cs="Arial"/>
                <w:color w:val="3C4043"/>
                <w:shd w:val="clear" w:color="auto" w:fill="FFFFFF"/>
                <w:lang w:val="en-CA"/>
              </w:rPr>
              <w:t>(</w:t>
            </w:r>
            <w:r w:rsidRPr="00003D21">
              <w:rPr>
                <w:rFonts w:ascii="Segoe UI Symbol" w:hAnsi="Segoe UI Symbol" w:cs="Segoe UI Symbol"/>
                <w:color w:val="3C4043"/>
                <w:shd w:val="clear" w:color="auto" w:fill="FFFFFF"/>
                <w:lang w:val="en-CA"/>
              </w:rPr>
              <w:t>✓</w:t>
            </w:r>
            <w:r w:rsidRPr="00003D21">
              <w:rPr>
                <w:rFonts w:ascii="Arial" w:hAnsi="Arial" w:cs="Arial"/>
                <w:color w:val="3C4043"/>
                <w:shd w:val="clear" w:color="auto" w:fill="FFFFFF"/>
                <w:lang w:val="en-CA"/>
              </w:rPr>
              <w:t>)</w:t>
            </w:r>
          </w:p>
        </w:tc>
        <w:tc>
          <w:tcPr>
            <w:tcW w:w="5882" w:type="dxa"/>
          </w:tcPr>
          <w:p w14:paraId="5A5D0464" w14:textId="0A3444C1" w:rsidR="005312B7" w:rsidRPr="00003D21" w:rsidRDefault="005312B7" w:rsidP="00840E6B">
            <w:pPr>
              <w:jc w:val="both"/>
              <w:rPr>
                <w:rFonts w:ascii="Arial" w:hAnsi="Arial" w:cs="Arial"/>
                <w:lang w:val="en-CA"/>
              </w:rPr>
            </w:pPr>
            <w:r w:rsidRPr="00003D21">
              <w:rPr>
                <w:rFonts w:ascii="Arial" w:hAnsi="Arial" w:cs="Arial"/>
                <w:lang w:val="en-CA"/>
              </w:rPr>
              <w:t xml:space="preserve">Foreign transactions (FX) </w:t>
            </w:r>
            <w:r w:rsidR="00EE1A55" w:rsidRPr="00003D21">
              <w:rPr>
                <w:rFonts w:ascii="Arial" w:hAnsi="Arial" w:cs="Arial"/>
                <w:lang w:val="en-CA"/>
              </w:rPr>
              <w:t xml:space="preserve">were </w:t>
            </w:r>
            <w:r w:rsidRPr="00003D21">
              <w:rPr>
                <w:rFonts w:ascii="Arial" w:hAnsi="Arial" w:cs="Arial"/>
                <w:lang w:val="en-CA"/>
              </w:rPr>
              <w:t xml:space="preserve">charged a 1.5% fee. Premium users </w:t>
            </w:r>
            <w:r w:rsidR="00EE1A55" w:rsidRPr="00003D21">
              <w:rPr>
                <w:rFonts w:ascii="Arial" w:hAnsi="Arial" w:cs="Arial"/>
                <w:lang w:val="en-CA"/>
              </w:rPr>
              <w:t xml:space="preserve">did </w:t>
            </w:r>
            <w:r w:rsidRPr="00003D21">
              <w:rPr>
                <w:rFonts w:ascii="Arial" w:hAnsi="Arial" w:cs="Arial"/>
                <w:lang w:val="en-CA"/>
              </w:rPr>
              <w:t>not pay FX fees.</w:t>
            </w:r>
          </w:p>
        </w:tc>
      </w:tr>
      <w:tr w:rsidR="005312B7" w:rsidRPr="00003D21" w14:paraId="5F611CBD" w14:textId="77777777" w:rsidTr="00BB04D8">
        <w:tc>
          <w:tcPr>
            <w:tcW w:w="2225" w:type="dxa"/>
          </w:tcPr>
          <w:p w14:paraId="30DEE612" w14:textId="123E5B76" w:rsidR="005312B7" w:rsidRPr="00003D21" w:rsidRDefault="005312B7" w:rsidP="00840E6B">
            <w:pPr>
              <w:rPr>
                <w:rFonts w:ascii="Arial" w:hAnsi="Arial" w:cs="Arial"/>
                <w:lang w:val="en-CA"/>
              </w:rPr>
            </w:pPr>
            <w:r w:rsidRPr="00003D21">
              <w:rPr>
                <w:rFonts w:ascii="Arial" w:hAnsi="Arial" w:cs="Arial"/>
                <w:lang w:val="en-CA"/>
              </w:rPr>
              <w:t xml:space="preserve">What </w:t>
            </w:r>
            <w:r w:rsidR="00B65E61" w:rsidRPr="00003D21">
              <w:rPr>
                <w:rFonts w:ascii="Arial" w:hAnsi="Arial" w:cs="Arial"/>
                <w:lang w:val="en-CA"/>
              </w:rPr>
              <w:t>t</w:t>
            </w:r>
            <w:r w:rsidRPr="00003D21">
              <w:rPr>
                <w:rFonts w:ascii="Arial" w:hAnsi="Arial" w:cs="Arial"/>
                <w:lang w:val="en-CA"/>
              </w:rPr>
              <w:t>he Fee</w:t>
            </w:r>
          </w:p>
        </w:tc>
        <w:tc>
          <w:tcPr>
            <w:tcW w:w="1243" w:type="dxa"/>
          </w:tcPr>
          <w:p w14:paraId="722D0C4A" w14:textId="77777777" w:rsidR="005312B7" w:rsidRPr="00003D21" w:rsidRDefault="005312B7" w:rsidP="00BB04D8">
            <w:pPr>
              <w:jc w:val="center"/>
              <w:rPr>
                <w:rFonts w:ascii="Arial" w:hAnsi="Arial" w:cs="Arial"/>
                <w:color w:val="3C4043"/>
                <w:shd w:val="clear" w:color="auto" w:fill="FFFFFF"/>
                <w:lang w:val="en-CA"/>
              </w:rPr>
            </w:pPr>
          </w:p>
        </w:tc>
        <w:tc>
          <w:tcPr>
            <w:tcW w:w="5882" w:type="dxa"/>
          </w:tcPr>
          <w:p w14:paraId="453D6539" w14:textId="77777777" w:rsidR="005312B7" w:rsidRPr="00003D21" w:rsidRDefault="005312B7" w:rsidP="00840E6B">
            <w:pPr>
              <w:jc w:val="both"/>
              <w:rPr>
                <w:rFonts w:ascii="Arial" w:hAnsi="Arial" w:cs="Arial"/>
                <w:lang w:val="en-CA"/>
              </w:rPr>
            </w:pPr>
          </w:p>
        </w:tc>
      </w:tr>
      <w:tr w:rsidR="005312B7" w:rsidRPr="00003D21" w14:paraId="2212FD6C" w14:textId="77777777" w:rsidTr="00BB04D8">
        <w:tc>
          <w:tcPr>
            <w:tcW w:w="2225" w:type="dxa"/>
          </w:tcPr>
          <w:p w14:paraId="2B98611E" w14:textId="77777777" w:rsidR="005312B7" w:rsidRPr="00003D21" w:rsidRDefault="005312B7" w:rsidP="00840E6B">
            <w:pPr>
              <w:rPr>
                <w:rFonts w:ascii="Arial" w:hAnsi="Arial" w:cs="Arial"/>
                <w:lang w:val="en-CA"/>
              </w:rPr>
            </w:pPr>
            <w:r w:rsidRPr="00003D21">
              <w:rPr>
                <w:rFonts w:ascii="Arial" w:hAnsi="Arial" w:cs="Arial"/>
                <w:lang w:val="en-CA"/>
              </w:rPr>
              <w:t>Financial Coach</w:t>
            </w:r>
          </w:p>
        </w:tc>
        <w:tc>
          <w:tcPr>
            <w:tcW w:w="1243" w:type="dxa"/>
          </w:tcPr>
          <w:p w14:paraId="0FD2894D" w14:textId="77777777" w:rsidR="005312B7" w:rsidRPr="00003D21" w:rsidRDefault="005312B7" w:rsidP="00BB04D8">
            <w:pPr>
              <w:jc w:val="center"/>
              <w:rPr>
                <w:rFonts w:ascii="Arial" w:hAnsi="Arial" w:cs="Arial"/>
                <w:color w:val="3C4043"/>
                <w:shd w:val="clear" w:color="auto" w:fill="FFFFFF"/>
                <w:lang w:val="en-CA"/>
              </w:rPr>
            </w:pPr>
          </w:p>
        </w:tc>
        <w:tc>
          <w:tcPr>
            <w:tcW w:w="5882" w:type="dxa"/>
          </w:tcPr>
          <w:p w14:paraId="1AEA1ACD" w14:textId="66083D74" w:rsidR="005312B7" w:rsidRPr="00003D21" w:rsidRDefault="00EE1A55" w:rsidP="00840E6B">
            <w:pPr>
              <w:jc w:val="both"/>
              <w:rPr>
                <w:rFonts w:ascii="Arial" w:hAnsi="Arial" w:cs="Arial"/>
                <w:lang w:val="en-CA"/>
              </w:rPr>
            </w:pPr>
            <w:r w:rsidRPr="00003D21">
              <w:rPr>
                <w:rFonts w:ascii="Arial" w:hAnsi="Arial" w:cs="Arial"/>
                <w:lang w:val="en-CA"/>
              </w:rPr>
              <w:t>An in</w:t>
            </w:r>
            <w:r w:rsidR="005312B7" w:rsidRPr="00003D21">
              <w:rPr>
                <w:rFonts w:ascii="Arial" w:hAnsi="Arial" w:cs="Arial"/>
                <w:lang w:val="en-CA"/>
              </w:rPr>
              <w:t>-application expert to help users with money-management questions</w:t>
            </w:r>
            <w:r w:rsidRPr="00003D21">
              <w:rPr>
                <w:rFonts w:ascii="Arial" w:hAnsi="Arial" w:cs="Arial"/>
                <w:lang w:val="en-CA"/>
              </w:rPr>
              <w:t xml:space="preserve">: </w:t>
            </w:r>
            <w:r w:rsidR="005312B7" w:rsidRPr="00003D21">
              <w:rPr>
                <w:rFonts w:ascii="Arial" w:hAnsi="Arial" w:cs="Arial"/>
                <w:lang w:val="en-CA"/>
              </w:rPr>
              <w:t xml:space="preserve">Koho’s </w:t>
            </w:r>
            <w:r w:rsidRPr="00003D21">
              <w:rPr>
                <w:rFonts w:ascii="Arial" w:hAnsi="Arial" w:cs="Arial"/>
                <w:lang w:val="en-CA"/>
              </w:rPr>
              <w:t xml:space="preserve">financial coach </w:t>
            </w:r>
            <w:r w:rsidR="005312B7" w:rsidRPr="00003D21">
              <w:rPr>
                <w:rFonts w:ascii="Arial" w:hAnsi="Arial" w:cs="Arial"/>
                <w:lang w:val="en-CA"/>
              </w:rPr>
              <w:t>h</w:t>
            </w:r>
            <w:r w:rsidRPr="00003D21">
              <w:rPr>
                <w:rFonts w:ascii="Arial" w:hAnsi="Arial" w:cs="Arial"/>
                <w:lang w:val="en-CA"/>
              </w:rPr>
              <w:t>e</w:t>
            </w:r>
            <w:r w:rsidR="005312B7" w:rsidRPr="00003D21">
              <w:rPr>
                <w:rFonts w:ascii="Arial" w:hAnsi="Arial" w:cs="Arial"/>
                <w:lang w:val="en-CA"/>
              </w:rPr>
              <w:t>ld an Accredited Financial Counsellor – Canada</w:t>
            </w:r>
            <w:r w:rsidR="005312B7" w:rsidRPr="00003D21">
              <w:rPr>
                <w:rFonts w:ascii="Arial" w:hAnsi="Arial" w:cs="Arial"/>
                <w:color w:val="3C4043"/>
                <w:shd w:val="clear" w:color="auto" w:fill="FFFFFF"/>
                <w:lang w:val="en-CA"/>
              </w:rPr>
              <w:t xml:space="preserve"> </w:t>
            </w:r>
            <w:r w:rsidR="005312B7" w:rsidRPr="00003D21">
              <w:rPr>
                <w:rFonts w:ascii="Arial" w:hAnsi="Arial" w:cs="Arial"/>
                <w:lang w:val="en-CA"/>
              </w:rPr>
              <w:t>designation.</w:t>
            </w:r>
          </w:p>
        </w:tc>
      </w:tr>
    </w:tbl>
    <w:p w14:paraId="4D90CEA2" w14:textId="77777777" w:rsidR="005312B7" w:rsidRPr="00003D21" w:rsidRDefault="005312B7" w:rsidP="005312B7">
      <w:pPr>
        <w:jc w:val="center"/>
        <w:rPr>
          <w:rFonts w:ascii="Arial" w:hAnsi="Arial" w:cs="Arial"/>
          <w:b/>
          <w:bCs/>
          <w:sz w:val="21"/>
          <w:szCs w:val="21"/>
          <w:lang w:val="en-CA"/>
        </w:rPr>
      </w:pPr>
    </w:p>
    <w:p w14:paraId="4753F1BF" w14:textId="05560C22" w:rsidR="005312B7" w:rsidRPr="00003D21" w:rsidRDefault="005312B7" w:rsidP="005312B7">
      <w:pPr>
        <w:pStyle w:val="Footnote"/>
        <w:rPr>
          <w:lang w:val="en-CA"/>
        </w:rPr>
      </w:pPr>
      <w:r w:rsidRPr="00003D21">
        <w:rPr>
          <w:lang w:val="en-CA"/>
        </w:rPr>
        <w:t xml:space="preserve">Source: Created by case authors based on </w:t>
      </w:r>
      <w:r w:rsidR="00A502EC">
        <w:rPr>
          <w:lang w:val="en-CA"/>
        </w:rPr>
        <w:t xml:space="preserve">“Simple. Smart. Banking.,” </w:t>
      </w:r>
      <w:r w:rsidRPr="00003D21">
        <w:rPr>
          <w:lang w:val="en-CA"/>
        </w:rPr>
        <w:t>Koho, accessed April 13, 2020</w:t>
      </w:r>
      <w:r w:rsidR="00A502EC">
        <w:rPr>
          <w:lang w:val="en-CA"/>
        </w:rPr>
        <w:t xml:space="preserve">, </w:t>
      </w:r>
      <w:r w:rsidR="00546979" w:rsidRPr="00003D21">
        <w:rPr>
          <w:lang w:val="en-CA"/>
        </w:rPr>
        <w:t>www.koho.ca/features/</w:t>
      </w:r>
      <w:r w:rsidRPr="00003D21">
        <w:rPr>
          <w:lang w:val="en-CA"/>
        </w:rPr>
        <w:t xml:space="preserve">. </w:t>
      </w:r>
    </w:p>
    <w:p w14:paraId="7A6DFE81" w14:textId="77777777" w:rsidR="005312B7" w:rsidRPr="00003D21" w:rsidRDefault="005312B7" w:rsidP="005312B7">
      <w:pPr>
        <w:rPr>
          <w:rFonts w:ascii="Arial" w:hAnsi="Arial" w:cs="Arial"/>
          <w:sz w:val="21"/>
          <w:szCs w:val="21"/>
          <w:lang w:val="en-CA"/>
        </w:rPr>
      </w:pPr>
      <w:r w:rsidRPr="00003D21">
        <w:rPr>
          <w:rFonts w:ascii="Arial" w:hAnsi="Arial" w:cs="Arial"/>
          <w:sz w:val="21"/>
          <w:szCs w:val="21"/>
          <w:lang w:val="en-CA"/>
        </w:rPr>
        <w:br w:type="page"/>
      </w:r>
    </w:p>
    <w:p w14:paraId="19C1A7C1" w14:textId="77777777" w:rsidR="005312B7" w:rsidRPr="00003D21" w:rsidRDefault="005312B7" w:rsidP="005312B7">
      <w:pPr>
        <w:pStyle w:val="ExhibitHeading"/>
        <w:rPr>
          <w:lang w:val="en-CA"/>
        </w:rPr>
      </w:pPr>
      <w:r w:rsidRPr="00003D21">
        <w:rPr>
          <w:lang w:val="en-CA"/>
        </w:rPr>
        <w:lastRenderedPageBreak/>
        <w:t>EXHIBIT 2: DIGITAL WALLET BUSINESS MODEL</w:t>
      </w:r>
    </w:p>
    <w:p w14:paraId="354D45B8" w14:textId="02252567" w:rsidR="005312B7" w:rsidRPr="00003D21" w:rsidRDefault="00651B15" w:rsidP="005312B7">
      <w:pPr>
        <w:jc w:val="center"/>
        <w:rPr>
          <w:rFonts w:ascii="Arial" w:hAnsi="Arial" w:cs="Arial"/>
          <w:b/>
          <w:bCs/>
          <w:sz w:val="21"/>
          <w:szCs w:val="21"/>
          <w:lang w:val="en-CA"/>
        </w:rPr>
      </w:pPr>
      <w:r w:rsidRPr="00003D21">
        <w:rPr>
          <w:rFonts w:ascii="Arial" w:hAnsi="Arial" w:cs="Arial"/>
          <w:b/>
          <w:bCs/>
          <w:noProof/>
          <w:sz w:val="21"/>
          <w:szCs w:val="21"/>
          <w:lang w:eastAsia="zh-CN"/>
        </w:rPr>
        <w:drawing>
          <wp:inline distT="0" distB="0" distL="0" distR="0" wp14:anchorId="7672DA6E" wp14:editId="354042A3">
            <wp:extent cx="5645426" cy="299099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657761" cy="2997525"/>
                    </a:xfrm>
                    <a:prstGeom prst="rect">
                      <a:avLst/>
                    </a:prstGeom>
                  </pic:spPr>
                </pic:pic>
              </a:graphicData>
            </a:graphic>
          </wp:inline>
        </w:drawing>
      </w:r>
    </w:p>
    <w:p w14:paraId="70787CEE" w14:textId="77777777" w:rsidR="005312B7" w:rsidRPr="00003D21" w:rsidRDefault="005312B7" w:rsidP="005312B7">
      <w:pPr>
        <w:rPr>
          <w:rFonts w:ascii="Arial" w:hAnsi="Arial" w:cs="Arial"/>
          <w:b/>
          <w:bCs/>
          <w:sz w:val="21"/>
          <w:szCs w:val="21"/>
          <w:lang w:val="en-CA"/>
        </w:rPr>
      </w:pPr>
    </w:p>
    <w:p w14:paraId="595DB58A" w14:textId="418C920A" w:rsidR="005312B7" w:rsidRPr="00003D21" w:rsidRDefault="005312B7" w:rsidP="005312B7">
      <w:pPr>
        <w:pStyle w:val="Footnote"/>
        <w:rPr>
          <w:lang w:val="en-CA"/>
        </w:rPr>
      </w:pPr>
      <w:r w:rsidRPr="00003D21">
        <w:rPr>
          <w:lang w:val="en-CA"/>
        </w:rPr>
        <w:t xml:space="preserve">Source: Created by case authors based on </w:t>
      </w:r>
      <w:r w:rsidR="00546979" w:rsidRPr="00003D21">
        <w:rPr>
          <w:lang w:val="en-CA"/>
        </w:rPr>
        <w:t>“Interchange</w:t>
      </w:r>
      <w:r w:rsidR="00944D3D">
        <w:rPr>
          <w:lang w:val="en-CA"/>
        </w:rPr>
        <w:t xml:space="preserve"> is a Part of the System that Makes Electronic Payments Possible: Interchange </w:t>
      </w:r>
      <w:r w:rsidR="00546979" w:rsidRPr="00003D21">
        <w:rPr>
          <w:lang w:val="en-CA"/>
        </w:rPr>
        <w:t>Rates,</w:t>
      </w:r>
      <w:r w:rsidR="00944D3D">
        <w:rPr>
          <w:lang w:val="en-CA"/>
        </w:rPr>
        <w:t xml:space="preserve">” </w:t>
      </w:r>
      <w:r w:rsidRPr="00003D21">
        <w:rPr>
          <w:lang w:val="en-CA"/>
        </w:rPr>
        <w:t>Visa, accessed April 14, 2020</w:t>
      </w:r>
      <w:r w:rsidR="00546979" w:rsidRPr="00003D21">
        <w:rPr>
          <w:lang w:val="en-CA"/>
        </w:rPr>
        <w:t>,</w:t>
      </w:r>
      <w:r w:rsidRPr="00003D21">
        <w:rPr>
          <w:lang w:val="en-CA"/>
        </w:rPr>
        <w:t xml:space="preserve"> </w:t>
      </w:r>
      <w:r w:rsidR="00546979" w:rsidRPr="00003D21">
        <w:rPr>
          <w:lang w:val="en-CA"/>
        </w:rPr>
        <w:t>www.visa.ca/en_CA/support/small-business/interchange.html</w:t>
      </w:r>
      <w:r w:rsidRPr="00003D21">
        <w:rPr>
          <w:lang w:val="en-CA"/>
        </w:rPr>
        <w:t>.</w:t>
      </w:r>
    </w:p>
    <w:p w14:paraId="7B0A4B5E" w14:textId="77777777" w:rsidR="005312B7" w:rsidRPr="00003D21" w:rsidRDefault="005312B7" w:rsidP="005312B7">
      <w:pPr>
        <w:jc w:val="center"/>
        <w:rPr>
          <w:rFonts w:ascii="Arial" w:hAnsi="Arial" w:cs="Arial"/>
          <w:b/>
          <w:bCs/>
          <w:sz w:val="21"/>
          <w:szCs w:val="21"/>
          <w:lang w:val="en-CA"/>
        </w:rPr>
      </w:pPr>
    </w:p>
    <w:p w14:paraId="54FA45FD" w14:textId="77777777" w:rsidR="005312B7" w:rsidRPr="00003D21" w:rsidRDefault="005312B7" w:rsidP="005312B7">
      <w:pPr>
        <w:jc w:val="center"/>
        <w:rPr>
          <w:rFonts w:ascii="Arial" w:hAnsi="Arial" w:cs="Arial"/>
          <w:b/>
          <w:bCs/>
          <w:sz w:val="21"/>
          <w:szCs w:val="21"/>
          <w:lang w:val="en-CA"/>
        </w:rPr>
      </w:pPr>
    </w:p>
    <w:p w14:paraId="205BEA08" w14:textId="5A7DEC61" w:rsidR="005312B7" w:rsidRPr="00003D21" w:rsidRDefault="005312B7" w:rsidP="005312B7">
      <w:pPr>
        <w:pStyle w:val="ExhibitHeading"/>
        <w:rPr>
          <w:lang w:val="en-CA"/>
        </w:rPr>
      </w:pPr>
      <w:r w:rsidRPr="00003D21">
        <w:rPr>
          <w:lang w:val="en-CA"/>
        </w:rPr>
        <w:t xml:space="preserve">EXHIBIT 3: OPEN BANKING </w:t>
      </w:r>
      <w:r w:rsidR="00FA1E9B" w:rsidRPr="00003D21">
        <w:rPr>
          <w:lang w:val="en-CA"/>
        </w:rPr>
        <w:t>model</w:t>
      </w:r>
    </w:p>
    <w:p w14:paraId="012DF6B3" w14:textId="77777777" w:rsidR="005312B7" w:rsidRPr="00003D21" w:rsidRDefault="005312B7" w:rsidP="005312B7">
      <w:pPr>
        <w:rPr>
          <w:rFonts w:ascii="Arial" w:hAnsi="Arial" w:cs="Arial"/>
          <w:b/>
          <w:bCs/>
          <w:sz w:val="8"/>
          <w:szCs w:val="8"/>
          <w:lang w:val="en-CA"/>
        </w:rPr>
      </w:pPr>
    </w:p>
    <w:p w14:paraId="5B5DD092" w14:textId="6060C2A7" w:rsidR="005312B7" w:rsidRPr="00003D21" w:rsidRDefault="00943E79" w:rsidP="005312B7">
      <w:pPr>
        <w:jc w:val="center"/>
        <w:rPr>
          <w:rFonts w:ascii="Arial" w:hAnsi="Arial" w:cs="Arial"/>
          <w:b/>
          <w:bCs/>
          <w:sz w:val="21"/>
          <w:szCs w:val="21"/>
          <w:lang w:val="en-CA"/>
        </w:rPr>
      </w:pPr>
      <w:r w:rsidRPr="00003D21">
        <w:rPr>
          <w:rFonts w:ascii="Arial" w:hAnsi="Arial" w:cs="Arial"/>
          <w:b/>
          <w:bCs/>
          <w:noProof/>
          <w:sz w:val="21"/>
          <w:szCs w:val="21"/>
          <w:lang w:eastAsia="zh-CN"/>
        </w:rPr>
        <w:drawing>
          <wp:inline distT="0" distB="0" distL="0" distR="0" wp14:anchorId="33F16CC6" wp14:editId="119C3C5F">
            <wp:extent cx="5943600" cy="3103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103245"/>
                    </a:xfrm>
                    <a:prstGeom prst="rect">
                      <a:avLst/>
                    </a:prstGeom>
                  </pic:spPr>
                </pic:pic>
              </a:graphicData>
            </a:graphic>
          </wp:inline>
        </w:drawing>
      </w:r>
    </w:p>
    <w:p w14:paraId="39175CF0" w14:textId="77777777" w:rsidR="005312B7" w:rsidRPr="00003D21" w:rsidRDefault="005312B7" w:rsidP="005312B7">
      <w:pPr>
        <w:jc w:val="center"/>
        <w:rPr>
          <w:rFonts w:ascii="Arial" w:hAnsi="Arial" w:cs="Arial"/>
          <w:b/>
          <w:bCs/>
          <w:sz w:val="21"/>
          <w:szCs w:val="21"/>
          <w:lang w:val="en-CA"/>
        </w:rPr>
      </w:pPr>
    </w:p>
    <w:p w14:paraId="505537B5" w14:textId="3DA58B47" w:rsidR="00944D3D" w:rsidRDefault="005312B7" w:rsidP="005312B7">
      <w:pPr>
        <w:pStyle w:val="Footnote"/>
        <w:rPr>
          <w:lang w:val="en-CA"/>
        </w:rPr>
      </w:pPr>
      <w:r w:rsidRPr="00003D21">
        <w:rPr>
          <w:lang w:val="en-CA"/>
        </w:rPr>
        <w:t xml:space="preserve">Source: Created by case authors based on “A Review into the Merits of Open Banking,” </w:t>
      </w:r>
      <w:r w:rsidR="00944D3D">
        <w:rPr>
          <w:lang w:val="en-CA"/>
        </w:rPr>
        <w:t xml:space="preserve">Government of Canada, January 2019, </w:t>
      </w:r>
      <w:r w:rsidRPr="00003D21">
        <w:rPr>
          <w:lang w:val="en-CA"/>
        </w:rPr>
        <w:t xml:space="preserve">accessed April 13, 2020, </w:t>
      </w:r>
      <w:r w:rsidR="00546979" w:rsidRPr="00003D21">
        <w:rPr>
          <w:rStyle w:val="Hyperlink"/>
          <w:color w:val="auto"/>
          <w:u w:val="none"/>
          <w:lang w:val="en-CA"/>
        </w:rPr>
        <w:t>www.canada.ca/en/department-finance/programs/consultations/2019/open-banking.html</w:t>
      </w:r>
      <w:r w:rsidRPr="00003D21">
        <w:rPr>
          <w:lang w:val="en-CA"/>
        </w:rPr>
        <w:t xml:space="preserve">. </w:t>
      </w:r>
    </w:p>
    <w:p w14:paraId="440AA0A0" w14:textId="77777777" w:rsidR="00944D3D" w:rsidRDefault="00944D3D">
      <w:pPr>
        <w:spacing w:after="200" w:line="276" w:lineRule="auto"/>
        <w:rPr>
          <w:rFonts w:ascii="Arial" w:hAnsi="Arial" w:cs="Arial"/>
          <w:sz w:val="17"/>
          <w:szCs w:val="17"/>
          <w:lang w:val="en-CA"/>
        </w:rPr>
      </w:pPr>
      <w:r>
        <w:rPr>
          <w:lang w:val="en-CA"/>
        </w:rPr>
        <w:br w:type="page"/>
      </w:r>
    </w:p>
    <w:p w14:paraId="7742F707" w14:textId="77777777" w:rsidR="005312B7" w:rsidRPr="00003D21" w:rsidRDefault="005312B7" w:rsidP="005312B7">
      <w:pPr>
        <w:pStyle w:val="ExhibitHeading"/>
        <w:rPr>
          <w:lang w:val="en-CA"/>
        </w:rPr>
      </w:pPr>
      <w:r w:rsidRPr="00003D21">
        <w:rPr>
          <w:lang w:val="en-CA"/>
        </w:rPr>
        <w:lastRenderedPageBreak/>
        <w:t>EXHIBIT 4: SUBMISSIONS FOR CONSULTATION PAPER ON OPEN BANKING</w:t>
      </w:r>
    </w:p>
    <w:p w14:paraId="5F0BBDC7" w14:textId="77777777" w:rsidR="005312B7" w:rsidRPr="00003D21" w:rsidRDefault="005312B7" w:rsidP="005312B7">
      <w:pPr>
        <w:jc w:val="center"/>
        <w:rPr>
          <w:rFonts w:ascii="Arial" w:hAnsi="Arial" w:cs="Arial"/>
          <w:b/>
          <w:bCs/>
          <w:sz w:val="13"/>
          <w:szCs w:val="13"/>
          <w:lang w:val="en-CA"/>
        </w:rPr>
      </w:pPr>
    </w:p>
    <w:tbl>
      <w:tblPr>
        <w:tblStyle w:val="TableGrid"/>
        <w:tblW w:w="0" w:type="auto"/>
        <w:tblLook w:val="04A0" w:firstRow="1" w:lastRow="0" w:firstColumn="1" w:lastColumn="0" w:noHBand="0" w:noVBand="1"/>
      </w:tblPr>
      <w:tblGrid>
        <w:gridCol w:w="4675"/>
        <w:gridCol w:w="4675"/>
      </w:tblGrid>
      <w:tr w:rsidR="005312B7" w:rsidRPr="00003D21" w14:paraId="42DEFE8B" w14:textId="77777777" w:rsidTr="00BB04D8">
        <w:trPr>
          <w:trHeight w:val="1125"/>
        </w:trPr>
        <w:tc>
          <w:tcPr>
            <w:tcW w:w="4675" w:type="dxa"/>
          </w:tcPr>
          <w:p w14:paraId="607C6D68"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Accenture </w:t>
            </w:r>
          </w:p>
          <w:p w14:paraId="207E2120"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Amandeep Batra </w:t>
            </w:r>
          </w:p>
          <w:p w14:paraId="21C98325"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Andrew Bond </w:t>
            </w:r>
          </w:p>
          <w:p w14:paraId="4AB8F6F6"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BC Freedom of Information and Privacy Association </w:t>
            </w:r>
          </w:p>
          <w:p w14:paraId="34E71103"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BMO, CIBC, National Bank, RBC, TD, Scotiabank </w:t>
            </w:r>
          </w:p>
          <w:p w14:paraId="1F846B2C"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Borrowell </w:t>
            </w:r>
          </w:p>
          <w:p w14:paraId="36102A9C"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Canadian Association of Mutual Insurance Companies </w:t>
            </w:r>
          </w:p>
          <w:p w14:paraId="253F8248"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Canadian Bankers Association </w:t>
            </w:r>
          </w:p>
          <w:p w14:paraId="1075D54F"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Canadian Chamber of Commerce </w:t>
            </w:r>
          </w:p>
          <w:p w14:paraId="1384E050"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Canadian Credit Union Association </w:t>
            </w:r>
          </w:p>
          <w:p w14:paraId="6B9E21C5"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Canadian Lenders Association </w:t>
            </w:r>
          </w:p>
          <w:p w14:paraId="2C827210"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Canadian Mortgage Brokers Association (BC) </w:t>
            </w:r>
          </w:p>
          <w:p w14:paraId="235E8E14"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Canadian National Institute for the Blind </w:t>
            </w:r>
          </w:p>
          <w:p w14:paraId="7D7D6CEE"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Canadian Venture Capital and Private Equity Association </w:t>
            </w:r>
          </w:p>
          <w:p w14:paraId="4FC8D43B"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CCI </w:t>
            </w:r>
          </w:p>
          <w:p w14:paraId="6682B951"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Celero </w:t>
            </w:r>
          </w:p>
          <w:p w14:paraId="400C491E"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Centre for International Governance Innovation (CIGI)</w:t>
            </w:r>
          </w:p>
          <w:p w14:paraId="325DE4EF"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CGI </w:t>
            </w:r>
          </w:p>
          <w:p w14:paraId="572460EA"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Chuck Grace (Ivey) </w:t>
            </w:r>
          </w:p>
          <w:p w14:paraId="29A6E4C6"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CLHIA </w:t>
            </w:r>
          </w:p>
          <w:p w14:paraId="02A34BC3"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Coast Capital Savings </w:t>
            </w:r>
          </w:p>
          <w:p w14:paraId="4D9E246C"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Competition Bureau of Canada </w:t>
            </w:r>
          </w:p>
          <w:p w14:paraId="46E81FFF"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Electronic Transactions Association </w:t>
            </w:r>
          </w:p>
          <w:p w14:paraId="52206588"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Epiphany </w:t>
            </w:r>
          </w:p>
          <w:p w14:paraId="3FE401D3"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Equitable Bank </w:t>
            </w:r>
          </w:p>
          <w:p w14:paraId="2926D950"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Evree </w:t>
            </w:r>
          </w:p>
          <w:p w14:paraId="526BADD9"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Expertus Technologies</w:t>
            </w:r>
          </w:p>
          <w:p w14:paraId="07F94B3B"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Fairstone Financial </w:t>
            </w:r>
          </w:p>
          <w:p w14:paraId="01C7D168"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Ficanex </w:t>
            </w:r>
          </w:p>
          <w:p w14:paraId="69B93462"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FIME </w:t>
            </w:r>
          </w:p>
          <w:p w14:paraId="011B76E3"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Financial Data and Technology Association of America </w:t>
            </w:r>
          </w:p>
          <w:p w14:paraId="15ACA06F"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FinTech Growth Syndicate </w:t>
            </w:r>
          </w:p>
          <w:p w14:paraId="1A937E1F"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FormFinTech </w:t>
            </w:r>
          </w:p>
          <w:p w14:paraId="275A284B"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Funding Circle </w:t>
            </w:r>
          </w:p>
          <w:p w14:paraId="48C889D8" w14:textId="1C7EAFCE"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Great</w:t>
            </w:r>
            <w:r w:rsidR="001039C7" w:rsidRPr="00003D21">
              <w:rPr>
                <w:rFonts w:ascii="Arial" w:hAnsi="Arial" w:cs="Arial"/>
                <w:sz w:val="20"/>
                <w:szCs w:val="20"/>
                <w:lang w:val="en-CA"/>
              </w:rPr>
              <w:t xml:space="preserve"> West Life Assurance Company</w:t>
            </w:r>
          </w:p>
          <w:p w14:paraId="505CF554"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Home Trust Company (Home Capital Group) </w:t>
            </w:r>
          </w:p>
          <w:p w14:paraId="193C6F2F"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HSBC </w:t>
            </w:r>
          </w:p>
          <w:p w14:paraId="3E82257B" w14:textId="77777777" w:rsidR="005312B7" w:rsidRPr="00003D21" w:rsidRDefault="005312B7" w:rsidP="00BB04D8">
            <w:pPr>
              <w:pStyle w:val="ListParagraph"/>
              <w:ind w:left="447" w:hanging="360"/>
              <w:rPr>
                <w:rFonts w:ascii="Arial" w:hAnsi="Arial" w:cs="Arial"/>
                <w:sz w:val="20"/>
                <w:szCs w:val="20"/>
                <w:lang w:val="en-CA"/>
              </w:rPr>
            </w:pPr>
            <w:r w:rsidRPr="00003D21">
              <w:rPr>
                <w:rFonts w:ascii="Arial" w:hAnsi="Arial" w:cs="Arial"/>
                <w:sz w:val="20"/>
                <w:szCs w:val="20"/>
                <w:lang w:val="en-CA"/>
              </w:rPr>
              <w:t xml:space="preserve">IGM Financial Inc. </w:t>
            </w:r>
          </w:p>
        </w:tc>
        <w:tc>
          <w:tcPr>
            <w:tcW w:w="4675" w:type="dxa"/>
          </w:tcPr>
          <w:p w14:paraId="21E4BD7F"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Impression Ventures </w:t>
            </w:r>
          </w:p>
          <w:p w14:paraId="5F46747F"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Interac </w:t>
            </w:r>
          </w:p>
          <w:p w14:paraId="10D425F8"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Kiblr 1 </w:t>
            </w:r>
          </w:p>
          <w:p w14:paraId="35C145A7"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Kiblr 2 </w:t>
            </w:r>
          </w:p>
          <w:p w14:paraId="0055EDB9" w14:textId="77777777" w:rsidR="001039C7" w:rsidRPr="00003D21" w:rsidRDefault="001039C7" w:rsidP="001039C7">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Jeremy Kronick </w:t>
            </w:r>
          </w:p>
          <w:p w14:paraId="5299F81A"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Larsen &amp; Toubro Infotech </w:t>
            </w:r>
          </w:p>
          <w:p w14:paraId="77CFCE84"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Law Society of Ontario </w:t>
            </w:r>
          </w:p>
          <w:p w14:paraId="7A328C52"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Law Society of Ontario (Annex A) </w:t>
            </w:r>
          </w:p>
          <w:p w14:paraId="003E1510"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Law Society of Ontario (Annex B) </w:t>
            </w:r>
          </w:p>
          <w:p w14:paraId="68BAB03F"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Luge Capital </w:t>
            </w:r>
          </w:p>
          <w:p w14:paraId="5D084BE2"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Manulife </w:t>
            </w:r>
          </w:p>
          <w:p w14:paraId="22541404"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MaRS Discovery District </w:t>
            </w:r>
          </w:p>
          <w:p w14:paraId="0E909B0C"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Marwa Ahmed </w:t>
            </w:r>
          </w:p>
          <w:p w14:paraId="5C98DAAC"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Michael King (Ivey) </w:t>
            </w:r>
          </w:p>
          <w:p w14:paraId="6F09E4FA"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Michael Sivan </w:t>
            </w:r>
          </w:p>
          <w:p w14:paraId="69A24B9F"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Mortgage Quote Canada Corp </w:t>
            </w:r>
          </w:p>
          <w:p w14:paraId="123BF5E5"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MX Technologies </w:t>
            </w:r>
          </w:p>
          <w:p w14:paraId="21551195"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Mylo Financial Technologies Inc. </w:t>
            </w:r>
          </w:p>
          <w:p w14:paraId="57904E3B"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National Aboriginal Capital Corporations Association </w:t>
            </w:r>
          </w:p>
          <w:p w14:paraId="561603C0"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Office of the Privacy Commissioner of Canada </w:t>
            </w:r>
          </w:p>
          <w:p w14:paraId="259AC02F"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Payment Source </w:t>
            </w:r>
          </w:p>
          <w:p w14:paraId="3CCB7FF9"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Payments Canada </w:t>
            </w:r>
          </w:p>
          <w:p w14:paraId="65F9566F"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PayPal </w:t>
            </w:r>
          </w:p>
          <w:p w14:paraId="2975DE81"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Plaid </w:t>
            </w:r>
          </w:p>
          <w:p w14:paraId="29E5D035"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Portag3 </w:t>
            </w:r>
          </w:p>
          <w:p w14:paraId="707156D2"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Power Financial Corporation </w:t>
            </w:r>
          </w:p>
          <w:p w14:paraId="471CA0C3"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PwC </w:t>
            </w:r>
          </w:p>
          <w:p w14:paraId="30503707"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Questrade </w:t>
            </w:r>
          </w:p>
          <w:p w14:paraId="105BC763"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Ratehub </w:t>
            </w:r>
          </w:p>
          <w:p w14:paraId="2BFCCB27"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Salt Edge Inc. </w:t>
            </w:r>
          </w:p>
          <w:p w14:paraId="1C0A54C3"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Sunlife </w:t>
            </w:r>
          </w:p>
          <w:p w14:paraId="53627C27"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Symcor Inc. </w:t>
            </w:r>
          </w:p>
          <w:p w14:paraId="0441D0AB"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TransferWise </w:t>
            </w:r>
          </w:p>
          <w:p w14:paraId="6BEEE432"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TransUnion </w:t>
            </w:r>
          </w:p>
          <w:p w14:paraId="46B53538"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Trust Companies Association of Canada </w:t>
            </w:r>
          </w:p>
          <w:p w14:paraId="30C78447"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Vic Hamilton (Bayield Mortgage) </w:t>
            </w:r>
          </w:p>
          <w:p w14:paraId="712A76F3"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Wealthsimple </w:t>
            </w:r>
          </w:p>
          <w:p w14:paraId="05223C58"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WSO2 </w:t>
            </w:r>
          </w:p>
          <w:p w14:paraId="0D71BD62"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Xero </w:t>
            </w:r>
          </w:p>
          <w:p w14:paraId="5F7B2208"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 xml:space="preserve">YodoPay </w:t>
            </w:r>
          </w:p>
          <w:p w14:paraId="11D5670C" w14:textId="77777777" w:rsidR="005312B7" w:rsidRPr="00003D21" w:rsidRDefault="005312B7" w:rsidP="00BB04D8">
            <w:pPr>
              <w:pStyle w:val="ListParagraph"/>
              <w:ind w:left="461" w:hanging="360"/>
              <w:rPr>
                <w:rFonts w:ascii="Arial" w:hAnsi="Arial" w:cs="Arial"/>
                <w:sz w:val="20"/>
                <w:szCs w:val="20"/>
                <w:lang w:val="en-CA"/>
              </w:rPr>
            </w:pPr>
            <w:r w:rsidRPr="00003D21">
              <w:rPr>
                <w:rFonts w:ascii="Arial" w:hAnsi="Arial" w:cs="Arial"/>
                <w:sz w:val="20"/>
                <w:szCs w:val="20"/>
                <w:lang w:val="en-CA"/>
              </w:rPr>
              <w:t>Zafin</w:t>
            </w:r>
          </w:p>
        </w:tc>
      </w:tr>
    </w:tbl>
    <w:p w14:paraId="7FD7E366" w14:textId="77777777" w:rsidR="005312B7" w:rsidRPr="00003D21" w:rsidRDefault="005312B7" w:rsidP="005312B7">
      <w:pPr>
        <w:rPr>
          <w:rFonts w:ascii="Arial" w:hAnsi="Arial" w:cs="Arial"/>
          <w:b/>
          <w:bCs/>
          <w:sz w:val="21"/>
          <w:szCs w:val="21"/>
          <w:lang w:val="en-CA"/>
        </w:rPr>
      </w:pPr>
    </w:p>
    <w:p w14:paraId="183BB625" w14:textId="401A23F3" w:rsidR="005312B7" w:rsidRPr="00003D21" w:rsidRDefault="005312B7" w:rsidP="005312B7">
      <w:pPr>
        <w:pStyle w:val="Footnote"/>
        <w:rPr>
          <w:lang w:val="en-CA"/>
        </w:rPr>
      </w:pPr>
      <w:r w:rsidRPr="00003D21">
        <w:rPr>
          <w:lang w:val="en-CA"/>
        </w:rPr>
        <w:t xml:space="preserve">Source: “Submissions for Consultation Paper on Open Banking,” </w:t>
      </w:r>
      <w:r w:rsidR="00944D3D">
        <w:rPr>
          <w:lang w:val="en-CA"/>
        </w:rPr>
        <w:t xml:space="preserve">Government of </w:t>
      </w:r>
      <w:r w:rsidRPr="00003D21">
        <w:rPr>
          <w:lang w:val="en-CA"/>
        </w:rPr>
        <w:t xml:space="preserve">Canada, </w:t>
      </w:r>
      <w:r w:rsidR="00546979" w:rsidRPr="00003D21">
        <w:rPr>
          <w:lang w:val="en-CA"/>
        </w:rPr>
        <w:t xml:space="preserve">February 18, 2020, </w:t>
      </w:r>
      <w:r w:rsidRPr="00003D21">
        <w:rPr>
          <w:lang w:val="en-CA"/>
        </w:rPr>
        <w:t xml:space="preserve">accessed April 14, 2020, </w:t>
      </w:r>
      <w:r w:rsidR="00546979" w:rsidRPr="00003D21">
        <w:rPr>
          <w:rStyle w:val="Hyperlink"/>
          <w:color w:val="auto"/>
          <w:u w:val="none"/>
          <w:lang w:val="en-CA"/>
        </w:rPr>
        <w:t>www.canada.ca/en/department-finance/programs/consultations/2019/open-banking/submissions.html</w:t>
      </w:r>
      <w:r w:rsidRPr="00003D21">
        <w:rPr>
          <w:lang w:val="en-CA"/>
        </w:rPr>
        <w:t xml:space="preserve">. </w:t>
      </w:r>
    </w:p>
    <w:p w14:paraId="45C7671B" w14:textId="77777777" w:rsidR="005312B7" w:rsidRPr="00003D21" w:rsidRDefault="005312B7" w:rsidP="005312B7">
      <w:pPr>
        <w:rPr>
          <w:rFonts w:ascii="Arial" w:hAnsi="Arial" w:cs="Arial"/>
          <w:sz w:val="21"/>
          <w:szCs w:val="21"/>
          <w:lang w:val="en-CA"/>
        </w:rPr>
      </w:pPr>
    </w:p>
    <w:p w14:paraId="0DCB6375" w14:textId="77777777" w:rsidR="005312B7" w:rsidRPr="00003D21" w:rsidRDefault="005312B7" w:rsidP="005312B7">
      <w:pPr>
        <w:rPr>
          <w:rFonts w:ascii="Arial" w:hAnsi="Arial" w:cs="Arial"/>
          <w:b/>
          <w:bCs/>
          <w:sz w:val="21"/>
          <w:szCs w:val="21"/>
          <w:lang w:val="en-CA"/>
        </w:rPr>
      </w:pPr>
      <w:r w:rsidRPr="00003D21">
        <w:rPr>
          <w:rFonts w:ascii="Arial" w:hAnsi="Arial" w:cs="Arial"/>
          <w:b/>
          <w:bCs/>
          <w:sz w:val="21"/>
          <w:szCs w:val="21"/>
          <w:lang w:val="en-CA"/>
        </w:rPr>
        <w:br w:type="page"/>
      </w:r>
    </w:p>
    <w:p w14:paraId="4EB34184" w14:textId="77777777" w:rsidR="005312B7" w:rsidRPr="00003D21" w:rsidRDefault="005312B7" w:rsidP="005312B7">
      <w:pPr>
        <w:pStyle w:val="ExhibitHeading"/>
        <w:rPr>
          <w:lang w:val="en-CA"/>
        </w:rPr>
      </w:pPr>
      <w:r w:rsidRPr="00003D21">
        <w:rPr>
          <w:lang w:val="en-CA"/>
        </w:rPr>
        <w:lastRenderedPageBreak/>
        <w:t>EXHIBIT 5: OTHER FINTECH MODELS</w:t>
      </w:r>
    </w:p>
    <w:tbl>
      <w:tblPr>
        <w:tblStyle w:val="TableGrid"/>
        <w:tblpPr w:leftFromText="180" w:rightFromText="180" w:vertAnchor="text" w:horzAnchor="margin" w:tblpY="178"/>
        <w:tblW w:w="0" w:type="auto"/>
        <w:tblLook w:val="04A0" w:firstRow="1" w:lastRow="0" w:firstColumn="1" w:lastColumn="0" w:noHBand="0" w:noVBand="1"/>
      </w:tblPr>
      <w:tblGrid>
        <w:gridCol w:w="3055"/>
        <w:gridCol w:w="3527"/>
        <w:gridCol w:w="2768"/>
      </w:tblGrid>
      <w:tr w:rsidR="005312B7" w:rsidRPr="00003D21" w14:paraId="64E72059" w14:textId="77777777" w:rsidTr="002F623D">
        <w:tc>
          <w:tcPr>
            <w:tcW w:w="3055" w:type="dxa"/>
          </w:tcPr>
          <w:p w14:paraId="4DE53FC4" w14:textId="77777777" w:rsidR="005312B7" w:rsidRPr="00003D21" w:rsidRDefault="005312B7" w:rsidP="004F5C0A">
            <w:pPr>
              <w:jc w:val="center"/>
              <w:rPr>
                <w:rFonts w:ascii="Arial" w:hAnsi="Arial" w:cs="Arial"/>
                <w:b/>
                <w:bCs/>
                <w:lang w:val="en-CA"/>
              </w:rPr>
            </w:pPr>
            <w:r w:rsidRPr="00003D21">
              <w:rPr>
                <w:rFonts w:ascii="Arial" w:hAnsi="Arial" w:cs="Arial"/>
                <w:b/>
                <w:bCs/>
                <w:lang w:val="en-CA"/>
              </w:rPr>
              <w:t>Fintech Business Models</w:t>
            </w:r>
          </w:p>
        </w:tc>
        <w:tc>
          <w:tcPr>
            <w:tcW w:w="3527" w:type="dxa"/>
          </w:tcPr>
          <w:p w14:paraId="6ECC21BC" w14:textId="77777777" w:rsidR="005312B7" w:rsidRPr="00003D21" w:rsidRDefault="005312B7" w:rsidP="004F5C0A">
            <w:pPr>
              <w:jc w:val="center"/>
              <w:rPr>
                <w:rFonts w:ascii="Arial" w:hAnsi="Arial" w:cs="Arial"/>
                <w:b/>
                <w:bCs/>
                <w:lang w:val="en-CA"/>
              </w:rPr>
            </w:pPr>
            <w:r w:rsidRPr="00003D21">
              <w:rPr>
                <w:rFonts w:ascii="Arial" w:hAnsi="Arial" w:cs="Arial"/>
                <w:b/>
                <w:bCs/>
                <w:lang w:val="en-CA"/>
              </w:rPr>
              <w:t>Description</w:t>
            </w:r>
          </w:p>
        </w:tc>
        <w:tc>
          <w:tcPr>
            <w:tcW w:w="2768" w:type="dxa"/>
          </w:tcPr>
          <w:p w14:paraId="283719D7" w14:textId="77777777" w:rsidR="005312B7" w:rsidRPr="00003D21" w:rsidRDefault="005312B7" w:rsidP="004F5C0A">
            <w:pPr>
              <w:jc w:val="center"/>
              <w:rPr>
                <w:rFonts w:ascii="Arial" w:hAnsi="Arial" w:cs="Arial"/>
                <w:b/>
                <w:bCs/>
                <w:lang w:val="en-CA"/>
              </w:rPr>
            </w:pPr>
            <w:r w:rsidRPr="00003D21">
              <w:rPr>
                <w:rFonts w:ascii="Arial" w:hAnsi="Arial" w:cs="Arial"/>
                <w:b/>
                <w:bCs/>
                <w:lang w:val="en-CA"/>
              </w:rPr>
              <w:t>Example</w:t>
            </w:r>
          </w:p>
        </w:tc>
      </w:tr>
      <w:tr w:rsidR="005312B7" w:rsidRPr="00003D21" w14:paraId="41AC6FCC" w14:textId="77777777" w:rsidTr="002F623D">
        <w:tc>
          <w:tcPr>
            <w:tcW w:w="3055" w:type="dxa"/>
          </w:tcPr>
          <w:p w14:paraId="11D0EEF8" w14:textId="77777777" w:rsidR="005312B7" w:rsidRPr="00003D21" w:rsidRDefault="005312B7" w:rsidP="00BB04D8">
            <w:pPr>
              <w:rPr>
                <w:rFonts w:ascii="Arial" w:hAnsi="Arial" w:cs="Arial"/>
                <w:lang w:val="en-CA"/>
              </w:rPr>
            </w:pPr>
            <w:r w:rsidRPr="00003D21">
              <w:rPr>
                <w:rFonts w:ascii="Arial" w:hAnsi="Arial" w:cs="Arial"/>
                <w:lang w:val="en-CA"/>
              </w:rPr>
              <w:t>Asset Management</w:t>
            </w:r>
          </w:p>
        </w:tc>
        <w:tc>
          <w:tcPr>
            <w:tcW w:w="3527" w:type="dxa"/>
          </w:tcPr>
          <w:p w14:paraId="176C6482" w14:textId="3B906CD5" w:rsidR="005312B7" w:rsidRPr="00003D21" w:rsidRDefault="005312B7" w:rsidP="004F5C0A">
            <w:pPr>
              <w:rPr>
                <w:rFonts w:ascii="Arial" w:hAnsi="Arial" w:cs="Arial"/>
                <w:lang w:val="en-CA"/>
              </w:rPr>
            </w:pPr>
            <w:r w:rsidRPr="00003D21">
              <w:rPr>
                <w:rFonts w:ascii="Arial" w:hAnsi="Arial" w:cs="Arial"/>
                <w:lang w:val="en-CA"/>
              </w:rPr>
              <w:t>Asset management start-ups enabl</w:t>
            </w:r>
            <w:r w:rsidR="001039C7" w:rsidRPr="00003D21">
              <w:rPr>
                <w:rFonts w:ascii="Arial" w:hAnsi="Arial" w:cs="Arial"/>
                <w:lang w:val="en-CA"/>
              </w:rPr>
              <w:t>ed</w:t>
            </w:r>
            <w:r w:rsidRPr="00003D21">
              <w:rPr>
                <w:rFonts w:ascii="Arial" w:hAnsi="Arial" w:cs="Arial"/>
                <w:lang w:val="en-CA"/>
              </w:rPr>
              <w:t xml:space="preserve"> investors to buy stocks or mutual funds without having to pay traditional commission fees. In exchange, consumers provide</w:t>
            </w:r>
            <w:r w:rsidR="001039C7" w:rsidRPr="00003D21">
              <w:rPr>
                <w:rFonts w:ascii="Arial" w:hAnsi="Arial" w:cs="Arial"/>
                <w:lang w:val="en-CA"/>
              </w:rPr>
              <w:t>d</w:t>
            </w:r>
            <w:r w:rsidRPr="00003D21">
              <w:rPr>
                <w:rFonts w:ascii="Arial" w:hAnsi="Arial" w:cs="Arial"/>
                <w:lang w:val="en-CA"/>
              </w:rPr>
              <w:t xml:space="preserve"> personal data.</w:t>
            </w:r>
          </w:p>
        </w:tc>
        <w:tc>
          <w:tcPr>
            <w:tcW w:w="2768" w:type="dxa"/>
          </w:tcPr>
          <w:p w14:paraId="34587C7C" w14:textId="29D84E24" w:rsidR="005312B7" w:rsidRPr="00003D21" w:rsidRDefault="005312B7" w:rsidP="004F5C0A">
            <w:pPr>
              <w:rPr>
                <w:rFonts w:ascii="Arial" w:hAnsi="Arial" w:cs="Arial"/>
                <w:lang w:val="en-CA"/>
              </w:rPr>
            </w:pPr>
            <w:r w:rsidRPr="00003D21">
              <w:rPr>
                <w:rFonts w:ascii="Arial" w:hAnsi="Arial" w:cs="Arial"/>
                <w:lang w:val="en-CA"/>
              </w:rPr>
              <w:t>Robinhood</w:t>
            </w:r>
            <w:r w:rsidR="001039C7" w:rsidRPr="00003D21">
              <w:rPr>
                <w:rFonts w:ascii="Arial" w:hAnsi="Arial" w:cs="Arial"/>
                <w:lang w:val="en-CA"/>
              </w:rPr>
              <w:t xml:space="preserve"> Markets</w:t>
            </w:r>
          </w:p>
        </w:tc>
      </w:tr>
      <w:tr w:rsidR="005312B7" w:rsidRPr="00003D21" w14:paraId="64797469" w14:textId="77777777" w:rsidTr="002F623D">
        <w:tc>
          <w:tcPr>
            <w:tcW w:w="3055" w:type="dxa"/>
          </w:tcPr>
          <w:p w14:paraId="0F49BB48" w14:textId="77777777" w:rsidR="005312B7" w:rsidRPr="00003D21" w:rsidRDefault="005312B7" w:rsidP="00BB04D8">
            <w:pPr>
              <w:rPr>
                <w:rFonts w:ascii="Arial" w:hAnsi="Arial" w:cs="Arial"/>
                <w:lang w:val="en-CA"/>
              </w:rPr>
            </w:pPr>
            <w:r w:rsidRPr="00003D21">
              <w:rPr>
                <w:rFonts w:ascii="Arial" w:hAnsi="Arial" w:cs="Arial"/>
                <w:lang w:val="en-CA"/>
              </w:rPr>
              <w:t>Digital Insurance</w:t>
            </w:r>
          </w:p>
        </w:tc>
        <w:tc>
          <w:tcPr>
            <w:tcW w:w="3527" w:type="dxa"/>
          </w:tcPr>
          <w:p w14:paraId="1AA2684A" w14:textId="2EAC0B09" w:rsidR="005312B7" w:rsidRPr="00003D21" w:rsidRDefault="005312B7" w:rsidP="004F5C0A">
            <w:pPr>
              <w:rPr>
                <w:rFonts w:ascii="Arial" w:hAnsi="Arial" w:cs="Arial"/>
                <w:lang w:val="en-CA"/>
              </w:rPr>
            </w:pPr>
            <w:r w:rsidRPr="00003D21">
              <w:rPr>
                <w:rFonts w:ascii="Arial" w:hAnsi="Arial" w:cs="Arial"/>
                <w:lang w:val="en-CA"/>
              </w:rPr>
              <w:t>Start-ups that operate</w:t>
            </w:r>
            <w:r w:rsidR="001039C7" w:rsidRPr="00003D21">
              <w:rPr>
                <w:rFonts w:ascii="Arial" w:hAnsi="Arial" w:cs="Arial"/>
                <w:lang w:val="en-CA"/>
              </w:rPr>
              <w:t>d</w:t>
            </w:r>
            <w:r w:rsidRPr="00003D21">
              <w:rPr>
                <w:rFonts w:ascii="Arial" w:hAnsi="Arial" w:cs="Arial"/>
                <w:lang w:val="en-CA"/>
              </w:rPr>
              <w:t xml:space="preserve"> across the entire insurance process</w:t>
            </w:r>
            <w:r w:rsidR="001039C7" w:rsidRPr="00003D21">
              <w:rPr>
                <w:rFonts w:ascii="Arial" w:hAnsi="Arial" w:cs="Arial"/>
                <w:lang w:val="en-CA"/>
              </w:rPr>
              <w:t>,</w:t>
            </w:r>
            <w:r w:rsidRPr="00003D21">
              <w:rPr>
                <w:rFonts w:ascii="Arial" w:hAnsi="Arial" w:cs="Arial"/>
                <w:lang w:val="en-CA"/>
              </w:rPr>
              <w:t xml:space="preserve"> including sales, underwriting, distribution, claims and renewal. Many start-ups employ</w:t>
            </w:r>
            <w:r w:rsidR="001039C7" w:rsidRPr="00003D21">
              <w:rPr>
                <w:rFonts w:ascii="Arial" w:hAnsi="Arial" w:cs="Arial"/>
                <w:lang w:val="en-CA"/>
              </w:rPr>
              <w:t>ed</w:t>
            </w:r>
            <w:r w:rsidRPr="00003D21">
              <w:rPr>
                <w:rFonts w:ascii="Arial" w:hAnsi="Arial" w:cs="Arial"/>
                <w:lang w:val="en-CA"/>
              </w:rPr>
              <w:t xml:space="preserve"> blockchain-based models to speed up claims processing and to ensure security for </w:t>
            </w:r>
            <w:r w:rsidR="001039C7" w:rsidRPr="00003D21">
              <w:rPr>
                <w:rFonts w:ascii="Arial" w:hAnsi="Arial" w:cs="Arial"/>
                <w:lang w:val="en-CA"/>
              </w:rPr>
              <w:t xml:space="preserve">their </w:t>
            </w:r>
            <w:r w:rsidRPr="00003D21">
              <w:rPr>
                <w:rFonts w:ascii="Arial" w:hAnsi="Arial" w:cs="Arial"/>
                <w:lang w:val="en-CA"/>
              </w:rPr>
              <w:t xml:space="preserve">end users. </w:t>
            </w:r>
          </w:p>
        </w:tc>
        <w:tc>
          <w:tcPr>
            <w:tcW w:w="2768" w:type="dxa"/>
          </w:tcPr>
          <w:p w14:paraId="63879C06" w14:textId="114E600C" w:rsidR="005312B7" w:rsidRPr="00003D21" w:rsidRDefault="005312B7" w:rsidP="004F5C0A">
            <w:pPr>
              <w:rPr>
                <w:rFonts w:ascii="Arial" w:hAnsi="Arial" w:cs="Arial"/>
                <w:lang w:val="en-CA"/>
              </w:rPr>
            </w:pPr>
            <w:r w:rsidRPr="00003D21">
              <w:rPr>
                <w:rFonts w:ascii="Arial" w:hAnsi="Arial" w:cs="Arial"/>
                <w:lang w:val="en-CA"/>
              </w:rPr>
              <w:t>Lemonade</w:t>
            </w:r>
            <w:r w:rsidR="001039C7" w:rsidRPr="00003D21">
              <w:rPr>
                <w:rFonts w:ascii="Arial" w:hAnsi="Arial" w:cs="Arial"/>
                <w:lang w:val="en-CA"/>
              </w:rPr>
              <w:t xml:space="preserve"> Insurance Company</w:t>
            </w:r>
            <w:r w:rsidRPr="00003D21">
              <w:rPr>
                <w:rFonts w:ascii="Arial" w:hAnsi="Arial" w:cs="Arial"/>
                <w:lang w:val="en-CA"/>
              </w:rPr>
              <w:t>, Dig-In</w:t>
            </w:r>
          </w:p>
        </w:tc>
      </w:tr>
      <w:tr w:rsidR="005312B7" w:rsidRPr="00003D21" w14:paraId="6369BB1B" w14:textId="77777777" w:rsidTr="002F623D">
        <w:tc>
          <w:tcPr>
            <w:tcW w:w="3055" w:type="dxa"/>
          </w:tcPr>
          <w:p w14:paraId="2273BF02" w14:textId="77777777" w:rsidR="005312B7" w:rsidRPr="00003D21" w:rsidRDefault="005312B7" w:rsidP="00BB04D8">
            <w:pPr>
              <w:rPr>
                <w:rFonts w:ascii="Arial" w:hAnsi="Arial" w:cs="Arial"/>
                <w:lang w:val="en-CA"/>
              </w:rPr>
            </w:pPr>
            <w:r w:rsidRPr="00003D21">
              <w:rPr>
                <w:rFonts w:ascii="Arial" w:hAnsi="Arial" w:cs="Arial"/>
                <w:lang w:val="en-CA"/>
              </w:rPr>
              <w:t>Small Loans</w:t>
            </w:r>
          </w:p>
        </w:tc>
        <w:tc>
          <w:tcPr>
            <w:tcW w:w="3527" w:type="dxa"/>
          </w:tcPr>
          <w:p w14:paraId="4D73618E" w14:textId="568D0AC1" w:rsidR="005312B7" w:rsidRPr="00003D21" w:rsidRDefault="005312B7" w:rsidP="004F5C0A">
            <w:pPr>
              <w:rPr>
                <w:rFonts w:ascii="Arial" w:hAnsi="Arial" w:cs="Arial"/>
                <w:lang w:val="en-CA"/>
              </w:rPr>
            </w:pPr>
            <w:r w:rsidRPr="00003D21">
              <w:rPr>
                <w:rFonts w:ascii="Arial" w:hAnsi="Arial" w:cs="Arial"/>
                <w:lang w:val="en-CA"/>
              </w:rPr>
              <w:t xml:space="preserve">Short-term credit loans </w:t>
            </w:r>
            <w:r w:rsidR="001039C7" w:rsidRPr="00003D21">
              <w:rPr>
                <w:rFonts w:ascii="Arial" w:hAnsi="Arial" w:cs="Arial"/>
                <w:lang w:val="en-CA"/>
              </w:rPr>
              <w:t xml:space="preserve">were </w:t>
            </w:r>
            <w:r w:rsidRPr="00003D21">
              <w:rPr>
                <w:rFonts w:ascii="Arial" w:hAnsi="Arial" w:cs="Arial"/>
                <w:lang w:val="en-CA"/>
              </w:rPr>
              <w:t xml:space="preserve">offered by innovative fintech platforms. As these services </w:t>
            </w:r>
            <w:r w:rsidR="001039C7" w:rsidRPr="00003D21">
              <w:rPr>
                <w:rFonts w:ascii="Arial" w:hAnsi="Arial" w:cs="Arial"/>
                <w:lang w:val="en-CA"/>
              </w:rPr>
              <w:t xml:space="preserve">were </w:t>
            </w:r>
            <w:r w:rsidRPr="00003D21">
              <w:rPr>
                <w:rFonts w:ascii="Arial" w:hAnsi="Arial" w:cs="Arial"/>
                <w:lang w:val="en-CA"/>
              </w:rPr>
              <w:t xml:space="preserve">more flexible and fast, consumers </w:t>
            </w:r>
            <w:r w:rsidR="001039C7" w:rsidRPr="00003D21">
              <w:rPr>
                <w:rFonts w:ascii="Arial" w:hAnsi="Arial" w:cs="Arial"/>
                <w:lang w:val="en-CA"/>
              </w:rPr>
              <w:t xml:space="preserve">were </w:t>
            </w:r>
            <w:r w:rsidRPr="00003D21">
              <w:rPr>
                <w:rFonts w:ascii="Arial" w:hAnsi="Arial" w:cs="Arial"/>
                <w:lang w:val="en-CA"/>
              </w:rPr>
              <w:t xml:space="preserve">able to receive customized loans with varying repayment options. </w:t>
            </w:r>
          </w:p>
        </w:tc>
        <w:tc>
          <w:tcPr>
            <w:tcW w:w="2768" w:type="dxa"/>
          </w:tcPr>
          <w:p w14:paraId="5E725668" w14:textId="42710EDD" w:rsidR="005312B7" w:rsidRPr="00003D21" w:rsidRDefault="005312B7" w:rsidP="004F5C0A">
            <w:pPr>
              <w:rPr>
                <w:rFonts w:ascii="Arial" w:hAnsi="Arial" w:cs="Arial"/>
                <w:lang w:val="en-CA"/>
              </w:rPr>
            </w:pPr>
            <w:r w:rsidRPr="00003D21">
              <w:rPr>
                <w:rFonts w:ascii="Arial" w:hAnsi="Arial" w:cs="Arial"/>
                <w:lang w:val="en-CA"/>
              </w:rPr>
              <w:t>Affirm</w:t>
            </w:r>
            <w:r w:rsidR="00E722CB" w:rsidRPr="00003D21">
              <w:rPr>
                <w:rFonts w:ascii="Arial" w:hAnsi="Arial" w:cs="Arial"/>
                <w:lang w:val="en-CA"/>
              </w:rPr>
              <w:t xml:space="preserve"> Loan Services</w:t>
            </w:r>
            <w:r w:rsidRPr="00003D21">
              <w:rPr>
                <w:rFonts w:ascii="Arial" w:hAnsi="Arial" w:cs="Arial"/>
                <w:lang w:val="en-CA"/>
              </w:rPr>
              <w:t>, Sezzle, Klarna</w:t>
            </w:r>
            <w:r w:rsidR="00E722CB" w:rsidRPr="00003D21">
              <w:rPr>
                <w:rFonts w:ascii="Arial" w:hAnsi="Arial" w:cs="Arial"/>
                <w:lang w:val="en-CA"/>
              </w:rPr>
              <w:t xml:space="preserve"> Bank</w:t>
            </w:r>
          </w:p>
        </w:tc>
      </w:tr>
      <w:tr w:rsidR="005312B7" w:rsidRPr="00003D21" w14:paraId="62ED74EC" w14:textId="77777777" w:rsidTr="002F623D">
        <w:tc>
          <w:tcPr>
            <w:tcW w:w="3055" w:type="dxa"/>
          </w:tcPr>
          <w:p w14:paraId="6A3BE727" w14:textId="77777777" w:rsidR="005312B7" w:rsidRPr="00003D21" w:rsidRDefault="005312B7" w:rsidP="00BB04D8">
            <w:pPr>
              <w:rPr>
                <w:rFonts w:ascii="Arial" w:hAnsi="Arial" w:cs="Arial"/>
                <w:lang w:val="en-CA"/>
              </w:rPr>
            </w:pPr>
            <w:r w:rsidRPr="00003D21">
              <w:rPr>
                <w:rFonts w:ascii="Arial" w:hAnsi="Arial" w:cs="Arial"/>
                <w:lang w:val="en-CA"/>
              </w:rPr>
              <w:t>Peer-to-Peer (P2P) Lending</w:t>
            </w:r>
          </w:p>
        </w:tc>
        <w:tc>
          <w:tcPr>
            <w:tcW w:w="3527" w:type="dxa"/>
          </w:tcPr>
          <w:p w14:paraId="171FB609" w14:textId="2E43A4D4" w:rsidR="005312B7" w:rsidRPr="00003D21" w:rsidRDefault="005312B7" w:rsidP="004F5C0A">
            <w:pPr>
              <w:rPr>
                <w:rFonts w:ascii="Arial" w:hAnsi="Arial" w:cs="Arial"/>
                <w:lang w:val="en-CA"/>
              </w:rPr>
            </w:pPr>
            <w:r w:rsidRPr="00003D21">
              <w:rPr>
                <w:rFonts w:ascii="Arial" w:hAnsi="Arial" w:cs="Arial"/>
                <w:lang w:val="en-CA"/>
              </w:rPr>
              <w:t xml:space="preserve">P2P lending </w:t>
            </w:r>
            <w:r w:rsidR="001039C7" w:rsidRPr="00003D21">
              <w:rPr>
                <w:rFonts w:ascii="Arial" w:hAnsi="Arial" w:cs="Arial"/>
                <w:lang w:val="en-CA"/>
              </w:rPr>
              <w:t xml:space="preserve">was </w:t>
            </w:r>
            <w:r w:rsidRPr="00003D21">
              <w:rPr>
                <w:rFonts w:ascii="Arial" w:hAnsi="Arial" w:cs="Arial"/>
                <w:lang w:val="en-CA"/>
              </w:rPr>
              <w:t>an innovative business model where individuals or businesses receive</w:t>
            </w:r>
            <w:r w:rsidR="001039C7" w:rsidRPr="00003D21">
              <w:rPr>
                <w:rFonts w:ascii="Arial" w:hAnsi="Arial" w:cs="Arial"/>
                <w:lang w:val="en-CA"/>
              </w:rPr>
              <w:t>d</w:t>
            </w:r>
            <w:r w:rsidRPr="00003D21">
              <w:rPr>
                <w:rFonts w:ascii="Arial" w:hAnsi="Arial" w:cs="Arial"/>
                <w:lang w:val="en-CA"/>
              </w:rPr>
              <w:t xml:space="preserve"> loans from other individuals or businesses. P2P lending </w:t>
            </w:r>
            <w:r w:rsidR="001039C7" w:rsidRPr="00003D21">
              <w:rPr>
                <w:rFonts w:ascii="Arial" w:hAnsi="Arial" w:cs="Arial"/>
                <w:lang w:val="en-CA"/>
              </w:rPr>
              <w:t xml:space="preserve">was </w:t>
            </w:r>
            <w:r w:rsidRPr="00003D21">
              <w:rPr>
                <w:rFonts w:ascii="Arial" w:hAnsi="Arial" w:cs="Arial"/>
                <w:lang w:val="en-CA"/>
              </w:rPr>
              <w:t xml:space="preserve">similar to digital banks </w:t>
            </w:r>
            <w:r w:rsidR="001039C7" w:rsidRPr="00003D21">
              <w:rPr>
                <w:rFonts w:ascii="Arial" w:hAnsi="Arial" w:cs="Arial"/>
                <w:lang w:val="en-CA"/>
              </w:rPr>
              <w:t xml:space="preserve">in requiring </w:t>
            </w:r>
            <w:r w:rsidRPr="00003D21">
              <w:rPr>
                <w:rFonts w:ascii="Arial" w:hAnsi="Arial" w:cs="Arial"/>
                <w:lang w:val="en-CA"/>
              </w:rPr>
              <w:t xml:space="preserve">lower overhead and major investments to start </w:t>
            </w:r>
            <w:r w:rsidR="001039C7" w:rsidRPr="00003D21">
              <w:rPr>
                <w:rFonts w:ascii="Arial" w:hAnsi="Arial" w:cs="Arial"/>
                <w:lang w:val="en-CA"/>
              </w:rPr>
              <w:t xml:space="preserve">a </w:t>
            </w:r>
            <w:r w:rsidRPr="00003D21">
              <w:rPr>
                <w:rFonts w:ascii="Arial" w:hAnsi="Arial" w:cs="Arial"/>
                <w:lang w:val="en-CA"/>
              </w:rPr>
              <w:t xml:space="preserve">company. </w:t>
            </w:r>
          </w:p>
        </w:tc>
        <w:tc>
          <w:tcPr>
            <w:tcW w:w="2768" w:type="dxa"/>
          </w:tcPr>
          <w:p w14:paraId="36973C34" w14:textId="65989FE2" w:rsidR="005312B7" w:rsidRPr="00003D21" w:rsidRDefault="00E722CB" w:rsidP="004F5C0A">
            <w:pPr>
              <w:rPr>
                <w:rFonts w:ascii="Arial" w:hAnsi="Arial" w:cs="Arial"/>
                <w:lang w:val="en-CA"/>
              </w:rPr>
            </w:pPr>
            <w:r w:rsidRPr="00003D21">
              <w:rPr>
                <w:rFonts w:ascii="Arial" w:hAnsi="Arial" w:cs="Arial"/>
                <w:lang w:val="en-CA"/>
              </w:rPr>
              <w:t>Loop Securities Ind. (</w:t>
            </w:r>
            <w:r w:rsidR="005312B7" w:rsidRPr="00003D21">
              <w:rPr>
                <w:rFonts w:ascii="Arial" w:hAnsi="Arial" w:cs="Arial"/>
                <w:lang w:val="en-CA"/>
              </w:rPr>
              <w:t>Lending Loop</w:t>
            </w:r>
            <w:r w:rsidRPr="00003D21">
              <w:rPr>
                <w:rFonts w:ascii="Arial" w:hAnsi="Arial" w:cs="Arial"/>
                <w:lang w:val="en-CA"/>
              </w:rPr>
              <w:t>)</w:t>
            </w:r>
            <w:r w:rsidR="005312B7" w:rsidRPr="00003D21">
              <w:rPr>
                <w:rFonts w:ascii="Arial" w:hAnsi="Arial" w:cs="Arial"/>
                <w:lang w:val="en-CA"/>
              </w:rPr>
              <w:t>, Funding Circle</w:t>
            </w:r>
            <w:r w:rsidRPr="00003D21">
              <w:rPr>
                <w:rFonts w:ascii="Arial" w:hAnsi="Arial" w:cs="Arial"/>
                <w:lang w:val="en-CA"/>
              </w:rPr>
              <w:t xml:space="preserve"> Limited</w:t>
            </w:r>
          </w:p>
        </w:tc>
      </w:tr>
    </w:tbl>
    <w:p w14:paraId="4AAB805D" w14:textId="77777777" w:rsidR="005312B7" w:rsidRPr="00003D21" w:rsidRDefault="005312B7" w:rsidP="005312B7">
      <w:pPr>
        <w:rPr>
          <w:rFonts w:ascii="Arial" w:hAnsi="Arial" w:cs="Arial"/>
          <w:i/>
          <w:iCs/>
          <w:sz w:val="21"/>
          <w:szCs w:val="21"/>
          <w:lang w:val="en-CA"/>
        </w:rPr>
      </w:pPr>
      <w:r w:rsidRPr="00003D21">
        <w:rPr>
          <w:rFonts w:ascii="Arial" w:hAnsi="Arial" w:cs="Arial"/>
          <w:i/>
          <w:iCs/>
          <w:sz w:val="21"/>
          <w:szCs w:val="21"/>
          <w:lang w:val="en-CA"/>
        </w:rPr>
        <w:t xml:space="preserve"> </w:t>
      </w:r>
    </w:p>
    <w:p w14:paraId="532C854D" w14:textId="3E1174AD" w:rsidR="005312B7" w:rsidRPr="00003D21" w:rsidRDefault="005312B7" w:rsidP="005312B7">
      <w:pPr>
        <w:pStyle w:val="Footnote"/>
        <w:rPr>
          <w:lang w:val="en-CA"/>
        </w:rPr>
      </w:pPr>
      <w:r w:rsidRPr="00003D21">
        <w:rPr>
          <w:lang w:val="en-CA"/>
        </w:rPr>
        <w:t xml:space="preserve">Source: </w:t>
      </w:r>
      <w:r w:rsidR="001039C7" w:rsidRPr="00003D21">
        <w:rPr>
          <w:lang w:val="en-CA"/>
        </w:rPr>
        <w:t xml:space="preserve">Created by case authors based on data from </w:t>
      </w:r>
      <w:r w:rsidRPr="00003D21">
        <w:rPr>
          <w:lang w:val="en-CA"/>
        </w:rPr>
        <w:t xml:space="preserve">“10 </w:t>
      </w:r>
      <w:r w:rsidR="00546979" w:rsidRPr="00003D21">
        <w:rPr>
          <w:lang w:val="en-CA"/>
        </w:rPr>
        <w:t xml:space="preserve">Innovative </w:t>
      </w:r>
      <w:r w:rsidRPr="00003D21">
        <w:rPr>
          <w:lang w:val="en-CA"/>
        </w:rPr>
        <w:t xml:space="preserve">FinTech </w:t>
      </w:r>
      <w:r w:rsidR="00546979" w:rsidRPr="00003D21">
        <w:rPr>
          <w:lang w:val="en-CA"/>
        </w:rPr>
        <w:t>Business Models</w:t>
      </w:r>
      <w:r w:rsidRPr="00003D21">
        <w:rPr>
          <w:lang w:val="en-CA"/>
        </w:rPr>
        <w:t>,” Board of Innovation, accessed November 1, 2020, www.boardofinnovation.com/blog/10-innovative-fintech-business-models/.</w:t>
      </w:r>
    </w:p>
    <w:p w14:paraId="46815151" w14:textId="2E1CF182" w:rsidR="005312B7" w:rsidRPr="00003D21" w:rsidRDefault="005312B7" w:rsidP="005312B7">
      <w:pPr>
        <w:pStyle w:val="ExhibitHeading"/>
        <w:jc w:val="left"/>
        <w:rPr>
          <w:lang w:val="en-CA"/>
        </w:rPr>
      </w:pPr>
      <w:r w:rsidRPr="00003D21">
        <w:rPr>
          <w:lang w:val="en-CA"/>
        </w:rPr>
        <w:br w:type="page"/>
      </w:r>
      <w:r w:rsidRPr="00003D21">
        <w:rPr>
          <w:lang w:val="en-CA"/>
        </w:rPr>
        <w:lastRenderedPageBreak/>
        <w:t>ENDNOTES</w:t>
      </w:r>
    </w:p>
    <w:sectPr w:rsidR="005312B7" w:rsidRPr="00003D21" w:rsidSect="00751E0B">
      <w:headerReference w:type="default" r:id="rId11"/>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54C00" w16cex:dateUtc="2021-02-03T21:2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71461" w14:textId="77777777" w:rsidR="00F80BF9" w:rsidRDefault="00F80BF9" w:rsidP="00D75295">
      <w:r>
        <w:separator/>
      </w:r>
    </w:p>
  </w:endnote>
  <w:endnote w:type="continuationSeparator" w:id="0">
    <w:p w14:paraId="343D3147" w14:textId="77777777" w:rsidR="00F80BF9" w:rsidRDefault="00F80BF9" w:rsidP="00D75295">
      <w:r>
        <w:continuationSeparator/>
      </w:r>
    </w:p>
  </w:endnote>
  <w:endnote w:id="1">
    <w:p w14:paraId="67123068" w14:textId="3BD30E40" w:rsidR="00790ABB" w:rsidRPr="00D7635F" w:rsidRDefault="00790ABB" w:rsidP="00D7635F">
      <w:pPr>
        <w:pStyle w:val="Footnote"/>
      </w:pPr>
      <w:r w:rsidRPr="00D7635F">
        <w:rPr>
          <w:rStyle w:val="EndnoteReference"/>
        </w:rPr>
        <w:endnoteRef/>
      </w:r>
      <w:r w:rsidRPr="00D7635F">
        <w:t xml:space="preserve"> This case has been written on the basis of published sources only. Consequently, the interpretation and perspectives presented in this case are not necessarily those of </w:t>
      </w:r>
      <w:proofErr w:type="spellStart"/>
      <w:r w:rsidRPr="00D7635F">
        <w:t>Koho</w:t>
      </w:r>
      <w:proofErr w:type="spellEnd"/>
      <w:r w:rsidRPr="00D7635F">
        <w:t xml:space="preserve"> Financial Inc. or any of its employees.</w:t>
      </w:r>
    </w:p>
  </w:endnote>
  <w:endnote w:id="2">
    <w:p w14:paraId="1A1B803C" w14:textId="6AC287EE" w:rsidR="00790ABB" w:rsidRPr="004F5C0A" w:rsidRDefault="00790ABB">
      <w:pPr>
        <w:pStyle w:val="EndnoteText"/>
        <w:rPr>
          <w:rFonts w:ascii="Arial" w:hAnsi="Arial" w:cs="Arial"/>
          <w:sz w:val="17"/>
          <w:szCs w:val="17"/>
          <w:lang w:val="en-GB"/>
        </w:rPr>
      </w:pPr>
      <w:r w:rsidRPr="004F5C0A">
        <w:rPr>
          <w:rStyle w:val="EndnoteReference"/>
          <w:rFonts w:ascii="Arial" w:hAnsi="Arial" w:cs="Arial"/>
          <w:sz w:val="17"/>
          <w:szCs w:val="17"/>
        </w:rPr>
        <w:endnoteRef/>
      </w:r>
      <w:r w:rsidRPr="004F5C0A">
        <w:rPr>
          <w:rFonts w:ascii="Arial" w:hAnsi="Arial" w:cs="Arial"/>
          <w:sz w:val="17"/>
          <w:szCs w:val="17"/>
        </w:rPr>
        <w:t xml:space="preserve"> </w:t>
      </w:r>
      <w:r w:rsidRPr="004F5C0A">
        <w:rPr>
          <w:rFonts w:ascii="Arial" w:hAnsi="Arial" w:cs="Arial"/>
          <w:sz w:val="17"/>
          <w:szCs w:val="17"/>
          <w:lang w:val="en-GB"/>
        </w:rPr>
        <w:t xml:space="preserve">All currency amounts are in CA$ unless otherwise specified. </w:t>
      </w:r>
    </w:p>
  </w:endnote>
  <w:endnote w:id="3">
    <w:p w14:paraId="337197B7" w14:textId="57B0A2CA" w:rsidR="00790ABB" w:rsidRPr="00D7635F" w:rsidRDefault="00790ABB" w:rsidP="00D7635F">
      <w:pPr>
        <w:pStyle w:val="Footnote"/>
      </w:pPr>
      <w:r w:rsidRPr="00533EBE">
        <w:rPr>
          <w:rStyle w:val="EndnoteReference"/>
          <w:sz w:val="18"/>
          <w:szCs w:val="18"/>
        </w:rPr>
        <w:endnoteRef/>
      </w:r>
      <w:r w:rsidRPr="00533EBE">
        <w:t xml:space="preserve"> “</w:t>
      </w:r>
      <w:proofErr w:type="spellStart"/>
      <w:r w:rsidRPr="00533EBE">
        <w:t>Koho</w:t>
      </w:r>
      <w:proofErr w:type="spellEnd"/>
      <w:r w:rsidRPr="00533EBE">
        <w:t xml:space="preserve"> Financial,” </w:t>
      </w:r>
      <w:proofErr w:type="spellStart"/>
      <w:r w:rsidRPr="00533EBE">
        <w:t>Crunchbase</w:t>
      </w:r>
      <w:proofErr w:type="spellEnd"/>
      <w:r w:rsidRPr="00533EBE">
        <w:t xml:space="preserve">, 2020, accessed March 27, 2020, </w:t>
      </w:r>
      <w:r w:rsidRPr="005312B7">
        <w:t>www.crunchbase.com/organization/koho-financial#section-</w:t>
      </w:r>
      <w:r w:rsidRPr="00D7635F">
        <w:t>funding-rounds.</w:t>
      </w:r>
    </w:p>
  </w:endnote>
  <w:endnote w:id="4">
    <w:p w14:paraId="27D61E40" w14:textId="2E61FF5E" w:rsidR="00790ABB" w:rsidRPr="003F5676" w:rsidRDefault="00790ABB" w:rsidP="00D7635F">
      <w:pPr>
        <w:pStyle w:val="Footnote"/>
      </w:pPr>
      <w:r w:rsidRPr="000D5A74">
        <w:rPr>
          <w:rStyle w:val="EndnoteReference"/>
        </w:rPr>
        <w:endnoteRef/>
      </w:r>
      <w:r w:rsidRPr="00D7635F">
        <w:t xml:space="preserve"> </w:t>
      </w:r>
      <w:r w:rsidRPr="006C7911">
        <w:t xml:space="preserve">Geoff </w:t>
      </w:r>
      <w:proofErr w:type="spellStart"/>
      <w:r w:rsidRPr="006C7911">
        <w:t>Zochodne</w:t>
      </w:r>
      <w:proofErr w:type="spellEnd"/>
      <w:r>
        <w:t xml:space="preserve">, </w:t>
      </w:r>
      <w:r w:rsidRPr="00D7635F">
        <w:t>“</w:t>
      </w:r>
      <w:proofErr w:type="spellStart"/>
      <w:r w:rsidRPr="00D7635F">
        <w:t>Koho</w:t>
      </w:r>
      <w:proofErr w:type="spellEnd"/>
      <w:r w:rsidRPr="00D7635F">
        <w:t xml:space="preserve"> Locks Down $8M Investment</w:t>
      </w:r>
      <w:r w:rsidRPr="007875B0">
        <w:t xml:space="preserve"> </w:t>
      </w:r>
      <w:r>
        <w:t>f</w:t>
      </w:r>
      <w:r w:rsidRPr="007875B0">
        <w:t>rom Desmarais-Backed Venture Fund</w:t>
      </w:r>
      <w:r>
        <w:t xml:space="preserve">,” </w:t>
      </w:r>
      <w:r w:rsidRPr="00840E6B">
        <w:rPr>
          <w:i/>
        </w:rPr>
        <w:t>Financial Post</w:t>
      </w:r>
      <w:r>
        <w:t xml:space="preserve">, September 25, 2017, accessed November 1, 2020, </w:t>
      </w:r>
      <w:r w:rsidRPr="007875B0">
        <w:t>https://financialpost.com/business/koho-locks-down-8m-investment-from-desmarais-backed-venture-fund</w:t>
      </w:r>
      <w:r>
        <w:t>.</w:t>
      </w:r>
    </w:p>
  </w:endnote>
  <w:endnote w:id="5">
    <w:p w14:paraId="5C533DC3" w14:textId="76D53AA9" w:rsidR="00790ABB" w:rsidRPr="00840E6B" w:rsidRDefault="00790ABB" w:rsidP="00D7635F">
      <w:pPr>
        <w:pStyle w:val="Footnote"/>
      </w:pPr>
      <w:r w:rsidRPr="00533EBE">
        <w:rPr>
          <w:rStyle w:val="EndnoteReference"/>
          <w:sz w:val="18"/>
          <w:szCs w:val="18"/>
        </w:rPr>
        <w:endnoteRef/>
      </w:r>
      <w:r w:rsidRPr="00533EBE">
        <w:rPr>
          <w:sz w:val="18"/>
          <w:szCs w:val="18"/>
        </w:rPr>
        <w:t xml:space="preserve"> </w:t>
      </w:r>
      <w:r w:rsidRPr="00840E6B">
        <w:t>“</w:t>
      </w:r>
      <w:proofErr w:type="spellStart"/>
      <w:r w:rsidRPr="00840E6B">
        <w:t>Koho</w:t>
      </w:r>
      <w:proofErr w:type="spellEnd"/>
      <w:r w:rsidRPr="00840E6B">
        <w:t xml:space="preserve"> to Offer No-Fee, Mobile Banking Services to Millennials; Reaches Agreements with Visa, Peoples Trust and Galileo,” </w:t>
      </w:r>
      <w:r>
        <w:t>T-Net</w:t>
      </w:r>
      <w:r w:rsidRPr="00840E6B">
        <w:t xml:space="preserve">, November </w:t>
      </w:r>
      <w:r>
        <w:t xml:space="preserve">27, </w:t>
      </w:r>
      <w:r w:rsidRPr="00840E6B">
        <w:t>2015, accessed March 29, 2020, www.bctechnology.com/news/2015/11/27/Koho-to-Offer-No-Fee-Mobile-Banking-Services-to-Millennials-Reaches-Agreements-with-Visa-Peoples-Trust-and-Galileo.cfm.</w:t>
      </w:r>
    </w:p>
  </w:endnote>
  <w:endnote w:id="6">
    <w:p w14:paraId="00754ABE" w14:textId="24BBBD08" w:rsidR="00790ABB" w:rsidRPr="00840E6B" w:rsidRDefault="00790ABB" w:rsidP="00D7635F">
      <w:pPr>
        <w:pStyle w:val="Footnote"/>
      </w:pPr>
      <w:r w:rsidRPr="00840E6B">
        <w:rPr>
          <w:rStyle w:val="EndnoteReference"/>
        </w:rPr>
        <w:endnoteRef/>
      </w:r>
      <w:r w:rsidRPr="00840E6B">
        <w:t xml:space="preserve"> Ingrid </w:t>
      </w:r>
      <w:proofErr w:type="spellStart"/>
      <w:r w:rsidRPr="00840E6B">
        <w:t>Lunden</w:t>
      </w:r>
      <w:proofErr w:type="spellEnd"/>
      <w:r w:rsidRPr="00840E6B">
        <w:t>, “</w:t>
      </w:r>
      <w:proofErr w:type="spellStart"/>
      <w:r w:rsidRPr="00840E6B">
        <w:t>Koho</w:t>
      </w:r>
      <w:proofErr w:type="spellEnd"/>
      <w:r w:rsidRPr="00840E6B">
        <w:t xml:space="preserve">, a </w:t>
      </w:r>
      <w:r w:rsidRPr="00BB04D8">
        <w:t xml:space="preserve">Mobile-Only Suite </w:t>
      </w:r>
      <w:r>
        <w:t>o</w:t>
      </w:r>
      <w:r w:rsidRPr="00BB04D8">
        <w:t xml:space="preserve">f Financial Services </w:t>
      </w:r>
      <w:r>
        <w:t>f</w:t>
      </w:r>
      <w:r w:rsidRPr="00BB04D8">
        <w:t xml:space="preserve">or Millennials, </w:t>
      </w:r>
      <w:proofErr w:type="gramStart"/>
      <w:r w:rsidRPr="00BB04D8">
        <w:t>Launches</w:t>
      </w:r>
      <w:proofErr w:type="gramEnd"/>
      <w:r w:rsidRPr="00840E6B">
        <w:t xml:space="preserve"> in Canada,” TechCrunch, March 16, 2017, accessed March 29, 2020, https://techcrunch.com/2017/03/16/koho-a-mobile-only-suite-of-financial-services-for-millennials-launches-in-canada/.</w:t>
      </w:r>
    </w:p>
  </w:endnote>
  <w:endnote w:id="7">
    <w:p w14:paraId="2EC119E4" w14:textId="09F2997F" w:rsidR="00790ABB" w:rsidRPr="00840E6B" w:rsidRDefault="00790ABB" w:rsidP="00D7635F">
      <w:pPr>
        <w:pStyle w:val="Footnote"/>
      </w:pPr>
      <w:r w:rsidRPr="00840E6B">
        <w:rPr>
          <w:rStyle w:val="EndnoteReference"/>
        </w:rPr>
        <w:endnoteRef/>
      </w:r>
      <w:r w:rsidRPr="00840E6B">
        <w:t xml:space="preserve"> </w:t>
      </w:r>
      <w:r>
        <w:t xml:space="preserve">“A New Era of Banking: Say Hello to Financial Balance and Goodbye to Credit Card Interest and Surprising Bank Fees,” </w:t>
      </w:r>
      <w:proofErr w:type="spellStart"/>
      <w:r w:rsidRPr="00840E6B">
        <w:t>Koho</w:t>
      </w:r>
      <w:proofErr w:type="spellEnd"/>
      <w:r w:rsidRPr="00840E6B">
        <w:t>, accessed March 25, 2020, www.koho.ca/.</w:t>
      </w:r>
    </w:p>
  </w:endnote>
  <w:endnote w:id="8">
    <w:p w14:paraId="410B0284" w14:textId="58E6488C" w:rsidR="00790ABB" w:rsidRPr="00BB04D8" w:rsidRDefault="00790ABB" w:rsidP="00D7635F">
      <w:pPr>
        <w:pStyle w:val="Footnote"/>
      </w:pPr>
      <w:r w:rsidRPr="00840E6B">
        <w:rPr>
          <w:rStyle w:val="EndnoteReference"/>
        </w:rPr>
        <w:endnoteRef/>
      </w:r>
      <w:r w:rsidRPr="00840E6B">
        <w:t xml:space="preserve"> Douglas </w:t>
      </w:r>
      <w:proofErr w:type="spellStart"/>
      <w:r w:rsidRPr="00840E6B">
        <w:t>Soltys</w:t>
      </w:r>
      <w:proofErr w:type="spellEnd"/>
      <w:r w:rsidRPr="00840E6B">
        <w:t>, “</w:t>
      </w:r>
      <w:proofErr w:type="spellStart"/>
      <w:r w:rsidRPr="00840E6B">
        <w:t>Koho</w:t>
      </w:r>
      <w:proofErr w:type="spellEnd"/>
      <w:r w:rsidRPr="00840E6B">
        <w:t xml:space="preserve"> Secures Partnersh</w:t>
      </w:r>
      <w:r>
        <w:t>i</w:t>
      </w:r>
      <w:r w:rsidRPr="00840E6B">
        <w:t xml:space="preserve">ps with Visa, Others, as Company Preps to Launch Millennial Banking in Canada,” </w:t>
      </w:r>
      <w:proofErr w:type="spellStart"/>
      <w:r w:rsidRPr="00840E6B">
        <w:t>Betakit</w:t>
      </w:r>
      <w:proofErr w:type="spellEnd"/>
      <w:r w:rsidRPr="00840E6B">
        <w:t xml:space="preserve">, November 26, 2015, accessed April 1, 2020, https://betakit.com/koho-secures-partnerships-with-visa-others-as-company-preps-to-launch-millennial-banking-in-canada/. </w:t>
      </w:r>
    </w:p>
  </w:endnote>
  <w:endnote w:id="9">
    <w:p w14:paraId="5E6C5A41" w14:textId="5EB44CD1" w:rsidR="00790ABB" w:rsidRPr="00840E6B" w:rsidRDefault="00790ABB" w:rsidP="00D7635F">
      <w:pPr>
        <w:pStyle w:val="Footnote"/>
      </w:pPr>
      <w:r w:rsidRPr="00840E6B">
        <w:rPr>
          <w:rStyle w:val="EndnoteReference"/>
        </w:rPr>
        <w:endnoteRef/>
      </w:r>
      <w:r w:rsidRPr="00840E6B">
        <w:t xml:space="preserve"> </w:t>
      </w:r>
      <w:r>
        <w:t xml:space="preserve">“A New Era of Banking,” op. cit. </w:t>
      </w:r>
    </w:p>
  </w:endnote>
  <w:endnote w:id="10">
    <w:p w14:paraId="7DCF5F1A" w14:textId="6AD6654D" w:rsidR="00790ABB" w:rsidRPr="00840E6B" w:rsidRDefault="00790ABB" w:rsidP="00D7635F">
      <w:pPr>
        <w:pStyle w:val="Footnote"/>
      </w:pPr>
      <w:r w:rsidRPr="00840E6B">
        <w:rPr>
          <w:rStyle w:val="EndnoteReference"/>
        </w:rPr>
        <w:endnoteRef/>
      </w:r>
      <w:r w:rsidRPr="00840E6B">
        <w:t xml:space="preserve"> </w:t>
      </w:r>
      <w:r w:rsidRPr="006C7911">
        <w:t>Joe Castaldo</w:t>
      </w:r>
      <w:r>
        <w:t xml:space="preserve">, </w:t>
      </w:r>
      <w:r w:rsidRPr="00840E6B">
        <w:t xml:space="preserve">“How </w:t>
      </w:r>
      <w:proofErr w:type="spellStart"/>
      <w:r w:rsidRPr="00840E6B">
        <w:t>Koho</w:t>
      </w:r>
      <w:proofErr w:type="spellEnd"/>
      <w:r w:rsidRPr="00840E6B">
        <w:t xml:space="preserve"> Plans to Put Millennials’ Money in the Bank,” </w:t>
      </w:r>
      <w:r w:rsidRPr="00840E6B">
        <w:rPr>
          <w:i/>
        </w:rPr>
        <w:t>Canadian Business</w:t>
      </w:r>
      <w:r w:rsidRPr="00840E6B">
        <w:t>, January 27, 2015, accessed April 2, 2020, www.canadianbusiness.com/innovation/how-koho-plans-to-put-millennials-money-in-the-bank/</w:t>
      </w:r>
      <w:r w:rsidRPr="00840E6B">
        <w:rPr>
          <w:rStyle w:val="Hyperlink"/>
          <w:color w:val="auto"/>
          <w:u w:val="none"/>
        </w:rPr>
        <w:t>.</w:t>
      </w:r>
    </w:p>
  </w:endnote>
  <w:endnote w:id="11">
    <w:p w14:paraId="49C29B28" w14:textId="1F1950E6" w:rsidR="00605CFF" w:rsidRPr="00DC40B3" w:rsidRDefault="00605CFF" w:rsidP="00605CFF">
      <w:pPr>
        <w:pStyle w:val="Footnote"/>
        <w:rPr>
          <w:spacing w:val="-6"/>
          <w:kern w:val="17"/>
        </w:rPr>
      </w:pPr>
      <w:r w:rsidRPr="00DC40B3">
        <w:rPr>
          <w:rStyle w:val="EndnoteReference"/>
          <w:spacing w:val="-6"/>
          <w:kern w:val="17"/>
        </w:rPr>
        <w:endnoteRef/>
      </w:r>
      <w:r w:rsidRPr="00DC40B3">
        <w:rPr>
          <w:spacing w:val="-6"/>
          <w:kern w:val="17"/>
        </w:rPr>
        <w:t xml:space="preserve"> </w:t>
      </w:r>
      <w:r w:rsidR="004353FA" w:rsidRPr="00DC40B3">
        <w:rPr>
          <w:spacing w:val="-6"/>
          <w:kern w:val="17"/>
        </w:rPr>
        <w:t xml:space="preserve">"What is my Spendable?" </w:t>
      </w:r>
      <w:proofErr w:type="spellStart"/>
      <w:r w:rsidR="004353FA" w:rsidRPr="00DC40B3">
        <w:rPr>
          <w:spacing w:val="-6"/>
          <w:kern w:val="17"/>
        </w:rPr>
        <w:t>Koho</w:t>
      </w:r>
      <w:proofErr w:type="spellEnd"/>
      <w:r w:rsidR="004353FA" w:rsidRPr="00DC40B3">
        <w:rPr>
          <w:spacing w:val="-6"/>
          <w:kern w:val="17"/>
        </w:rPr>
        <w:t>, accessed February 3, 2021, https://help.koho.ca/en/articles/1506801-what-is-my-spendable</w:t>
      </w:r>
      <w:r w:rsidR="007D5B09" w:rsidRPr="00DC40B3">
        <w:rPr>
          <w:spacing w:val="-6"/>
          <w:kern w:val="17"/>
        </w:rPr>
        <w:t>.</w:t>
      </w:r>
    </w:p>
  </w:endnote>
  <w:endnote w:id="12">
    <w:p w14:paraId="17807371" w14:textId="1B77A557" w:rsidR="00790ABB" w:rsidRPr="00840E6B" w:rsidRDefault="00790ABB" w:rsidP="00D7635F">
      <w:pPr>
        <w:pStyle w:val="Footnote"/>
      </w:pPr>
      <w:r w:rsidRPr="00840E6B">
        <w:rPr>
          <w:rStyle w:val="EndnoteReference"/>
        </w:rPr>
        <w:endnoteRef/>
      </w:r>
      <w:r w:rsidRPr="00840E6B">
        <w:t xml:space="preserve"> </w:t>
      </w:r>
      <w:proofErr w:type="spellStart"/>
      <w:r w:rsidRPr="00DD550D">
        <w:t>Koho</w:t>
      </w:r>
      <w:proofErr w:type="spellEnd"/>
      <w:r w:rsidRPr="00DD550D">
        <w:t>, “KOHO Launches What The Fee - A Tool to Help Canadians Find Hidden Bank Fees,” GlobeNewswire, April 11, 2019, accessed December 2, 2020, www.globenewswire.com/news-release/2019/04/11/1802579/0/en/KOHO-Launches-What-The-Fee-A-Tool-to-Help-Canadians-Find-Hidden-Bank-Fees.html</w:t>
      </w:r>
      <w:r>
        <w:t xml:space="preserve">; </w:t>
      </w:r>
      <w:r w:rsidRPr="00840E6B">
        <w:t xml:space="preserve">Josh O’Kane, “Toronto </w:t>
      </w:r>
      <w:r>
        <w:t>F</w:t>
      </w:r>
      <w:r w:rsidRPr="00840E6B">
        <w:t xml:space="preserve">intech </w:t>
      </w:r>
      <w:r>
        <w:t>C</w:t>
      </w:r>
      <w:r w:rsidRPr="00840E6B">
        <w:t xml:space="preserve">ompany </w:t>
      </w:r>
      <w:proofErr w:type="spellStart"/>
      <w:r w:rsidRPr="00840E6B">
        <w:t>Koho</w:t>
      </w:r>
      <w:proofErr w:type="spellEnd"/>
      <w:r w:rsidRPr="00840E6B">
        <w:t xml:space="preserve"> Financial </w:t>
      </w:r>
      <w:r>
        <w:t>R</w:t>
      </w:r>
      <w:r w:rsidRPr="00840E6B">
        <w:t>aises $42-</w:t>
      </w:r>
      <w:r>
        <w:t>M</w:t>
      </w:r>
      <w:r w:rsidRPr="00840E6B">
        <w:t xml:space="preserve">illion in </w:t>
      </w:r>
      <w:r>
        <w:t>G</w:t>
      </w:r>
      <w:r w:rsidRPr="00840E6B">
        <w:t xml:space="preserve">rowth </w:t>
      </w:r>
      <w:r>
        <w:t>C</w:t>
      </w:r>
      <w:r w:rsidRPr="00840E6B">
        <w:t xml:space="preserve">apital,” </w:t>
      </w:r>
      <w:r w:rsidRPr="00840E6B">
        <w:rPr>
          <w:i/>
        </w:rPr>
        <w:t>Globe and Mail</w:t>
      </w:r>
      <w:r w:rsidRPr="00840E6B">
        <w:t>, May 15, 2019, accessed March 27, 2020, www.theglobeandmail.com/business/article-toronto-fintech-company-koho-financial-raises-42-million-in-growth/.</w:t>
      </w:r>
    </w:p>
  </w:endnote>
  <w:endnote w:id="13">
    <w:p w14:paraId="35D9676E" w14:textId="39D3C922" w:rsidR="00790ABB" w:rsidRPr="00840E6B" w:rsidRDefault="00790ABB" w:rsidP="00D7635F">
      <w:pPr>
        <w:pStyle w:val="Footnote"/>
      </w:pPr>
      <w:r w:rsidRPr="00840E6B">
        <w:rPr>
          <w:rStyle w:val="EndnoteReference"/>
        </w:rPr>
        <w:endnoteRef/>
      </w:r>
      <w:r w:rsidRPr="00840E6B">
        <w:t xml:space="preserve"> </w:t>
      </w:r>
      <w:r>
        <w:t>Laura</w:t>
      </w:r>
      <w:r w:rsidRPr="00840E6B">
        <w:t xml:space="preserve">, “The Features of KOHO Premium,” </w:t>
      </w:r>
      <w:proofErr w:type="spellStart"/>
      <w:r w:rsidRPr="00840E6B">
        <w:t>Koho</w:t>
      </w:r>
      <w:proofErr w:type="spellEnd"/>
      <w:r w:rsidRPr="00840E6B">
        <w:t xml:space="preserve">, </w:t>
      </w:r>
      <w:r>
        <w:t xml:space="preserve">updated, </w:t>
      </w:r>
      <w:r w:rsidRPr="00840E6B">
        <w:t>accessed April 1, 2020, https://help.koho.ca/en/articles/3039797-the-features-of-koho-premium</w:t>
      </w:r>
      <w:r w:rsidRPr="00840E6B">
        <w:rPr>
          <w:rStyle w:val="Hyperlink"/>
          <w:color w:val="auto"/>
          <w:u w:val="none"/>
        </w:rPr>
        <w:t>.</w:t>
      </w:r>
    </w:p>
  </w:endnote>
  <w:endnote w:id="14">
    <w:p w14:paraId="7061B555" w14:textId="465D952B" w:rsidR="00790ABB" w:rsidRPr="00840E6B" w:rsidRDefault="00790ABB" w:rsidP="00D7635F">
      <w:pPr>
        <w:pStyle w:val="Footnote"/>
      </w:pPr>
      <w:r w:rsidRPr="00840E6B">
        <w:rPr>
          <w:rStyle w:val="EndnoteReference"/>
        </w:rPr>
        <w:endnoteRef/>
      </w:r>
      <w:r w:rsidRPr="00840E6B">
        <w:t xml:space="preserve"> “</w:t>
      </w:r>
      <w:proofErr w:type="spellStart"/>
      <w:r w:rsidRPr="00840E6B">
        <w:t>Koho</w:t>
      </w:r>
      <w:proofErr w:type="spellEnd"/>
      <w:r>
        <w:t xml:space="preserve"> Financial</w:t>
      </w:r>
      <w:r w:rsidRPr="00840E6B">
        <w:t>,” op. cit</w:t>
      </w:r>
      <w:r>
        <w:t>.</w:t>
      </w:r>
    </w:p>
  </w:endnote>
  <w:endnote w:id="15">
    <w:p w14:paraId="6F767DEE" w14:textId="50A3B231" w:rsidR="00790ABB" w:rsidRPr="00840E6B" w:rsidRDefault="00790ABB" w:rsidP="00D7635F">
      <w:pPr>
        <w:pStyle w:val="Footnote"/>
      </w:pPr>
      <w:r w:rsidRPr="00840E6B">
        <w:rPr>
          <w:rStyle w:val="EndnoteReference"/>
        </w:rPr>
        <w:endnoteRef/>
      </w:r>
      <w:r w:rsidRPr="00840E6B">
        <w:t xml:space="preserve"> “Visa Canada Interchange Reimbursement Fees,” Visa, accessed April 3, 2020, www.visa.ca/dam/VCOM/regional/na/canada/Support/Documents/visa-interchange-rates-october-2016-en.pdf.</w:t>
      </w:r>
    </w:p>
  </w:endnote>
  <w:endnote w:id="16">
    <w:p w14:paraId="2FC9FDA3" w14:textId="64A3148E" w:rsidR="00790ABB" w:rsidRPr="00840E6B" w:rsidRDefault="00790ABB" w:rsidP="00D7635F">
      <w:pPr>
        <w:pStyle w:val="Footnote"/>
      </w:pPr>
      <w:r w:rsidRPr="00840E6B">
        <w:rPr>
          <w:rStyle w:val="EndnoteReference"/>
        </w:rPr>
        <w:endnoteRef/>
      </w:r>
      <w:r w:rsidRPr="00840E6B">
        <w:t xml:space="preserve"> Charlie Smith, “</w:t>
      </w:r>
      <w:proofErr w:type="spellStart"/>
      <w:r w:rsidRPr="00840E6B">
        <w:t>Koho</w:t>
      </w:r>
      <w:proofErr w:type="spellEnd"/>
      <w:r w:rsidRPr="00840E6B">
        <w:t xml:space="preserve"> CEO Daniel Eberhard </w:t>
      </w:r>
      <w:r>
        <w:t>B</w:t>
      </w:r>
      <w:r w:rsidRPr="00840E6B">
        <w:t xml:space="preserve">anks on </w:t>
      </w:r>
      <w:r>
        <w:t>M</w:t>
      </w:r>
      <w:r w:rsidRPr="00840E6B">
        <w:t xml:space="preserve">illennials </w:t>
      </w:r>
      <w:r>
        <w:t>W</w:t>
      </w:r>
      <w:r w:rsidRPr="00840E6B">
        <w:t xml:space="preserve">ho </w:t>
      </w:r>
      <w:r>
        <w:t>W</w:t>
      </w:r>
      <w:r w:rsidRPr="00840E6B">
        <w:t xml:space="preserve">ant to </w:t>
      </w:r>
      <w:r>
        <w:t>A</w:t>
      </w:r>
      <w:r w:rsidRPr="00840E6B">
        <w:t xml:space="preserve">void </w:t>
      </w:r>
      <w:r>
        <w:t>P</w:t>
      </w:r>
      <w:r w:rsidRPr="00840E6B">
        <w:t xml:space="preserve">esky </w:t>
      </w:r>
      <w:r>
        <w:t>F</w:t>
      </w:r>
      <w:r w:rsidRPr="00840E6B">
        <w:t xml:space="preserve">ees,” </w:t>
      </w:r>
      <w:r w:rsidRPr="00840E6B">
        <w:rPr>
          <w:i/>
        </w:rPr>
        <w:t>Georgia Straight</w:t>
      </w:r>
      <w:r w:rsidRPr="00840E6B">
        <w:t xml:space="preserve">, December 2, 2015, accessed April 2, 2020, www.straight.com/life/588486/koho-ceo-daniel-eberhard-banks-millennials-who-want-avoid-pesky-fees. </w:t>
      </w:r>
    </w:p>
  </w:endnote>
  <w:endnote w:id="17">
    <w:p w14:paraId="73141886" w14:textId="5F5867E5" w:rsidR="00790ABB" w:rsidRPr="00840E6B" w:rsidRDefault="00790ABB" w:rsidP="00D7635F">
      <w:pPr>
        <w:pStyle w:val="Footnote"/>
      </w:pPr>
      <w:r w:rsidRPr="00840E6B">
        <w:rPr>
          <w:rStyle w:val="EndnoteReference"/>
        </w:rPr>
        <w:endnoteRef/>
      </w:r>
      <w:r w:rsidRPr="00840E6B">
        <w:t xml:space="preserve"> </w:t>
      </w:r>
      <w:r>
        <w:t>Laura</w:t>
      </w:r>
      <w:r w:rsidRPr="00840E6B">
        <w:t xml:space="preserve">, “How Do You Make Your </w:t>
      </w:r>
      <w:proofErr w:type="gramStart"/>
      <w:r w:rsidRPr="00840E6B">
        <w:t>Money?,</w:t>
      </w:r>
      <w:proofErr w:type="gramEnd"/>
      <w:r w:rsidRPr="00840E6B">
        <w:t xml:space="preserve">” </w:t>
      </w:r>
      <w:proofErr w:type="spellStart"/>
      <w:r w:rsidRPr="00840E6B">
        <w:t>Koho</w:t>
      </w:r>
      <w:proofErr w:type="spellEnd"/>
      <w:r w:rsidRPr="00840E6B">
        <w:t xml:space="preserve">, </w:t>
      </w:r>
      <w:r>
        <w:t>updated</w:t>
      </w:r>
      <w:r w:rsidRPr="00840E6B">
        <w:t>, accessed April 4, 2020, https://help.koho.ca/en/articles/1944187-how-do-you-make-your-money.</w:t>
      </w:r>
    </w:p>
  </w:endnote>
  <w:endnote w:id="18">
    <w:p w14:paraId="1C3474A4" w14:textId="7EF566B2" w:rsidR="00790ABB" w:rsidRPr="00840E6B" w:rsidRDefault="00790ABB" w:rsidP="001A6E9F">
      <w:pPr>
        <w:pStyle w:val="Footnote"/>
      </w:pPr>
      <w:r w:rsidRPr="00840E6B">
        <w:rPr>
          <w:rStyle w:val="EndnoteReference"/>
        </w:rPr>
        <w:endnoteRef/>
      </w:r>
      <w:r w:rsidRPr="00840E6B">
        <w:t xml:space="preserve"> </w:t>
      </w:r>
      <w:r>
        <w:t xml:space="preserve">Gustav </w:t>
      </w:r>
      <w:proofErr w:type="spellStart"/>
      <w:r>
        <w:t>Korobov</w:t>
      </w:r>
      <w:proofErr w:type="spellEnd"/>
      <w:r>
        <w:t>, “</w:t>
      </w:r>
      <w:r w:rsidRPr="00AD787E">
        <w:t xml:space="preserve">Open Banking as a World of </w:t>
      </w:r>
      <w:r>
        <w:t>O</w:t>
      </w:r>
      <w:r w:rsidRPr="00AD787E">
        <w:t xml:space="preserve">pen </w:t>
      </w:r>
      <w:r>
        <w:t>O</w:t>
      </w:r>
      <w:r w:rsidRPr="00AD787E">
        <w:t xml:space="preserve">pportunities and </w:t>
      </w:r>
      <w:r>
        <w:t>H</w:t>
      </w:r>
      <w:r w:rsidRPr="00AD787E">
        <w:t xml:space="preserve">idden </w:t>
      </w:r>
      <w:r>
        <w:t>R</w:t>
      </w:r>
      <w:r w:rsidRPr="00AD787E">
        <w:t>isks</w:t>
      </w:r>
      <w:r>
        <w:t xml:space="preserve">,” </w:t>
      </w:r>
      <w:proofErr w:type="spellStart"/>
      <w:r>
        <w:t>Finextra</w:t>
      </w:r>
      <w:proofErr w:type="spellEnd"/>
      <w:r>
        <w:t xml:space="preserve">, June 12, 2020, accessed December 2, 2020, </w:t>
      </w:r>
      <w:r w:rsidRPr="00AD787E">
        <w:t>www.finextra.com/blogposting/18875/open-banking-as-a-world-of-open-opportunities-and-hidden-risks</w:t>
      </w:r>
      <w:r>
        <w:t>.</w:t>
      </w:r>
    </w:p>
  </w:endnote>
  <w:endnote w:id="19">
    <w:p w14:paraId="64FDC35D" w14:textId="4CA552E7" w:rsidR="00790ABB" w:rsidRPr="00840E6B" w:rsidRDefault="00790ABB" w:rsidP="00D7635F">
      <w:pPr>
        <w:pStyle w:val="Footnote"/>
      </w:pPr>
      <w:r w:rsidRPr="00840E6B">
        <w:rPr>
          <w:rStyle w:val="EndnoteReference"/>
        </w:rPr>
        <w:endnoteRef/>
      </w:r>
      <w:r w:rsidRPr="00840E6B">
        <w:t xml:space="preserve"> Sandrine </w:t>
      </w:r>
      <w:proofErr w:type="spellStart"/>
      <w:r w:rsidRPr="00840E6B">
        <w:t>Rastello</w:t>
      </w:r>
      <w:proofErr w:type="spellEnd"/>
      <w:r w:rsidRPr="00840E6B">
        <w:t>, “Desmarais-</w:t>
      </w:r>
      <w:r w:rsidRPr="00BB04D8">
        <w:t xml:space="preserve">Backed Fintech Pokes </w:t>
      </w:r>
      <w:r>
        <w:t>t</w:t>
      </w:r>
      <w:r w:rsidRPr="00BB04D8">
        <w:t xml:space="preserve">he Big Banks </w:t>
      </w:r>
      <w:r>
        <w:t>o</w:t>
      </w:r>
      <w:r w:rsidRPr="00BB04D8">
        <w:t>n Fees</w:t>
      </w:r>
      <w:r w:rsidRPr="00840E6B">
        <w:t xml:space="preserve">,” BNN Bloomberg, April 10, 2019, accessed April 3, 2020, www.bnnbloomberg.ca/desmarais-backed-fintech-pokes-the-big-banks-on-fees-1.1242325. </w:t>
      </w:r>
    </w:p>
  </w:endnote>
  <w:endnote w:id="20">
    <w:p w14:paraId="763CBC32" w14:textId="73A55BE6" w:rsidR="00790ABB" w:rsidRPr="00840E6B" w:rsidRDefault="00790ABB" w:rsidP="00D7635F">
      <w:pPr>
        <w:pStyle w:val="Footnote"/>
      </w:pPr>
      <w:r w:rsidRPr="00840E6B">
        <w:rPr>
          <w:rStyle w:val="EndnoteReference"/>
        </w:rPr>
        <w:endnoteRef/>
      </w:r>
      <w:r w:rsidRPr="00840E6B">
        <w:t xml:space="preserve"> Justin </w:t>
      </w:r>
      <w:proofErr w:type="spellStart"/>
      <w:r w:rsidRPr="00840E6B">
        <w:t>Dallaire</w:t>
      </w:r>
      <w:proofErr w:type="spellEnd"/>
      <w:r w:rsidRPr="00840E6B">
        <w:t>, “</w:t>
      </w:r>
      <w:proofErr w:type="spellStart"/>
      <w:r w:rsidRPr="00840E6B">
        <w:t>Koho</w:t>
      </w:r>
      <w:proofErr w:type="spellEnd"/>
      <w:r w:rsidRPr="00840E6B">
        <w:t xml:space="preserve"> </w:t>
      </w:r>
      <w:r w:rsidRPr="00BB04D8">
        <w:t xml:space="preserve">Aims </w:t>
      </w:r>
      <w:r>
        <w:t>t</w:t>
      </w:r>
      <w:r w:rsidRPr="00BB04D8">
        <w:t>o Awaken Loyal Bank Customers</w:t>
      </w:r>
      <w:r w:rsidRPr="00840E6B">
        <w:t xml:space="preserve">,” Strategy Online, July </w:t>
      </w:r>
      <w:r>
        <w:t>3</w:t>
      </w:r>
      <w:r w:rsidRPr="00840E6B">
        <w:t>0, 2018, accessed April 10, 2020, https://strategyonline.ca/2018/07/30/koho-aims-to-awaken-loyal-bank-customers/.</w:t>
      </w:r>
    </w:p>
  </w:endnote>
  <w:endnote w:id="21">
    <w:p w14:paraId="006B0686" w14:textId="463FA0D7" w:rsidR="002C24DD" w:rsidRPr="00840E6B" w:rsidRDefault="002C24DD" w:rsidP="002C24DD">
      <w:pPr>
        <w:pStyle w:val="Footnote"/>
      </w:pPr>
      <w:r w:rsidRPr="00840E6B">
        <w:rPr>
          <w:rStyle w:val="EndnoteReference"/>
        </w:rPr>
        <w:endnoteRef/>
      </w:r>
      <w:r w:rsidRPr="00840E6B">
        <w:t xml:space="preserve"> </w:t>
      </w:r>
      <w:proofErr w:type="spellStart"/>
      <w:r w:rsidRPr="002C24DD">
        <w:t>Silvi</w:t>
      </w:r>
      <w:proofErr w:type="spellEnd"/>
      <w:r w:rsidRPr="002C24DD">
        <w:t xml:space="preserve"> </w:t>
      </w:r>
      <w:proofErr w:type="spellStart"/>
      <w:r w:rsidRPr="002C24DD">
        <w:t>Pukitis</w:t>
      </w:r>
      <w:proofErr w:type="spellEnd"/>
      <w:r>
        <w:t>, “</w:t>
      </w:r>
      <w:r w:rsidRPr="002C24DD">
        <w:t>Anyone can invest like a pro</w:t>
      </w:r>
      <w:r>
        <w:t xml:space="preserve">,” </w:t>
      </w:r>
      <w:proofErr w:type="spellStart"/>
      <w:r>
        <w:t>Koho</w:t>
      </w:r>
      <w:proofErr w:type="spellEnd"/>
      <w:r>
        <w:t xml:space="preserve">, accessed February 3, 2021, </w:t>
      </w:r>
      <w:r w:rsidRPr="002C24DD">
        <w:t>https://www.koho.ca/learn/investing/</w:t>
      </w:r>
      <w:r>
        <w:t>.</w:t>
      </w:r>
    </w:p>
  </w:endnote>
  <w:endnote w:id="22">
    <w:p w14:paraId="130CBC35" w14:textId="4686D21E" w:rsidR="00790ABB" w:rsidRPr="00840E6B" w:rsidRDefault="00790ABB" w:rsidP="00D7635F">
      <w:pPr>
        <w:pStyle w:val="Footnote"/>
      </w:pPr>
      <w:r w:rsidRPr="00840E6B">
        <w:rPr>
          <w:rStyle w:val="EndnoteReference"/>
        </w:rPr>
        <w:endnoteRef/>
      </w:r>
      <w:r w:rsidRPr="00840E6B">
        <w:t xml:space="preserve"> </w:t>
      </w:r>
      <w:proofErr w:type="spellStart"/>
      <w:r w:rsidRPr="00BB04D8">
        <w:t>Lunden</w:t>
      </w:r>
      <w:proofErr w:type="spellEnd"/>
      <w:r w:rsidRPr="00840E6B">
        <w:t>, op</w:t>
      </w:r>
      <w:r>
        <w:t>.</w:t>
      </w:r>
      <w:r w:rsidRPr="00840E6B">
        <w:t xml:space="preserve"> cit.</w:t>
      </w:r>
    </w:p>
  </w:endnote>
  <w:endnote w:id="23">
    <w:p w14:paraId="6A9D0269" w14:textId="77777777" w:rsidR="00790ABB" w:rsidRPr="00840E6B" w:rsidRDefault="00790ABB" w:rsidP="00D7635F">
      <w:pPr>
        <w:pStyle w:val="Footnote"/>
      </w:pPr>
      <w:r w:rsidRPr="00840E6B">
        <w:rPr>
          <w:rStyle w:val="EndnoteReference"/>
        </w:rPr>
        <w:endnoteRef/>
      </w:r>
      <w:r w:rsidRPr="00840E6B">
        <w:t xml:space="preserve"> Ibid.</w:t>
      </w:r>
    </w:p>
  </w:endnote>
  <w:endnote w:id="24">
    <w:p w14:paraId="24726916" w14:textId="3D37B013" w:rsidR="00790ABB" w:rsidRPr="00840E6B" w:rsidRDefault="00790ABB" w:rsidP="00D7635F">
      <w:pPr>
        <w:pStyle w:val="Footnote"/>
      </w:pPr>
      <w:r w:rsidRPr="00840E6B">
        <w:rPr>
          <w:rStyle w:val="EndnoteReference"/>
        </w:rPr>
        <w:endnoteRef/>
      </w:r>
      <w:r w:rsidRPr="00840E6B">
        <w:t xml:space="preserve"> “Create a </w:t>
      </w:r>
      <w:r>
        <w:t>L</w:t>
      </w:r>
      <w:r w:rsidRPr="00840E6B">
        <w:t xml:space="preserve">ookalike </w:t>
      </w:r>
      <w:r>
        <w:t>A</w:t>
      </w:r>
      <w:r w:rsidRPr="00840E6B">
        <w:t xml:space="preserve">udience from a Custom Audience,” </w:t>
      </w:r>
      <w:proofErr w:type="spellStart"/>
      <w:r>
        <w:t>f</w:t>
      </w:r>
      <w:r w:rsidRPr="00840E6B">
        <w:t>acebook</w:t>
      </w:r>
      <w:proofErr w:type="spellEnd"/>
      <w:r>
        <w:t xml:space="preserve"> business</w:t>
      </w:r>
      <w:r w:rsidRPr="00840E6B">
        <w:t>, accessed April 16, 2020, www.facebook.com/business/a/custom-to-lookalike-audiences.</w:t>
      </w:r>
    </w:p>
  </w:endnote>
  <w:endnote w:id="25">
    <w:p w14:paraId="54363CE5" w14:textId="0A513F9E" w:rsidR="00790ABB" w:rsidRPr="00840E6B" w:rsidRDefault="00790ABB" w:rsidP="00D7635F">
      <w:pPr>
        <w:pStyle w:val="Footnote"/>
      </w:pPr>
      <w:r w:rsidRPr="00840E6B">
        <w:rPr>
          <w:rStyle w:val="EndnoteReference"/>
        </w:rPr>
        <w:endnoteRef/>
      </w:r>
      <w:r w:rsidRPr="00840E6B">
        <w:t xml:space="preserve"> Douglas </w:t>
      </w:r>
      <w:proofErr w:type="spellStart"/>
      <w:r w:rsidRPr="00840E6B">
        <w:t>Soltys</w:t>
      </w:r>
      <w:proofErr w:type="spellEnd"/>
      <w:r w:rsidRPr="00840E6B">
        <w:t xml:space="preserve">, </w:t>
      </w:r>
      <w:r>
        <w:t>“</w:t>
      </w:r>
      <w:r w:rsidRPr="00840E6B">
        <w:t xml:space="preserve">KOHO Raises $42 Million Series B </w:t>
      </w:r>
      <w:r>
        <w:t xml:space="preserve">Inside </w:t>
      </w:r>
      <w:r w:rsidRPr="00840E6B">
        <w:t>Round Led by Portag3 Ventures</w:t>
      </w:r>
      <w:r>
        <w:t>,”</w:t>
      </w:r>
      <w:r w:rsidRPr="00840E6B">
        <w:t xml:space="preserve"> </w:t>
      </w:r>
      <w:proofErr w:type="spellStart"/>
      <w:r w:rsidRPr="00840E6B">
        <w:t>Betakit</w:t>
      </w:r>
      <w:proofErr w:type="spellEnd"/>
      <w:r w:rsidRPr="00840E6B">
        <w:t>, May 15, 2019, accessed April 13, 2020, https://betakit.com/koho-raises-42-million-series-b-inside-round-led-by-portag3-ventures/.</w:t>
      </w:r>
    </w:p>
  </w:endnote>
  <w:endnote w:id="26">
    <w:p w14:paraId="3FCAF71B" w14:textId="1C6AA751" w:rsidR="00790ABB" w:rsidRPr="00840E6B" w:rsidRDefault="00790ABB" w:rsidP="00D7635F">
      <w:pPr>
        <w:pStyle w:val="Footnote"/>
      </w:pPr>
      <w:r w:rsidRPr="00840E6B">
        <w:rPr>
          <w:rStyle w:val="EndnoteReference"/>
        </w:rPr>
        <w:endnoteRef/>
      </w:r>
      <w:r w:rsidRPr="00840E6B">
        <w:t xml:space="preserve"> Bob </w:t>
      </w:r>
      <w:proofErr w:type="spellStart"/>
      <w:r w:rsidRPr="00840E6B">
        <w:t>Zider</w:t>
      </w:r>
      <w:proofErr w:type="spellEnd"/>
      <w:r>
        <w:t xml:space="preserve"> and Hal R. Varian</w:t>
      </w:r>
      <w:r w:rsidRPr="00840E6B">
        <w:t xml:space="preserve">, “How Venture Capital Works,” </w:t>
      </w:r>
      <w:r w:rsidRPr="00840E6B">
        <w:rPr>
          <w:i/>
        </w:rPr>
        <w:t>Harvard Business Review</w:t>
      </w:r>
      <w:r w:rsidRPr="00840E6B">
        <w:t xml:space="preserve">, </w:t>
      </w:r>
      <w:r>
        <w:t xml:space="preserve">November </w:t>
      </w:r>
      <w:r w:rsidRPr="00840E6B">
        <w:t>1998</w:t>
      </w:r>
      <w:r>
        <w:t>, 1–9. Available from Ivey Publishing, product no. 98611.</w:t>
      </w:r>
    </w:p>
  </w:endnote>
  <w:endnote w:id="27">
    <w:p w14:paraId="68769F72" w14:textId="3CDA7462" w:rsidR="00790ABB" w:rsidRPr="00840E6B" w:rsidRDefault="00790ABB" w:rsidP="00D7635F">
      <w:pPr>
        <w:pStyle w:val="Footnote"/>
      </w:pPr>
      <w:r w:rsidRPr="00840E6B">
        <w:rPr>
          <w:rStyle w:val="EndnoteReference"/>
        </w:rPr>
        <w:endnoteRef/>
      </w:r>
      <w:r w:rsidRPr="00840E6B">
        <w:t xml:space="preserve"> Adam Hayes, “Exit Strategy,” Investopedia, March 26, 2020, accessed April 1, 2020, www.investopedia.com/terms/e/exitstrategy.asp.</w:t>
      </w:r>
    </w:p>
  </w:endnote>
  <w:endnote w:id="28">
    <w:p w14:paraId="29CFD40C" w14:textId="5F61549F" w:rsidR="00790ABB" w:rsidRPr="00840E6B" w:rsidRDefault="00790ABB" w:rsidP="00D7635F">
      <w:pPr>
        <w:pStyle w:val="Footnote"/>
      </w:pPr>
      <w:r w:rsidRPr="00840E6B">
        <w:rPr>
          <w:rStyle w:val="EndnoteReference"/>
        </w:rPr>
        <w:endnoteRef/>
      </w:r>
      <w:r w:rsidRPr="00840E6B">
        <w:t xml:space="preserve"> </w:t>
      </w:r>
      <w:r>
        <w:t>Kasasa</w:t>
      </w:r>
      <w:r w:rsidRPr="00840E6B">
        <w:t xml:space="preserve">, </w:t>
      </w:r>
      <w:r>
        <w:t xml:space="preserve">“Executive Summary,” in </w:t>
      </w:r>
      <w:r w:rsidRPr="00840E6B">
        <w:rPr>
          <w:i/>
        </w:rPr>
        <w:t xml:space="preserve">What Motivates Millennials to Switch Financial </w:t>
      </w:r>
      <w:proofErr w:type="gramStart"/>
      <w:r w:rsidRPr="00840E6B">
        <w:rPr>
          <w:i/>
        </w:rPr>
        <w:t>Institutions?,</w:t>
      </w:r>
      <w:proofErr w:type="gramEnd"/>
      <w:r w:rsidRPr="00840E6B">
        <w:rPr>
          <w:i/>
        </w:rPr>
        <w:t xml:space="preserve"> </w:t>
      </w:r>
      <w:r w:rsidRPr="00840E6B">
        <w:t>2016, accessed April 2 2020, www.kasasa.com/hubfs/K.com/Redirect%20Docs/documents/executive-summary/Nielsen_Executive_Summary_2016.pdf.</w:t>
      </w:r>
    </w:p>
  </w:endnote>
  <w:endnote w:id="29">
    <w:p w14:paraId="25069EF6" w14:textId="22A3302A" w:rsidR="00790ABB" w:rsidRPr="00DC40B3" w:rsidRDefault="00790ABB" w:rsidP="00D7635F">
      <w:pPr>
        <w:pStyle w:val="Footnote"/>
        <w:rPr>
          <w:spacing w:val="-4"/>
          <w:kern w:val="17"/>
        </w:rPr>
      </w:pPr>
      <w:r w:rsidRPr="00DC40B3">
        <w:rPr>
          <w:rStyle w:val="EndnoteReference"/>
          <w:spacing w:val="-4"/>
          <w:kern w:val="17"/>
        </w:rPr>
        <w:endnoteRef/>
      </w:r>
      <w:r w:rsidRPr="00DC40B3">
        <w:rPr>
          <w:spacing w:val="-4"/>
          <w:kern w:val="17"/>
        </w:rPr>
        <w:t xml:space="preserve"> Kate Rooney, “After the Crisis, a New Generation Puts Its Trust in Tech over Traditional Banks,” CNBC, September 14, 2018, accessed April 15, 2020, www.cnbc.com/2018/09/14/a-new-generation-puts-its-trust-in-tech-over-traditional-banks.html.</w:t>
      </w:r>
    </w:p>
  </w:endnote>
  <w:endnote w:id="30">
    <w:p w14:paraId="0A0D0B9A" w14:textId="483DD562" w:rsidR="00790ABB" w:rsidRPr="00840E6B" w:rsidRDefault="00790ABB" w:rsidP="00D7635F">
      <w:pPr>
        <w:pStyle w:val="Footnote"/>
      </w:pPr>
      <w:r w:rsidRPr="00840E6B">
        <w:rPr>
          <w:rStyle w:val="EndnoteReference"/>
        </w:rPr>
        <w:endnoteRef/>
      </w:r>
      <w:r>
        <w:t>Selina</w:t>
      </w:r>
      <w:r w:rsidRPr="00840E6B">
        <w:t xml:space="preserve">, “KOHO’s Merchant </w:t>
      </w:r>
      <w:proofErr w:type="spellStart"/>
      <w:r w:rsidRPr="00840E6B">
        <w:t>PowerUp</w:t>
      </w:r>
      <w:proofErr w:type="spellEnd"/>
      <w:r w:rsidRPr="00840E6B">
        <w:t xml:space="preserve"> Program,” </w:t>
      </w:r>
      <w:proofErr w:type="spellStart"/>
      <w:r w:rsidRPr="00840E6B">
        <w:t>Koho</w:t>
      </w:r>
      <w:proofErr w:type="spellEnd"/>
      <w:r w:rsidRPr="00840E6B">
        <w:t xml:space="preserve">, </w:t>
      </w:r>
      <w:r>
        <w:t xml:space="preserve">updated, </w:t>
      </w:r>
      <w:r w:rsidRPr="00840E6B">
        <w:t>accessed April 12, 2020, https://help.koho.c</w:t>
      </w:r>
      <w:bookmarkStart w:id="0" w:name="_GoBack"/>
      <w:bookmarkEnd w:id="0"/>
      <w:r w:rsidRPr="00840E6B">
        <w:t>a/en/articles/3185845-koho-s-merchant-powerup-program.</w:t>
      </w:r>
    </w:p>
  </w:endnote>
  <w:endnote w:id="31">
    <w:p w14:paraId="3182CA52" w14:textId="46A45D4D" w:rsidR="00790ABB" w:rsidRPr="00840E6B" w:rsidRDefault="00790ABB" w:rsidP="00D7635F">
      <w:pPr>
        <w:pStyle w:val="Footnote"/>
      </w:pPr>
      <w:r w:rsidRPr="00840E6B">
        <w:rPr>
          <w:rStyle w:val="EndnoteReference"/>
        </w:rPr>
        <w:endnoteRef/>
      </w:r>
      <w:r w:rsidRPr="00840E6B">
        <w:t xml:space="preserve"> </w:t>
      </w:r>
      <w:proofErr w:type="spellStart"/>
      <w:r w:rsidRPr="00D37549">
        <w:t>Koho</w:t>
      </w:r>
      <w:proofErr w:type="spellEnd"/>
      <w:r>
        <w:t>,</w:t>
      </w:r>
      <w:r w:rsidRPr="00D37549">
        <w:t xml:space="preserve"> </w:t>
      </w:r>
      <w:r w:rsidRPr="00840E6B">
        <w:t xml:space="preserve">“Challenger Bank KOHO Announces 10% Cashback Program to Reward Canadians,” </w:t>
      </w:r>
      <w:r>
        <w:t xml:space="preserve">GlobeNewswire, </w:t>
      </w:r>
      <w:r w:rsidRPr="00840E6B">
        <w:t>July 31, 2019, accessed April 2020, www.globenewswire.com/news-release/2019/07/31/1894595/0/en/Challenger-Bank-KOHO-Announces-10-Cashback-Program-to-Reward-Canadians.html.</w:t>
      </w:r>
    </w:p>
  </w:endnote>
  <w:endnote w:id="32">
    <w:p w14:paraId="48F0A1ED" w14:textId="5E553898" w:rsidR="00790ABB" w:rsidRPr="00840E6B" w:rsidRDefault="00790ABB" w:rsidP="006C1AF3">
      <w:pPr>
        <w:pStyle w:val="Footnote"/>
      </w:pPr>
      <w:r w:rsidRPr="00840E6B">
        <w:rPr>
          <w:rStyle w:val="EndnoteReference"/>
        </w:rPr>
        <w:endnoteRef/>
      </w:r>
      <w:r w:rsidRPr="00840E6B">
        <w:t xml:space="preserve"> </w:t>
      </w:r>
      <w:r>
        <w:t>Marc Navarro,</w:t>
      </w:r>
      <w:r w:rsidRPr="00D37549">
        <w:t xml:space="preserve"> </w:t>
      </w:r>
      <w:r w:rsidRPr="00840E6B">
        <w:t>“</w:t>
      </w:r>
      <w:r>
        <w:t>Open Banking Explained</w:t>
      </w:r>
      <w:r w:rsidRPr="00840E6B">
        <w:t xml:space="preserve">,” </w:t>
      </w:r>
      <w:r>
        <w:t>Strands</w:t>
      </w:r>
      <w:r w:rsidRPr="00840E6B">
        <w:t xml:space="preserve">, </w:t>
      </w:r>
      <w:r>
        <w:t>September 30, 2020</w:t>
      </w:r>
      <w:r w:rsidRPr="00840E6B">
        <w:t xml:space="preserve">, accessed </w:t>
      </w:r>
      <w:r>
        <w:t xml:space="preserve">December 2, </w:t>
      </w:r>
      <w:r w:rsidRPr="00840E6B">
        <w:t xml:space="preserve">2020, </w:t>
      </w:r>
      <w:r w:rsidRPr="00F6169D">
        <w:t>https://blog.strands.com/open-banking-explained</w:t>
      </w:r>
      <w:r w:rsidRPr="00840E6B">
        <w:t>.</w:t>
      </w:r>
    </w:p>
  </w:endnote>
  <w:endnote w:id="33">
    <w:p w14:paraId="5D8DDCF2" w14:textId="44DA5473" w:rsidR="00790ABB" w:rsidRPr="00840E6B" w:rsidRDefault="00790ABB" w:rsidP="009B610B">
      <w:pPr>
        <w:pStyle w:val="Footnote"/>
      </w:pPr>
      <w:r w:rsidRPr="00840E6B">
        <w:rPr>
          <w:rStyle w:val="EndnoteReference"/>
        </w:rPr>
        <w:endnoteRef/>
      </w:r>
      <w:r w:rsidRPr="00840E6B">
        <w:t xml:space="preserve"> </w:t>
      </w:r>
      <w:r>
        <w:t>“</w:t>
      </w:r>
      <w:r w:rsidRPr="00DD7153">
        <w:t>O</w:t>
      </w:r>
      <w:r>
        <w:t xml:space="preserve">pen Banking: Pros and Cons,” </w:t>
      </w:r>
      <w:proofErr w:type="spellStart"/>
      <w:r>
        <w:t>Chakray</w:t>
      </w:r>
      <w:proofErr w:type="spellEnd"/>
      <w:r>
        <w:t xml:space="preserve">, accessed December 2, 2020, </w:t>
      </w:r>
      <w:r w:rsidRPr="00DD7153">
        <w:t>www.chakray.com/open-banking-pros-and-cons/</w:t>
      </w:r>
      <w:r>
        <w:t>.</w:t>
      </w:r>
    </w:p>
  </w:endnote>
  <w:endnote w:id="34">
    <w:p w14:paraId="0198682F" w14:textId="294768CA" w:rsidR="00790ABB" w:rsidRPr="00840E6B" w:rsidRDefault="00790ABB" w:rsidP="00D7635F">
      <w:pPr>
        <w:pStyle w:val="Footnote"/>
      </w:pPr>
      <w:r w:rsidRPr="00840E6B">
        <w:rPr>
          <w:rStyle w:val="EndnoteReference"/>
        </w:rPr>
        <w:endnoteRef/>
      </w:r>
      <w:r w:rsidRPr="00840E6B">
        <w:t xml:space="preserve"> </w:t>
      </w:r>
      <w:proofErr w:type="spellStart"/>
      <w:r w:rsidRPr="00BB04D8">
        <w:t>Sasidharan</w:t>
      </w:r>
      <w:proofErr w:type="spellEnd"/>
      <w:r w:rsidRPr="00BB04D8">
        <w:t xml:space="preserve"> Chandran</w:t>
      </w:r>
      <w:r>
        <w:t xml:space="preserve">, </w:t>
      </w:r>
      <w:r w:rsidRPr="00840E6B">
        <w:t xml:space="preserve">“Open </w:t>
      </w:r>
      <w:r>
        <w:t>B</w:t>
      </w:r>
      <w:r w:rsidRPr="00840E6B">
        <w:t xml:space="preserve">anking: </w:t>
      </w:r>
      <w:r>
        <w:t>I</w:t>
      </w:r>
      <w:r w:rsidRPr="00840E6B">
        <w:t xml:space="preserve">mplications and </w:t>
      </w:r>
      <w:r>
        <w:t>R</w:t>
      </w:r>
      <w:r w:rsidRPr="00840E6B">
        <w:t xml:space="preserve">isks,” </w:t>
      </w:r>
      <w:r w:rsidRPr="00840E6B">
        <w:rPr>
          <w:i/>
        </w:rPr>
        <w:t>Financier Worldwide</w:t>
      </w:r>
      <w:r w:rsidRPr="00840E6B">
        <w:t>, July 2017, accessed April 19</w:t>
      </w:r>
      <w:r>
        <w:t>,</w:t>
      </w:r>
      <w:r w:rsidRPr="00840E6B">
        <w:t xml:space="preserve"> 2020, www.financierworldwide.com/open-banking-implications-and-risks#.XpTLt1NKjOQ.</w:t>
      </w:r>
    </w:p>
  </w:endnote>
  <w:endnote w:id="35">
    <w:p w14:paraId="4EE195FC" w14:textId="57B4332A" w:rsidR="00790ABB" w:rsidRPr="00AC0FDD" w:rsidRDefault="00790ABB" w:rsidP="00D7635F">
      <w:pPr>
        <w:pStyle w:val="Footnote"/>
      </w:pPr>
      <w:r w:rsidRPr="00840E6B">
        <w:rPr>
          <w:rStyle w:val="EndnoteReference"/>
        </w:rPr>
        <w:endnoteRef/>
      </w:r>
      <w:r w:rsidRPr="00840E6B">
        <w:t xml:space="preserve"> </w:t>
      </w:r>
      <w:r>
        <w:t>Deloitte</w:t>
      </w:r>
      <w:r w:rsidRPr="00840E6B">
        <w:t xml:space="preserve">, </w:t>
      </w:r>
      <w:r w:rsidRPr="00840E6B">
        <w:rPr>
          <w:i/>
        </w:rPr>
        <w:t>Open Banking, Open Risk? Managing Financial Crime in a Disrupted World</w:t>
      </w:r>
      <w:r>
        <w:t>,</w:t>
      </w:r>
      <w:r w:rsidRPr="00840E6B">
        <w:t xml:space="preserve"> 2017, accessed April 18, 2020</w:t>
      </w:r>
      <w:r w:rsidRPr="00AC0FDD">
        <w:t xml:space="preserve">, www2.deloitte.com/uk/en/pages/financial-services/articles/open-banking-open-risk.html. </w:t>
      </w:r>
    </w:p>
  </w:endnote>
  <w:endnote w:id="36">
    <w:p w14:paraId="3F43C641" w14:textId="371BB52A" w:rsidR="00790ABB" w:rsidRPr="00840E6B" w:rsidRDefault="00790ABB" w:rsidP="00D7635F">
      <w:pPr>
        <w:pStyle w:val="Footnote"/>
      </w:pPr>
      <w:r w:rsidRPr="00AC0FDD">
        <w:rPr>
          <w:rStyle w:val="EndnoteReference"/>
        </w:rPr>
        <w:endnoteRef/>
      </w:r>
      <w:r>
        <w:t xml:space="preserve"> </w:t>
      </w:r>
      <w:r w:rsidRPr="00AC0FDD">
        <w:t>“Summary of Privacy Laws in Canada,” Office of the Privacy Commissioner of Canada, January 2018, accessed April 2020, www.priv.gc.ca/en/privacy-topics/privacy-laws-in-canada/02</w:t>
      </w:r>
      <w:r w:rsidRPr="00840E6B">
        <w:t>_05_d_15/.</w:t>
      </w:r>
    </w:p>
  </w:endnote>
  <w:endnote w:id="37">
    <w:p w14:paraId="26198B86" w14:textId="3D01DD1B" w:rsidR="00790ABB" w:rsidRPr="00840E6B" w:rsidRDefault="00790ABB" w:rsidP="00D7635F">
      <w:pPr>
        <w:pStyle w:val="Footnote"/>
      </w:pPr>
      <w:r w:rsidRPr="00840E6B">
        <w:rPr>
          <w:rStyle w:val="EndnoteReference"/>
        </w:rPr>
        <w:endnoteRef/>
      </w:r>
      <w:r w:rsidRPr="00840E6B">
        <w:t xml:space="preserve"> </w:t>
      </w:r>
      <w:r w:rsidRPr="00F5018C">
        <w:t xml:space="preserve">Canadian Bankers Association, </w:t>
      </w:r>
      <w:r w:rsidRPr="00840E6B">
        <w:rPr>
          <w:i/>
        </w:rPr>
        <w:t>Open Banking: Submission to Finance Canada</w:t>
      </w:r>
      <w:r w:rsidRPr="00840E6B">
        <w:t xml:space="preserve">, </w:t>
      </w:r>
      <w:r>
        <w:t>January</w:t>
      </w:r>
      <w:r w:rsidRPr="00840E6B">
        <w:t xml:space="preserve"> 11, 2019, accessed April 19, 2020, https://cba.ca/Assets/CBA/Documents/Files/Article%20Category/PDF/CBA%20Submission%20to%20Finance%20Canada%20Consultation%20Paper%20on%20Review%20into%20Merits%20of%20Open%20Banking%20(EN).pdf.</w:t>
      </w:r>
    </w:p>
  </w:endnote>
  <w:endnote w:id="38">
    <w:p w14:paraId="3D0A5A56" w14:textId="2E79AAFD" w:rsidR="00790ABB" w:rsidRPr="00840E6B" w:rsidRDefault="00790ABB" w:rsidP="00D7635F">
      <w:pPr>
        <w:pStyle w:val="Footnote"/>
      </w:pPr>
      <w:r w:rsidRPr="00840E6B">
        <w:rPr>
          <w:rStyle w:val="EndnoteReference"/>
        </w:rPr>
        <w:endnoteRef/>
      </w:r>
      <w:r w:rsidRPr="00840E6B">
        <w:t xml:space="preserve"> </w:t>
      </w:r>
      <w:r>
        <w:t xml:space="preserve">Howard Solomon, </w:t>
      </w:r>
      <w:r w:rsidRPr="00840E6B">
        <w:t xml:space="preserve">“Canadian </w:t>
      </w:r>
      <w:r w:rsidRPr="00BB04D8">
        <w:t xml:space="preserve">Open Banking Review Turns </w:t>
      </w:r>
      <w:r>
        <w:t>t</w:t>
      </w:r>
      <w:r w:rsidRPr="00BB04D8">
        <w:t>o Answering Data Security Questions</w:t>
      </w:r>
      <w:r w:rsidRPr="00840E6B">
        <w:t>,” IT World Canada, February 3, 2020, accessed November 1, 2020, www.itworldcanada.com/article/canadian-open-banking-review-turns-to-answering-data-security-questions/426744.</w:t>
      </w:r>
    </w:p>
  </w:endnote>
  <w:endnote w:id="39">
    <w:p w14:paraId="7333707E" w14:textId="0086DA69" w:rsidR="00790ABB" w:rsidRPr="00840E6B" w:rsidRDefault="00790ABB" w:rsidP="00BA6600">
      <w:pPr>
        <w:pStyle w:val="Footnote"/>
      </w:pPr>
      <w:r w:rsidRPr="00840E6B">
        <w:rPr>
          <w:rStyle w:val="EndnoteReference"/>
        </w:rPr>
        <w:endnoteRef/>
      </w:r>
      <w:r w:rsidRPr="00840E6B">
        <w:t xml:space="preserve"> </w:t>
      </w:r>
      <w:r>
        <w:t>“</w:t>
      </w:r>
      <w:r w:rsidRPr="00BA6600">
        <w:t>Consumer-</w:t>
      </w:r>
      <w:r>
        <w:t>D</w:t>
      </w:r>
      <w:r w:rsidRPr="00BA6600">
        <w:t xml:space="preserve">irected </w:t>
      </w:r>
      <w:r>
        <w:t>F</w:t>
      </w:r>
      <w:r w:rsidRPr="00BA6600">
        <w:t xml:space="preserve">inance: </w:t>
      </w:r>
      <w:r>
        <w:t>T</w:t>
      </w:r>
      <w:r w:rsidRPr="00BA6600">
        <w:t xml:space="preserve">he </w:t>
      </w:r>
      <w:r>
        <w:t>F</w:t>
      </w:r>
      <w:r w:rsidRPr="00BA6600">
        <w:t xml:space="preserve">uture of </w:t>
      </w:r>
      <w:r>
        <w:t>F</w:t>
      </w:r>
      <w:r w:rsidRPr="00BA6600">
        <w:t xml:space="preserve">inancial </w:t>
      </w:r>
      <w:r>
        <w:t>S</w:t>
      </w:r>
      <w:r w:rsidRPr="00BA6600">
        <w:t>ervices</w:t>
      </w:r>
      <w:r>
        <w:t xml:space="preserve">,” Government of Canada, January 31, 2020, accessed December 2, 2020, </w:t>
      </w:r>
      <w:r w:rsidRPr="00BA6600">
        <w:t>www.canada.ca/en/department-finance/programs/consultations/2019/open-banking/report.html</w:t>
      </w:r>
      <w:r>
        <w:t>.</w:t>
      </w:r>
    </w:p>
  </w:endnote>
  <w:endnote w:id="40">
    <w:p w14:paraId="51387A18" w14:textId="41F94D5B" w:rsidR="00790ABB" w:rsidRPr="00840E6B" w:rsidRDefault="00790ABB" w:rsidP="00D7635F">
      <w:pPr>
        <w:pStyle w:val="Footnote"/>
      </w:pPr>
      <w:r w:rsidRPr="00840E6B">
        <w:rPr>
          <w:rStyle w:val="EndnoteReference"/>
        </w:rPr>
        <w:endnoteRef/>
      </w:r>
      <w:r w:rsidRPr="00840E6B">
        <w:t xml:space="preserve"> “Consumer</w:t>
      </w:r>
      <w:r w:rsidRPr="00BB04D8">
        <w:t xml:space="preserve">-Directed Finance: The Future </w:t>
      </w:r>
      <w:r>
        <w:t>o</w:t>
      </w:r>
      <w:r w:rsidRPr="00BB04D8">
        <w:t>f Financial Services</w:t>
      </w:r>
      <w:r w:rsidRPr="00840E6B">
        <w:t xml:space="preserve">,” </w:t>
      </w:r>
      <w:r>
        <w:t xml:space="preserve">Government of Canada, </w:t>
      </w:r>
      <w:r w:rsidRPr="00840E6B">
        <w:t>January 31, 2020, accessed April 19, 2020, www.canada.ca/en/department-finance/programs/consultations/2019/open-banking/report.html.</w:t>
      </w:r>
    </w:p>
  </w:endnote>
  <w:endnote w:id="41">
    <w:p w14:paraId="7EB0D749" w14:textId="77777777" w:rsidR="00790ABB" w:rsidRPr="00840E6B" w:rsidRDefault="00790ABB" w:rsidP="00D7635F">
      <w:pPr>
        <w:pStyle w:val="Footnote"/>
        <w:rPr>
          <w:u w:val="single"/>
        </w:rPr>
      </w:pPr>
      <w:r w:rsidRPr="00840E6B">
        <w:rPr>
          <w:rStyle w:val="EndnoteReference"/>
        </w:rPr>
        <w:endnoteRef/>
      </w:r>
      <w:r w:rsidRPr="00840E6B">
        <w:t xml:space="preserve"> Ibid.</w:t>
      </w:r>
    </w:p>
  </w:endnote>
  <w:endnote w:id="42">
    <w:p w14:paraId="6140134A" w14:textId="77777777" w:rsidR="00790ABB" w:rsidRPr="00840E6B" w:rsidRDefault="00790ABB" w:rsidP="00D7635F">
      <w:pPr>
        <w:pStyle w:val="Footnote"/>
      </w:pPr>
      <w:r w:rsidRPr="00840E6B">
        <w:rPr>
          <w:rStyle w:val="EndnoteReference"/>
        </w:rPr>
        <w:endnoteRef/>
      </w:r>
      <w:r w:rsidRPr="00840E6B">
        <w:t xml:space="preserve"> Ibid. </w:t>
      </w:r>
    </w:p>
  </w:endnote>
  <w:endnote w:id="43">
    <w:p w14:paraId="7230DCD0" w14:textId="77777777" w:rsidR="00790ABB" w:rsidRPr="00840E6B" w:rsidRDefault="00790ABB" w:rsidP="00D7635F">
      <w:pPr>
        <w:pStyle w:val="Footnote"/>
      </w:pPr>
      <w:r w:rsidRPr="00840E6B">
        <w:rPr>
          <w:rStyle w:val="EndnoteReference"/>
        </w:rPr>
        <w:endnoteRef/>
      </w:r>
      <w:r w:rsidRPr="00840E6B">
        <w:t xml:space="preserve"> Ibid.</w:t>
      </w:r>
    </w:p>
  </w:endnote>
  <w:endnote w:id="44">
    <w:p w14:paraId="6FAB4F80" w14:textId="141978F9" w:rsidR="00790ABB" w:rsidRPr="00840E6B" w:rsidRDefault="00790ABB" w:rsidP="00F25B78">
      <w:pPr>
        <w:pStyle w:val="Footnote"/>
      </w:pPr>
      <w:r w:rsidRPr="00840E6B">
        <w:rPr>
          <w:rStyle w:val="EndnoteReference"/>
        </w:rPr>
        <w:endnoteRef/>
      </w:r>
      <w:r w:rsidRPr="00840E6B">
        <w:t xml:space="preserve"> </w:t>
      </w:r>
      <w:r>
        <w:t>“</w:t>
      </w:r>
      <w:r w:rsidRPr="00411D74">
        <w:t xml:space="preserve">Which Countries Are Ready </w:t>
      </w:r>
      <w:proofErr w:type="gramStart"/>
      <w:r w:rsidRPr="00411D74">
        <w:t>For</w:t>
      </w:r>
      <w:proofErr w:type="gramEnd"/>
      <w:r w:rsidRPr="00411D74">
        <w:t xml:space="preserve"> Open Banking, And Why?</w:t>
      </w:r>
      <w:r>
        <w:t xml:space="preserve">” </w:t>
      </w:r>
      <w:proofErr w:type="spellStart"/>
      <w:r>
        <w:t>Tarabut</w:t>
      </w:r>
      <w:proofErr w:type="spellEnd"/>
      <w:r>
        <w:t xml:space="preserve"> Gateway, August 12, 2020, accessed December 2, 2020, </w:t>
      </w:r>
      <w:r w:rsidRPr="00411D74">
        <w:t>tarabutgateway.com/which-countries-are-ready-for-open-banking-and-why/</w:t>
      </w:r>
      <w:r>
        <w:t>.</w:t>
      </w:r>
    </w:p>
  </w:endnote>
  <w:endnote w:id="45">
    <w:p w14:paraId="57941D15" w14:textId="4C37BA19" w:rsidR="00790ABB" w:rsidRPr="00840E6B" w:rsidRDefault="00790ABB" w:rsidP="00D7635F">
      <w:pPr>
        <w:pStyle w:val="Footnote"/>
      </w:pPr>
      <w:r w:rsidRPr="00840E6B">
        <w:rPr>
          <w:rStyle w:val="EndnoteReference"/>
        </w:rPr>
        <w:endnoteRef/>
      </w:r>
      <w:r w:rsidRPr="00840E6B">
        <w:t xml:space="preserve"> </w:t>
      </w:r>
      <w:r>
        <w:t>Chandran</w:t>
      </w:r>
      <w:r w:rsidRPr="00840E6B">
        <w:t>, op, cit</w:t>
      </w:r>
      <w:r>
        <w:t>.</w:t>
      </w:r>
    </w:p>
  </w:endnote>
  <w:endnote w:id="46">
    <w:p w14:paraId="682CA2D7" w14:textId="10EB320B" w:rsidR="00790ABB" w:rsidRPr="00840E6B" w:rsidRDefault="00790ABB" w:rsidP="00D7635F">
      <w:pPr>
        <w:pStyle w:val="Footnote"/>
      </w:pPr>
      <w:r w:rsidRPr="00840E6B">
        <w:rPr>
          <w:rStyle w:val="EndnoteReference"/>
        </w:rPr>
        <w:endnoteRef/>
      </w:r>
      <w:r w:rsidRPr="00840E6B">
        <w:t xml:space="preserve"> “About Us,” Open Banking, 2020, accessed April 19, 2020, www.openbanking.org.uk/about-us/.</w:t>
      </w:r>
    </w:p>
  </w:endnote>
  <w:endnote w:id="47">
    <w:p w14:paraId="137007BF" w14:textId="77777777" w:rsidR="00790ABB" w:rsidRPr="00840E6B" w:rsidRDefault="00790ABB" w:rsidP="00D7635F">
      <w:pPr>
        <w:pStyle w:val="Footnote"/>
      </w:pPr>
      <w:r w:rsidRPr="00840E6B">
        <w:rPr>
          <w:rStyle w:val="EndnoteReference"/>
        </w:rPr>
        <w:endnoteRef/>
      </w:r>
      <w:r w:rsidRPr="00840E6B">
        <w:t xml:space="preserve"> Ibid.</w:t>
      </w:r>
    </w:p>
  </w:endnote>
  <w:endnote w:id="48">
    <w:p w14:paraId="4BE5E49B" w14:textId="4B5EC7C9" w:rsidR="00790ABB" w:rsidRPr="00840E6B" w:rsidRDefault="00790ABB" w:rsidP="00D7635F">
      <w:pPr>
        <w:pStyle w:val="Footnote"/>
      </w:pPr>
      <w:r w:rsidRPr="00840E6B">
        <w:rPr>
          <w:rStyle w:val="EndnoteReference"/>
        </w:rPr>
        <w:endnoteRef/>
      </w:r>
      <w:r w:rsidRPr="00840E6B">
        <w:t xml:space="preserve"> </w:t>
      </w:r>
      <w:r>
        <w:t xml:space="preserve">“Spend, Save and Share with Zero Fees,” </w:t>
      </w:r>
      <w:r w:rsidRPr="00840E6B">
        <w:t>Stack</w:t>
      </w:r>
      <w:r>
        <w:t>,</w:t>
      </w:r>
      <w:r w:rsidRPr="00840E6B">
        <w:t xml:space="preserve"> accessed April 19, 2020, www.getstack.ca/.</w:t>
      </w:r>
    </w:p>
  </w:endnote>
  <w:endnote w:id="49">
    <w:p w14:paraId="4D7FED51" w14:textId="0E23357A" w:rsidR="00790ABB" w:rsidRPr="00840E6B" w:rsidRDefault="00790ABB" w:rsidP="00D7635F">
      <w:pPr>
        <w:pStyle w:val="Footnote"/>
      </w:pPr>
      <w:r w:rsidRPr="00840E6B">
        <w:rPr>
          <w:rStyle w:val="EndnoteReference"/>
        </w:rPr>
        <w:endnoteRef/>
      </w:r>
      <w:r w:rsidRPr="00840E6B">
        <w:t xml:space="preserve"> “Is STACK </w:t>
      </w:r>
      <w:r>
        <w:t>C</w:t>
      </w:r>
      <w:r w:rsidRPr="00840E6B">
        <w:t xml:space="preserve">overed by </w:t>
      </w:r>
      <w:proofErr w:type="gramStart"/>
      <w:r w:rsidRPr="00840E6B">
        <w:t>CDIC?</w:t>
      </w:r>
      <w:r>
        <w:t>,</w:t>
      </w:r>
      <w:proofErr w:type="gramEnd"/>
      <w:r w:rsidRPr="00840E6B">
        <w:t>” Stack, accessed April 19, 2020, https://support.getstack.ca/hc/en-us/articles/360007754794-Is-STACK-covered-by-CDIC-.</w:t>
      </w:r>
    </w:p>
  </w:endnote>
  <w:endnote w:id="50">
    <w:p w14:paraId="3FC0228E" w14:textId="4A34EAA2" w:rsidR="00790ABB" w:rsidRPr="00840E6B" w:rsidRDefault="00790ABB" w:rsidP="00D7635F">
      <w:pPr>
        <w:pStyle w:val="Footnote"/>
      </w:pPr>
      <w:r w:rsidRPr="00840E6B">
        <w:rPr>
          <w:rStyle w:val="EndnoteReference"/>
        </w:rPr>
        <w:endnoteRef/>
      </w:r>
      <w:r w:rsidRPr="00840E6B">
        <w:t xml:space="preserve"> “STACK,” </w:t>
      </w:r>
      <w:proofErr w:type="spellStart"/>
      <w:r w:rsidRPr="00840E6B">
        <w:t>Crunchbase</w:t>
      </w:r>
      <w:proofErr w:type="spellEnd"/>
      <w:r w:rsidRPr="00840E6B">
        <w:t>, 2020, accessed March 27, 2020, www.crunchbase.com/organization/stack#section-lists-featuring-this-company.</w:t>
      </w:r>
    </w:p>
  </w:endnote>
  <w:endnote w:id="51">
    <w:p w14:paraId="48FA6B2A" w14:textId="64C5D111" w:rsidR="00790ABB" w:rsidRPr="00840E6B" w:rsidRDefault="00790ABB" w:rsidP="00D7635F">
      <w:pPr>
        <w:pStyle w:val="Footnote"/>
      </w:pPr>
      <w:r w:rsidRPr="00840E6B">
        <w:rPr>
          <w:rStyle w:val="EndnoteReference"/>
        </w:rPr>
        <w:endnoteRef/>
      </w:r>
      <w:r w:rsidRPr="00840E6B">
        <w:t xml:space="preserve"> “Drop,” </w:t>
      </w:r>
      <w:proofErr w:type="spellStart"/>
      <w:r w:rsidRPr="00840E6B">
        <w:t>Crunchbase</w:t>
      </w:r>
      <w:proofErr w:type="spellEnd"/>
      <w:r w:rsidRPr="00840E6B">
        <w:t>, 2020, accessed March 28, 2020, www.crunchbase.com/organization/drop-loyalty.</w:t>
      </w:r>
    </w:p>
  </w:endnote>
  <w:endnote w:id="52">
    <w:p w14:paraId="49EE1255" w14:textId="77C7396C" w:rsidR="00790ABB" w:rsidRPr="00840E6B" w:rsidRDefault="00790ABB" w:rsidP="00D7635F">
      <w:pPr>
        <w:pStyle w:val="Footnote"/>
      </w:pPr>
      <w:r w:rsidRPr="00840E6B">
        <w:rPr>
          <w:rStyle w:val="EndnoteReference"/>
        </w:rPr>
        <w:endnoteRef/>
      </w:r>
      <w:r w:rsidRPr="00840E6B">
        <w:t xml:space="preserve"> James McLeod, “Rewards in </w:t>
      </w:r>
      <w:r w:rsidRPr="00BB04D8">
        <w:t xml:space="preserve">Exchange </w:t>
      </w:r>
      <w:r>
        <w:t>f</w:t>
      </w:r>
      <w:r w:rsidRPr="00BB04D8">
        <w:t xml:space="preserve">or Your Data: </w:t>
      </w:r>
      <w:r w:rsidRPr="00840E6B">
        <w:t xml:space="preserve">Drop </w:t>
      </w:r>
      <w:r w:rsidRPr="00BB04D8">
        <w:t xml:space="preserve">Gets </w:t>
      </w:r>
      <w:r w:rsidRPr="00840E6B">
        <w:t>US</w:t>
      </w:r>
      <w:r w:rsidRPr="00BB04D8">
        <w:t>$</w:t>
      </w:r>
      <w:r w:rsidRPr="00840E6B">
        <w:t xml:space="preserve">44M </w:t>
      </w:r>
      <w:r>
        <w:t>t</w:t>
      </w:r>
      <w:r w:rsidRPr="00BB04D8">
        <w:t xml:space="preserve">o Expand </w:t>
      </w:r>
      <w:r w:rsidRPr="00B65E61">
        <w:t>App</w:t>
      </w:r>
      <w:r w:rsidRPr="00840E6B">
        <w:t xml:space="preserve">,” </w:t>
      </w:r>
      <w:r w:rsidRPr="00840E6B">
        <w:rPr>
          <w:i/>
        </w:rPr>
        <w:t>Financial Post</w:t>
      </w:r>
      <w:r w:rsidRPr="00840E6B">
        <w:t>, August 2</w:t>
      </w:r>
      <w:r>
        <w:t>2</w:t>
      </w:r>
      <w:r w:rsidRPr="00840E6B">
        <w:t>, 2019, accessed April 19, 2020, https://business.financialpost.com/technology/rewards-for-data-drop-gets-us44m-to-expand-rewards-app.</w:t>
      </w:r>
    </w:p>
  </w:endnote>
  <w:endnote w:id="53">
    <w:p w14:paraId="4D422C2E" w14:textId="77EC25AC" w:rsidR="00790ABB" w:rsidRPr="00BB04D8" w:rsidRDefault="00790ABB" w:rsidP="00D7635F">
      <w:pPr>
        <w:pStyle w:val="Footnote"/>
      </w:pPr>
      <w:r w:rsidRPr="00840E6B">
        <w:rPr>
          <w:rStyle w:val="EndnoteReference"/>
        </w:rPr>
        <w:endnoteRef/>
      </w:r>
      <w:r w:rsidRPr="00840E6B">
        <w:t xml:space="preserve"> Julia Kagan, “American Express Card,” Investopedia, April 6, 2020, accessed April 19, 2020, www.investopedia.com/terms/a/american-express-card.asp.</w:t>
      </w:r>
    </w:p>
  </w:endnote>
  <w:endnote w:id="54">
    <w:p w14:paraId="7EA5D0BA" w14:textId="3B236209" w:rsidR="00790ABB" w:rsidRPr="00BB04D8" w:rsidRDefault="00790ABB" w:rsidP="00D7635F">
      <w:pPr>
        <w:pStyle w:val="Footnote"/>
      </w:pPr>
      <w:r w:rsidRPr="00840E6B">
        <w:rPr>
          <w:rStyle w:val="EndnoteReference"/>
        </w:rPr>
        <w:endnoteRef/>
      </w:r>
      <w:r w:rsidRPr="00840E6B">
        <w:t xml:space="preserve"> </w:t>
      </w:r>
      <w:proofErr w:type="spellStart"/>
      <w:r>
        <w:t>Trefis</w:t>
      </w:r>
      <w:proofErr w:type="spellEnd"/>
      <w:r>
        <w:t xml:space="preserve"> Team and Great Speculations, </w:t>
      </w:r>
      <w:r w:rsidRPr="00840E6B">
        <w:t xml:space="preserve">“How American Express Gains </w:t>
      </w:r>
      <w:r>
        <w:t>a</w:t>
      </w:r>
      <w:r w:rsidRPr="00840E6B">
        <w:t xml:space="preserve"> Competitive Advantage </w:t>
      </w:r>
      <w:r>
        <w:t>f</w:t>
      </w:r>
      <w:r w:rsidRPr="00840E6B">
        <w:t xml:space="preserve">rom Its Closed-Loop Network,” </w:t>
      </w:r>
      <w:r w:rsidRPr="00840E6B">
        <w:rPr>
          <w:i/>
        </w:rPr>
        <w:t>Forbes</w:t>
      </w:r>
      <w:r w:rsidRPr="00840E6B">
        <w:t>, May 3, 2014, accessed November 1, 2020, www.forbes.com/sites/greatspeculations/2014/03/13/how-american-express-gains-a-competitive-advantage-from-its-closed-loop-network/?sh=1b2493284be7.</w:t>
      </w:r>
    </w:p>
  </w:endnote>
  <w:endnote w:id="55">
    <w:p w14:paraId="7E0910E0" w14:textId="73D49FDB" w:rsidR="00790ABB" w:rsidRPr="00BB04D8" w:rsidRDefault="00790ABB" w:rsidP="00F304CC">
      <w:pPr>
        <w:pStyle w:val="Footnote"/>
      </w:pPr>
      <w:r w:rsidRPr="00840E6B">
        <w:rPr>
          <w:rStyle w:val="EndnoteReference"/>
        </w:rPr>
        <w:endnoteRef/>
      </w:r>
      <w:r w:rsidRPr="00840E6B">
        <w:t xml:space="preserve"> </w:t>
      </w:r>
      <w:r>
        <w:t>Ibid.</w:t>
      </w:r>
    </w:p>
  </w:endnote>
  <w:endnote w:id="56">
    <w:p w14:paraId="3A455E9D" w14:textId="30F2D59A" w:rsidR="00790ABB" w:rsidRPr="00BB04D8" w:rsidRDefault="00790ABB" w:rsidP="00D7635F">
      <w:pPr>
        <w:pStyle w:val="Footnote"/>
      </w:pPr>
      <w:r w:rsidRPr="00840E6B">
        <w:rPr>
          <w:rStyle w:val="EndnoteReference"/>
        </w:rPr>
        <w:endnoteRef/>
      </w:r>
      <w:r w:rsidRPr="00840E6B">
        <w:t xml:space="preserve"> “KOHO</w:t>
      </w:r>
      <w:r>
        <w:t xml:space="preserve"> </w:t>
      </w:r>
      <w:r w:rsidRPr="00840E6B">
        <w:t xml:space="preserve">FinTech Raises $42M </w:t>
      </w:r>
      <w:r>
        <w:t>t</w:t>
      </w:r>
      <w:r w:rsidRPr="00840E6B">
        <w:t>o Fund Growth,” PYMNTS</w:t>
      </w:r>
      <w:r>
        <w:t>.com</w:t>
      </w:r>
      <w:r w:rsidRPr="00840E6B">
        <w:t xml:space="preserve">, May 15, 2019, accessed April 19, 2020, www.pymnts.com/news/fintech-investments/2019/koho-canadian-banking-venture-capital-funding/. </w:t>
      </w:r>
    </w:p>
  </w:endnote>
  <w:endnote w:id="57">
    <w:p w14:paraId="124B8E5F" w14:textId="30F51399" w:rsidR="00790ABB" w:rsidRPr="00BB04D8" w:rsidRDefault="00790ABB" w:rsidP="00D7635F">
      <w:pPr>
        <w:pStyle w:val="Footnote"/>
      </w:pPr>
      <w:r w:rsidRPr="00BB04D8">
        <w:rPr>
          <w:rStyle w:val="EndnoteReference"/>
        </w:rPr>
        <w:endnoteRef/>
      </w:r>
      <w:r w:rsidRPr="00BB04D8">
        <w:t xml:space="preserve"> </w:t>
      </w:r>
      <w:proofErr w:type="gramStart"/>
      <w:r w:rsidRPr="00840E6B">
        <w:t>”</w:t>
      </w:r>
      <w:r>
        <w:t>A</w:t>
      </w:r>
      <w:proofErr w:type="gramEnd"/>
      <w:r>
        <w:t xml:space="preserve"> New Era of Banking: </w:t>
      </w:r>
      <w:r w:rsidRPr="00840E6B">
        <w:t>KOHO,” LinkedIn, accessed April 17, 2020, www.linkedin.com/company/koho/people/.</w:t>
      </w:r>
    </w:p>
  </w:endnote>
  <w:endnote w:id="58">
    <w:p w14:paraId="562D0B74" w14:textId="3146F220" w:rsidR="0094198E" w:rsidRPr="00BB04D8" w:rsidRDefault="0094198E" w:rsidP="0094198E">
      <w:pPr>
        <w:pStyle w:val="Footnote"/>
      </w:pPr>
      <w:r w:rsidRPr="00BB04D8">
        <w:rPr>
          <w:rStyle w:val="EndnoteReference"/>
        </w:rPr>
        <w:endnoteRef/>
      </w:r>
      <w:r w:rsidRPr="00BB04D8">
        <w:t xml:space="preserve"> </w:t>
      </w:r>
      <w:r w:rsidR="00B557EA" w:rsidRPr="00B557EA">
        <w:t xml:space="preserve">Douglas </w:t>
      </w:r>
      <w:proofErr w:type="spellStart"/>
      <w:r w:rsidR="00B557EA" w:rsidRPr="00B557EA">
        <w:t>Soltys</w:t>
      </w:r>
      <w:proofErr w:type="spellEnd"/>
      <w:r w:rsidR="00B557EA">
        <w:t>,</w:t>
      </w:r>
      <w:r w:rsidR="00B557EA" w:rsidRPr="00B557EA">
        <w:t xml:space="preserve"> </w:t>
      </w:r>
      <w:r w:rsidR="008114BD">
        <w:t>“</w:t>
      </w:r>
      <w:proofErr w:type="spellStart"/>
      <w:r w:rsidR="008114BD" w:rsidRPr="008114BD">
        <w:t>Koho</w:t>
      </w:r>
      <w:proofErr w:type="spellEnd"/>
      <w:r w:rsidR="008114BD" w:rsidRPr="008114BD">
        <w:t xml:space="preserve"> Raises $42 Million Series B Inside Round Led </w:t>
      </w:r>
      <w:proofErr w:type="gramStart"/>
      <w:r w:rsidR="008114BD" w:rsidRPr="008114BD">
        <w:t>By</w:t>
      </w:r>
      <w:proofErr w:type="gramEnd"/>
      <w:r w:rsidR="008114BD" w:rsidRPr="008114BD">
        <w:t xml:space="preserve"> Portag3 Ventures</w:t>
      </w:r>
      <w:r w:rsidR="00B557EA">
        <w:t>,</w:t>
      </w:r>
      <w:r w:rsidR="008114BD">
        <w:t>”</w:t>
      </w:r>
      <w:r w:rsidR="00B557EA">
        <w:t xml:space="preserve"> </w:t>
      </w:r>
      <w:proofErr w:type="spellStart"/>
      <w:r w:rsidR="00B557EA">
        <w:t>Betakit</w:t>
      </w:r>
      <w:proofErr w:type="spellEnd"/>
      <w:r w:rsidR="00B557EA">
        <w:t xml:space="preserve">, </w:t>
      </w:r>
      <w:r w:rsidR="00B557EA" w:rsidRPr="00B557EA">
        <w:t>May 15, 2019</w:t>
      </w:r>
      <w:r w:rsidR="00B557EA">
        <w:t xml:space="preserve">, accessed February 3, 2021, </w:t>
      </w:r>
      <w:r w:rsidR="00B557EA" w:rsidRPr="00B557EA">
        <w:t>https://betakit.com/koho-raises-42-million-series-b-inside-round-led-by-portag3-ventures/</w:t>
      </w:r>
      <w:r w:rsidR="00B557EA">
        <w:t>.</w:t>
      </w:r>
    </w:p>
  </w:endnote>
  <w:endnote w:id="59">
    <w:p w14:paraId="51B5BBD8" w14:textId="0508FCB3" w:rsidR="00215B03" w:rsidRPr="00BB04D8" w:rsidRDefault="00215B03" w:rsidP="00215B03">
      <w:pPr>
        <w:pStyle w:val="Footnote"/>
      </w:pPr>
      <w:r w:rsidRPr="00BB04D8">
        <w:rPr>
          <w:rStyle w:val="EndnoteReference"/>
        </w:rPr>
        <w:endnoteRef/>
      </w:r>
      <w:r w:rsidRPr="00BB04D8">
        <w:t xml:space="preserve"> </w:t>
      </w:r>
      <w:r w:rsidR="004E0117">
        <w:t>“</w:t>
      </w:r>
      <w:r w:rsidR="004E0117" w:rsidRPr="004E0117">
        <w:t>Buying Crypto with KOHO</w:t>
      </w:r>
      <w:r w:rsidR="004E0117">
        <w:t xml:space="preserve">,” </w:t>
      </w:r>
      <w:proofErr w:type="spellStart"/>
      <w:r w:rsidR="004E0117" w:rsidRPr="004E0117">
        <w:t>CryptoVantage</w:t>
      </w:r>
      <w:proofErr w:type="spellEnd"/>
      <w:r w:rsidR="004E0117">
        <w:t xml:space="preserve">, accessed February 3, 2021, </w:t>
      </w:r>
      <w:r w:rsidR="004E0117" w:rsidRPr="004E0117">
        <w:t>https://www.cryptovantage.com/buying-crypto/koho-card/</w:t>
      </w:r>
      <w:r w:rsidR="004E0117">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8057A" w14:textId="77777777" w:rsidR="00F80BF9" w:rsidRDefault="00F80BF9" w:rsidP="00D75295">
      <w:r>
        <w:separator/>
      </w:r>
    </w:p>
  </w:footnote>
  <w:footnote w:type="continuationSeparator" w:id="0">
    <w:p w14:paraId="5613715A" w14:textId="77777777" w:rsidR="00F80BF9" w:rsidRDefault="00F80BF9"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0D03FF8E" w:rsidR="00D173AE" w:rsidRPr="00C92CC4" w:rsidRDefault="00D173AE"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02D77">
      <w:rPr>
        <w:rFonts w:ascii="Arial" w:hAnsi="Arial"/>
        <w:b/>
        <w:noProof/>
      </w:rPr>
      <w:t>12</w:t>
    </w:r>
    <w:r>
      <w:rPr>
        <w:rFonts w:ascii="Arial" w:hAnsi="Arial"/>
        <w:b/>
      </w:rPr>
      <w:fldChar w:fldCharType="end"/>
    </w:r>
    <w:r>
      <w:rPr>
        <w:rFonts w:ascii="Arial" w:hAnsi="Arial"/>
        <w:b/>
      </w:rPr>
      <w:tab/>
    </w:r>
    <w:r w:rsidR="003472DD">
      <w:rPr>
        <w:rFonts w:ascii="Arial" w:hAnsi="Arial"/>
        <w:b/>
      </w:rPr>
      <w:t>9B21N002</w:t>
    </w:r>
  </w:p>
  <w:p w14:paraId="2B53C0A0" w14:textId="77777777" w:rsidR="00D173AE" w:rsidRDefault="00D173AE" w:rsidP="00D13667">
    <w:pPr>
      <w:pStyle w:val="Header"/>
      <w:tabs>
        <w:tab w:val="clear" w:pos="4680"/>
      </w:tabs>
      <w:rPr>
        <w:sz w:val="18"/>
        <w:szCs w:val="18"/>
      </w:rPr>
    </w:pPr>
  </w:p>
  <w:p w14:paraId="47119730" w14:textId="77777777" w:rsidR="00D173AE" w:rsidRPr="00C92CC4" w:rsidRDefault="00D173AE"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9A2D76"/>
    <w:multiLevelType w:val="hybridMultilevel"/>
    <w:tmpl w:val="A7C25F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2"/>
  </w:num>
  <w:num w:numId="9">
    <w:abstractNumId w:val="8"/>
  </w:num>
  <w:num w:numId="10">
    <w:abstractNumId w:val="1"/>
  </w:num>
  <w:num w:numId="11">
    <w:abstractNumId w:val="5"/>
  </w:num>
  <w:num w:numId="12">
    <w:abstractNumId w:val="6"/>
  </w:num>
  <w:num w:numId="13">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3D21"/>
    <w:rsid w:val="00013360"/>
    <w:rsid w:val="00014E1C"/>
    <w:rsid w:val="00016759"/>
    <w:rsid w:val="000216CE"/>
    <w:rsid w:val="00024ED4"/>
    <w:rsid w:val="00025DC7"/>
    <w:rsid w:val="00033008"/>
    <w:rsid w:val="00035F09"/>
    <w:rsid w:val="00044ECC"/>
    <w:rsid w:val="00052EC1"/>
    <w:rsid w:val="000531D3"/>
    <w:rsid w:val="0005646B"/>
    <w:rsid w:val="000615D1"/>
    <w:rsid w:val="0008102D"/>
    <w:rsid w:val="00086B26"/>
    <w:rsid w:val="00094656"/>
    <w:rsid w:val="00094C0E"/>
    <w:rsid w:val="00097664"/>
    <w:rsid w:val="000A146D"/>
    <w:rsid w:val="000B094A"/>
    <w:rsid w:val="000B3F2A"/>
    <w:rsid w:val="000D2A2F"/>
    <w:rsid w:val="000D5A74"/>
    <w:rsid w:val="000D7091"/>
    <w:rsid w:val="000E2634"/>
    <w:rsid w:val="000F0C22"/>
    <w:rsid w:val="000F6B09"/>
    <w:rsid w:val="000F6FDC"/>
    <w:rsid w:val="001039C7"/>
    <w:rsid w:val="00104567"/>
    <w:rsid w:val="00104916"/>
    <w:rsid w:val="00104AA7"/>
    <w:rsid w:val="0012732D"/>
    <w:rsid w:val="00143F25"/>
    <w:rsid w:val="00152682"/>
    <w:rsid w:val="00154FC9"/>
    <w:rsid w:val="001840B5"/>
    <w:rsid w:val="001901C0"/>
    <w:rsid w:val="0019241A"/>
    <w:rsid w:val="00192A18"/>
    <w:rsid w:val="001A22D1"/>
    <w:rsid w:val="001A6E9F"/>
    <w:rsid w:val="001A752D"/>
    <w:rsid w:val="001A757E"/>
    <w:rsid w:val="001B0910"/>
    <w:rsid w:val="001B5032"/>
    <w:rsid w:val="001C3711"/>
    <w:rsid w:val="001C7777"/>
    <w:rsid w:val="001D344B"/>
    <w:rsid w:val="001E03D4"/>
    <w:rsid w:val="001E364F"/>
    <w:rsid w:val="001E67E6"/>
    <w:rsid w:val="001F4222"/>
    <w:rsid w:val="00203AA1"/>
    <w:rsid w:val="00211884"/>
    <w:rsid w:val="00213E98"/>
    <w:rsid w:val="00215B03"/>
    <w:rsid w:val="00216CEE"/>
    <w:rsid w:val="00230150"/>
    <w:rsid w:val="0023081A"/>
    <w:rsid w:val="00233111"/>
    <w:rsid w:val="00246FEA"/>
    <w:rsid w:val="00265FA8"/>
    <w:rsid w:val="0027109C"/>
    <w:rsid w:val="00282437"/>
    <w:rsid w:val="002A07BC"/>
    <w:rsid w:val="002B40FF"/>
    <w:rsid w:val="002C24DD"/>
    <w:rsid w:val="002C4E29"/>
    <w:rsid w:val="002E1A8F"/>
    <w:rsid w:val="002F460C"/>
    <w:rsid w:val="002F48D6"/>
    <w:rsid w:val="002F4B78"/>
    <w:rsid w:val="002F623D"/>
    <w:rsid w:val="00317391"/>
    <w:rsid w:val="00325A67"/>
    <w:rsid w:val="00326216"/>
    <w:rsid w:val="00336580"/>
    <w:rsid w:val="003472DD"/>
    <w:rsid w:val="00354899"/>
    <w:rsid w:val="00355FD6"/>
    <w:rsid w:val="00356CB8"/>
    <w:rsid w:val="00360BA8"/>
    <w:rsid w:val="00364A5C"/>
    <w:rsid w:val="003658C5"/>
    <w:rsid w:val="00373FB1"/>
    <w:rsid w:val="003960A1"/>
    <w:rsid w:val="00396449"/>
    <w:rsid w:val="00396C76"/>
    <w:rsid w:val="003972E7"/>
    <w:rsid w:val="003B30D8"/>
    <w:rsid w:val="003B37C1"/>
    <w:rsid w:val="003B7EF2"/>
    <w:rsid w:val="003C3FA4"/>
    <w:rsid w:val="003D0BA1"/>
    <w:rsid w:val="003E347B"/>
    <w:rsid w:val="003E7EC0"/>
    <w:rsid w:val="003F2B0C"/>
    <w:rsid w:val="004079AE"/>
    <w:rsid w:val="004105B2"/>
    <w:rsid w:val="0041145A"/>
    <w:rsid w:val="00411D74"/>
    <w:rsid w:val="00412900"/>
    <w:rsid w:val="00420D64"/>
    <w:rsid w:val="004221E4"/>
    <w:rsid w:val="004273F8"/>
    <w:rsid w:val="004353FA"/>
    <w:rsid w:val="004355A3"/>
    <w:rsid w:val="00446546"/>
    <w:rsid w:val="00452769"/>
    <w:rsid w:val="00454FA7"/>
    <w:rsid w:val="0046292D"/>
    <w:rsid w:val="00462B7A"/>
    <w:rsid w:val="00465348"/>
    <w:rsid w:val="0048553C"/>
    <w:rsid w:val="00485F27"/>
    <w:rsid w:val="004979A5"/>
    <w:rsid w:val="004A25E0"/>
    <w:rsid w:val="004B11EF"/>
    <w:rsid w:val="004B1CCB"/>
    <w:rsid w:val="004B632F"/>
    <w:rsid w:val="004B6ECB"/>
    <w:rsid w:val="004D3FB1"/>
    <w:rsid w:val="004D5443"/>
    <w:rsid w:val="004D6F21"/>
    <w:rsid w:val="004D73A5"/>
    <w:rsid w:val="004E0117"/>
    <w:rsid w:val="004F5C0A"/>
    <w:rsid w:val="005160F1"/>
    <w:rsid w:val="00524F2F"/>
    <w:rsid w:val="00526B8D"/>
    <w:rsid w:val="00527E5C"/>
    <w:rsid w:val="005312B7"/>
    <w:rsid w:val="00531AB6"/>
    <w:rsid w:val="00532CF5"/>
    <w:rsid w:val="0054522A"/>
    <w:rsid w:val="00545B09"/>
    <w:rsid w:val="00546979"/>
    <w:rsid w:val="00547740"/>
    <w:rsid w:val="005528CB"/>
    <w:rsid w:val="00556076"/>
    <w:rsid w:val="005612BD"/>
    <w:rsid w:val="00565125"/>
    <w:rsid w:val="00566771"/>
    <w:rsid w:val="00571406"/>
    <w:rsid w:val="005727AA"/>
    <w:rsid w:val="00573286"/>
    <w:rsid w:val="00581E2E"/>
    <w:rsid w:val="00584F15"/>
    <w:rsid w:val="0059514B"/>
    <w:rsid w:val="005A1B0F"/>
    <w:rsid w:val="005A60F3"/>
    <w:rsid w:val="005A7816"/>
    <w:rsid w:val="005B4CE6"/>
    <w:rsid w:val="005B5EFE"/>
    <w:rsid w:val="005D01C2"/>
    <w:rsid w:val="005E3CFC"/>
    <w:rsid w:val="005E59FE"/>
    <w:rsid w:val="00605CFF"/>
    <w:rsid w:val="006163F7"/>
    <w:rsid w:val="00626670"/>
    <w:rsid w:val="00627B2B"/>
    <w:rsid w:val="00627C63"/>
    <w:rsid w:val="0063350B"/>
    <w:rsid w:val="00641A00"/>
    <w:rsid w:val="00651346"/>
    <w:rsid w:val="00651B15"/>
    <w:rsid w:val="00652606"/>
    <w:rsid w:val="00660340"/>
    <w:rsid w:val="006608EB"/>
    <w:rsid w:val="00666361"/>
    <w:rsid w:val="00681BD2"/>
    <w:rsid w:val="006946EE"/>
    <w:rsid w:val="006959DE"/>
    <w:rsid w:val="006A58A9"/>
    <w:rsid w:val="006A606D"/>
    <w:rsid w:val="006C0371"/>
    <w:rsid w:val="006C08B6"/>
    <w:rsid w:val="006C0B1A"/>
    <w:rsid w:val="006C1AF3"/>
    <w:rsid w:val="006C6065"/>
    <w:rsid w:val="006C7601"/>
    <w:rsid w:val="006C7911"/>
    <w:rsid w:val="006C7F9F"/>
    <w:rsid w:val="006E2F6D"/>
    <w:rsid w:val="006E58F6"/>
    <w:rsid w:val="006E77E1"/>
    <w:rsid w:val="006F131D"/>
    <w:rsid w:val="00711642"/>
    <w:rsid w:val="007120FC"/>
    <w:rsid w:val="00727A8D"/>
    <w:rsid w:val="00733C0C"/>
    <w:rsid w:val="007408DE"/>
    <w:rsid w:val="007507C6"/>
    <w:rsid w:val="00751E0B"/>
    <w:rsid w:val="00752BCD"/>
    <w:rsid w:val="00754F42"/>
    <w:rsid w:val="0075717C"/>
    <w:rsid w:val="00766129"/>
    <w:rsid w:val="00766DA1"/>
    <w:rsid w:val="0077172E"/>
    <w:rsid w:val="00774D25"/>
    <w:rsid w:val="00780D94"/>
    <w:rsid w:val="007866A6"/>
    <w:rsid w:val="00790ABB"/>
    <w:rsid w:val="007A130D"/>
    <w:rsid w:val="007A767F"/>
    <w:rsid w:val="007B06FF"/>
    <w:rsid w:val="007C7036"/>
    <w:rsid w:val="007D1A2D"/>
    <w:rsid w:val="007D32E6"/>
    <w:rsid w:val="007D4102"/>
    <w:rsid w:val="007D5B09"/>
    <w:rsid w:val="007E54A7"/>
    <w:rsid w:val="007F43B7"/>
    <w:rsid w:val="007F5F4D"/>
    <w:rsid w:val="008114BD"/>
    <w:rsid w:val="00811C99"/>
    <w:rsid w:val="00821FFC"/>
    <w:rsid w:val="008271CA"/>
    <w:rsid w:val="00833231"/>
    <w:rsid w:val="00840E6B"/>
    <w:rsid w:val="00842CFA"/>
    <w:rsid w:val="008467D5"/>
    <w:rsid w:val="00882EBA"/>
    <w:rsid w:val="00887432"/>
    <w:rsid w:val="00894FA6"/>
    <w:rsid w:val="008A4DC4"/>
    <w:rsid w:val="008B438C"/>
    <w:rsid w:val="008D06CA"/>
    <w:rsid w:val="008D3A46"/>
    <w:rsid w:val="008D5C67"/>
    <w:rsid w:val="008F2385"/>
    <w:rsid w:val="00902D77"/>
    <w:rsid w:val="009067A4"/>
    <w:rsid w:val="00911B0A"/>
    <w:rsid w:val="00927511"/>
    <w:rsid w:val="00930885"/>
    <w:rsid w:val="00933D5F"/>
    <w:rsid w:val="00933D68"/>
    <w:rsid w:val="009340DB"/>
    <w:rsid w:val="0094198E"/>
    <w:rsid w:val="00943E79"/>
    <w:rsid w:val="00944D3D"/>
    <w:rsid w:val="0094618C"/>
    <w:rsid w:val="0095684B"/>
    <w:rsid w:val="00966C88"/>
    <w:rsid w:val="00972498"/>
    <w:rsid w:val="00974440"/>
    <w:rsid w:val="0097481F"/>
    <w:rsid w:val="00974CC6"/>
    <w:rsid w:val="00976AD4"/>
    <w:rsid w:val="00995547"/>
    <w:rsid w:val="009A312F"/>
    <w:rsid w:val="009A5348"/>
    <w:rsid w:val="009B0AB7"/>
    <w:rsid w:val="009B610B"/>
    <w:rsid w:val="009C76D5"/>
    <w:rsid w:val="009F7AA4"/>
    <w:rsid w:val="00A10AD7"/>
    <w:rsid w:val="00A159C2"/>
    <w:rsid w:val="00A323B0"/>
    <w:rsid w:val="00A502EC"/>
    <w:rsid w:val="00A559DB"/>
    <w:rsid w:val="00A569EA"/>
    <w:rsid w:val="00A676A0"/>
    <w:rsid w:val="00AA3B13"/>
    <w:rsid w:val="00AB6F46"/>
    <w:rsid w:val="00AC0FDD"/>
    <w:rsid w:val="00AC7324"/>
    <w:rsid w:val="00AD787E"/>
    <w:rsid w:val="00AF233A"/>
    <w:rsid w:val="00AF35FC"/>
    <w:rsid w:val="00AF4DC2"/>
    <w:rsid w:val="00AF5556"/>
    <w:rsid w:val="00B03639"/>
    <w:rsid w:val="00B05E5D"/>
    <w:rsid w:val="00B0652A"/>
    <w:rsid w:val="00B06B5A"/>
    <w:rsid w:val="00B13BCB"/>
    <w:rsid w:val="00B35C73"/>
    <w:rsid w:val="00B40937"/>
    <w:rsid w:val="00B4169A"/>
    <w:rsid w:val="00B423EF"/>
    <w:rsid w:val="00B4441E"/>
    <w:rsid w:val="00B453DE"/>
    <w:rsid w:val="00B557EA"/>
    <w:rsid w:val="00B615A0"/>
    <w:rsid w:val="00B62497"/>
    <w:rsid w:val="00B63ED2"/>
    <w:rsid w:val="00B65E61"/>
    <w:rsid w:val="00B72597"/>
    <w:rsid w:val="00B83300"/>
    <w:rsid w:val="00B87DC0"/>
    <w:rsid w:val="00B901F9"/>
    <w:rsid w:val="00B93BA5"/>
    <w:rsid w:val="00BA6600"/>
    <w:rsid w:val="00BB04D8"/>
    <w:rsid w:val="00BC4D98"/>
    <w:rsid w:val="00BD3DF0"/>
    <w:rsid w:val="00BD6EFB"/>
    <w:rsid w:val="00BD779F"/>
    <w:rsid w:val="00BE3DF5"/>
    <w:rsid w:val="00BF5EAB"/>
    <w:rsid w:val="00BF7F87"/>
    <w:rsid w:val="00C02103"/>
    <w:rsid w:val="00C02410"/>
    <w:rsid w:val="00C136AF"/>
    <w:rsid w:val="00C1584D"/>
    <w:rsid w:val="00C15BE2"/>
    <w:rsid w:val="00C25AB1"/>
    <w:rsid w:val="00C3447F"/>
    <w:rsid w:val="00C416BD"/>
    <w:rsid w:val="00C44714"/>
    <w:rsid w:val="00C67102"/>
    <w:rsid w:val="00C81491"/>
    <w:rsid w:val="00C81676"/>
    <w:rsid w:val="00C85C5D"/>
    <w:rsid w:val="00C910A9"/>
    <w:rsid w:val="00C92CC4"/>
    <w:rsid w:val="00CA0AFB"/>
    <w:rsid w:val="00CA2CE1"/>
    <w:rsid w:val="00CA3976"/>
    <w:rsid w:val="00CA3A3B"/>
    <w:rsid w:val="00CA50E3"/>
    <w:rsid w:val="00CA757B"/>
    <w:rsid w:val="00CC1787"/>
    <w:rsid w:val="00CC182C"/>
    <w:rsid w:val="00CC4D6A"/>
    <w:rsid w:val="00CD0824"/>
    <w:rsid w:val="00CD1E78"/>
    <w:rsid w:val="00CD2908"/>
    <w:rsid w:val="00CF2C71"/>
    <w:rsid w:val="00D03A82"/>
    <w:rsid w:val="00D07E92"/>
    <w:rsid w:val="00D13667"/>
    <w:rsid w:val="00D15344"/>
    <w:rsid w:val="00D173AE"/>
    <w:rsid w:val="00D23F57"/>
    <w:rsid w:val="00D31BEC"/>
    <w:rsid w:val="00D34D20"/>
    <w:rsid w:val="00D34F1F"/>
    <w:rsid w:val="00D37549"/>
    <w:rsid w:val="00D63150"/>
    <w:rsid w:val="00D636BA"/>
    <w:rsid w:val="00D64A32"/>
    <w:rsid w:val="00D64EFC"/>
    <w:rsid w:val="00D673E1"/>
    <w:rsid w:val="00D75295"/>
    <w:rsid w:val="00D761D2"/>
    <w:rsid w:val="00D7635F"/>
    <w:rsid w:val="00D76CE9"/>
    <w:rsid w:val="00D97F12"/>
    <w:rsid w:val="00DA6095"/>
    <w:rsid w:val="00DB399B"/>
    <w:rsid w:val="00DB42E7"/>
    <w:rsid w:val="00DC09D8"/>
    <w:rsid w:val="00DC40B3"/>
    <w:rsid w:val="00DD550D"/>
    <w:rsid w:val="00DD7153"/>
    <w:rsid w:val="00DE01A6"/>
    <w:rsid w:val="00DE7A98"/>
    <w:rsid w:val="00DF1B82"/>
    <w:rsid w:val="00DF32C2"/>
    <w:rsid w:val="00DF4C1E"/>
    <w:rsid w:val="00DF7A3B"/>
    <w:rsid w:val="00E11C74"/>
    <w:rsid w:val="00E12568"/>
    <w:rsid w:val="00E13E39"/>
    <w:rsid w:val="00E35CAB"/>
    <w:rsid w:val="00E414C0"/>
    <w:rsid w:val="00E448BF"/>
    <w:rsid w:val="00E471A7"/>
    <w:rsid w:val="00E501F3"/>
    <w:rsid w:val="00E538E6"/>
    <w:rsid w:val="00E635CF"/>
    <w:rsid w:val="00E65EEE"/>
    <w:rsid w:val="00E722CB"/>
    <w:rsid w:val="00EB1E3B"/>
    <w:rsid w:val="00EC6E0A"/>
    <w:rsid w:val="00ED4E18"/>
    <w:rsid w:val="00ED7922"/>
    <w:rsid w:val="00EE02C4"/>
    <w:rsid w:val="00EE1A55"/>
    <w:rsid w:val="00EE1F37"/>
    <w:rsid w:val="00EF5F1F"/>
    <w:rsid w:val="00F0159C"/>
    <w:rsid w:val="00F105B7"/>
    <w:rsid w:val="00F13220"/>
    <w:rsid w:val="00F17A21"/>
    <w:rsid w:val="00F25B78"/>
    <w:rsid w:val="00F304CC"/>
    <w:rsid w:val="00F36FC2"/>
    <w:rsid w:val="00F37B27"/>
    <w:rsid w:val="00F46556"/>
    <w:rsid w:val="00F50E91"/>
    <w:rsid w:val="00F56799"/>
    <w:rsid w:val="00F57D29"/>
    <w:rsid w:val="00F60786"/>
    <w:rsid w:val="00F6169D"/>
    <w:rsid w:val="00F72B82"/>
    <w:rsid w:val="00F80BF9"/>
    <w:rsid w:val="00F91BC7"/>
    <w:rsid w:val="00F94016"/>
    <w:rsid w:val="00F94372"/>
    <w:rsid w:val="00F96201"/>
    <w:rsid w:val="00FA1732"/>
    <w:rsid w:val="00FA1BBC"/>
    <w:rsid w:val="00FA1E9B"/>
    <w:rsid w:val="00FB67E4"/>
    <w:rsid w:val="00FB6E7F"/>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50A3CFC7-A841-4618-A5BD-FBDD0AC0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DD5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173928">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E38F65-4A81-4CC9-BD5B-56EC61B05A07}">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5B881-45C8-4FAB-AF97-863A7EAD0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3698</Words>
  <Characters>21080</Characters>
  <Application>Microsoft Office Word</Application>
  <DocSecurity>4</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2</cp:revision>
  <cp:lastPrinted>2015-03-04T20:34:00Z</cp:lastPrinted>
  <dcterms:created xsi:type="dcterms:W3CDTF">2021-02-16T13:18:00Z</dcterms:created>
  <dcterms:modified xsi:type="dcterms:W3CDTF">2021-02-16T13:18:00Z</dcterms:modified>
</cp:coreProperties>
</file>