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192EA469" w:rsidR="003A5366" w:rsidRPr="00853F57" w:rsidRDefault="00FB0C57"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2D662125" wp14:editId="660DB3B0">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211BEB3" w:rsidR="00C02410" w:rsidRPr="00853F57" w:rsidRDefault="00FB0C57" w:rsidP="00C02410">
      <w:pPr>
        <w:pStyle w:val="ProductNumber"/>
        <w:rPr>
          <w:lang w:val="en-GB"/>
        </w:rPr>
      </w:pPr>
      <w:r>
        <w:rPr>
          <w:lang w:val="en-GB"/>
        </w:rPr>
        <w:t>9B21N006</w:t>
      </w:r>
    </w:p>
    <w:p w14:paraId="4E057522" w14:textId="7A113CB1" w:rsidR="00D75295" w:rsidRPr="00853F57" w:rsidRDefault="00D75295" w:rsidP="00D75295">
      <w:pPr>
        <w:jc w:val="right"/>
        <w:rPr>
          <w:rFonts w:ascii="Arial" w:hAnsi="Arial"/>
          <w:b/>
          <w:lang w:val="en-GB"/>
        </w:rPr>
      </w:pPr>
    </w:p>
    <w:p w14:paraId="02524312" w14:textId="77777777" w:rsidR="001901C0" w:rsidRPr="00853F57" w:rsidRDefault="001901C0" w:rsidP="00D75295">
      <w:pPr>
        <w:jc w:val="right"/>
        <w:rPr>
          <w:rFonts w:ascii="Arial" w:hAnsi="Arial"/>
          <w:b/>
          <w:lang w:val="en-GB"/>
        </w:rPr>
      </w:pPr>
    </w:p>
    <w:p w14:paraId="2F03D26A" w14:textId="7EF925F1" w:rsidR="00013360" w:rsidRPr="00853F57" w:rsidRDefault="00437109" w:rsidP="00013360">
      <w:pPr>
        <w:pStyle w:val="CaseTitle"/>
        <w:spacing w:after="0" w:line="240" w:lineRule="auto"/>
        <w:rPr>
          <w:sz w:val="20"/>
          <w:szCs w:val="20"/>
          <w:lang w:val="en-GB"/>
        </w:rPr>
      </w:pPr>
      <w:r w:rsidRPr="00853F57">
        <w:rPr>
          <w:color w:val="000000" w:themeColor="text1"/>
          <w:lang w:val="en-GB"/>
        </w:rPr>
        <w:t>THE holcim Acquisition: Cementing SMC’s industry leadership in the philippines</w:t>
      </w:r>
      <w:r w:rsidR="00D04844">
        <w:rPr>
          <w:rStyle w:val="EndnoteReference"/>
          <w:color w:val="000000" w:themeColor="text1"/>
          <w:lang w:val="en-GB"/>
        </w:rPr>
        <w:endnoteReference w:id="1"/>
      </w:r>
    </w:p>
    <w:p w14:paraId="40ABF6FD" w14:textId="77777777" w:rsidR="00CA3976" w:rsidRPr="00853F57" w:rsidRDefault="00CA3976" w:rsidP="00013360">
      <w:pPr>
        <w:pStyle w:val="CaseTitle"/>
        <w:spacing w:after="0" w:line="240" w:lineRule="auto"/>
        <w:rPr>
          <w:sz w:val="20"/>
          <w:szCs w:val="20"/>
          <w:lang w:val="en-GB"/>
        </w:rPr>
      </w:pPr>
    </w:p>
    <w:p w14:paraId="202F1085" w14:textId="77777777" w:rsidR="00013360" w:rsidRPr="00853F57" w:rsidRDefault="00013360" w:rsidP="00013360">
      <w:pPr>
        <w:pStyle w:val="CaseTitle"/>
        <w:spacing w:after="0" w:line="240" w:lineRule="auto"/>
        <w:rPr>
          <w:sz w:val="20"/>
          <w:szCs w:val="20"/>
          <w:lang w:val="en-GB"/>
        </w:rPr>
      </w:pPr>
    </w:p>
    <w:p w14:paraId="58B0C73F" w14:textId="61C9BB5F" w:rsidR="00086B26" w:rsidRPr="00853F57" w:rsidRDefault="00437109" w:rsidP="00086B26">
      <w:pPr>
        <w:pStyle w:val="StyleCopyrightStatementAfter0ptBottomSinglesolidline1"/>
        <w:rPr>
          <w:lang w:val="en-GB"/>
        </w:rPr>
      </w:pPr>
      <w:r w:rsidRPr="00853F57">
        <w:rPr>
          <w:rFonts w:cs="Arial"/>
          <w:color w:val="000000" w:themeColor="text1"/>
          <w:szCs w:val="16"/>
          <w:lang w:val="en-GB"/>
        </w:rPr>
        <w:t xml:space="preserve">Maria Theresa </w:t>
      </w:r>
      <w:proofErr w:type="spellStart"/>
      <w:r w:rsidR="00344236" w:rsidRPr="001A1654">
        <w:rPr>
          <w:rFonts w:cs="Arial"/>
          <w:color w:val="000000" w:themeColor="text1"/>
          <w:szCs w:val="16"/>
          <w:lang w:val="en-GB"/>
        </w:rPr>
        <w:t>Mañalac</w:t>
      </w:r>
      <w:proofErr w:type="spellEnd"/>
      <w:r w:rsidRPr="00853F57">
        <w:rPr>
          <w:rFonts w:cs="Arial"/>
          <w:color w:val="000000" w:themeColor="text1"/>
          <w:szCs w:val="16"/>
          <w:lang w:val="en-GB"/>
        </w:rPr>
        <w:t>, Yusoph Maute</w:t>
      </w:r>
      <w:r w:rsidR="000A7CEF" w:rsidRPr="00853F57">
        <w:rPr>
          <w:rFonts w:cs="Arial"/>
          <w:color w:val="000000" w:themeColor="text1"/>
          <w:szCs w:val="16"/>
          <w:lang w:val="en-GB"/>
        </w:rPr>
        <w:t>,</w:t>
      </w:r>
      <w:r w:rsidRPr="00853F57">
        <w:rPr>
          <w:rFonts w:cs="Arial"/>
          <w:color w:val="000000" w:themeColor="text1"/>
          <w:szCs w:val="16"/>
          <w:lang w:val="en-GB"/>
        </w:rPr>
        <w:t xml:space="preserve"> and Sandeep Puri</w:t>
      </w:r>
      <w:r w:rsidR="00ED7922" w:rsidRPr="00853F57">
        <w:rPr>
          <w:rFonts w:cs="Arial"/>
          <w:szCs w:val="16"/>
          <w:lang w:val="en-GB"/>
        </w:rPr>
        <w:t xml:space="preserve"> </w:t>
      </w:r>
      <w:r w:rsidR="00086B26" w:rsidRPr="00853F57">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853F57" w:rsidRDefault="00086B26" w:rsidP="00086B26">
      <w:pPr>
        <w:pStyle w:val="StyleCopyrightStatementAfter0ptBottomSinglesolidline1"/>
        <w:rPr>
          <w:lang w:val="en-GB"/>
        </w:rPr>
      </w:pPr>
    </w:p>
    <w:p w14:paraId="1EEEBFE5" w14:textId="1AFDB3E5" w:rsidR="00A323B0" w:rsidRPr="00853F57" w:rsidRDefault="00FB0C57"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2BB1010" w14:textId="5D63DE7F" w:rsidR="003A5366" w:rsidRPr="00853F57" w:rsidRDefault="003A5366" w:rsidP="00A323B0">
      <w:pPr>
        <w:pStyle w:val="StyleStyleCopyrightStatementAfter0ptBottomSinglesolid"/>
        <w:rPr>
          <w:rFonts w:cs="Arial"/>
          <w:szCs w:val="16"/>
          <w:lang w:val="en-GB"/>
        </w:rPr>
      </w:pPr>
    </w:p>
    <w:p w14:paraId="3922E14F" w14:textId="48FDF62D" w:rsidR="00751E0B" w:rsidRPr="00853F57" w:rsidRDefault="00FB0C57"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853F57">
        <w:rPr>
          <w:rFonts w:cs="Arial"/>
          <w:iCs w:val="0"/>
          <w:color w:val="auto"/>
          <w:szCs w:val="16"/>
          <w:lang w:val="en-GB"/>
        </w:rPr>
        <w:tab/>
        <w:t xml:space="preserve">Version: </w:t>
      </w:r>
      <w:r w:rsidR="00437109" w:rsidRPr="00853F57">
        <w:rPr>
          <w:rFonts w:cs="Arial"/>
          <w:iCs w:val="0"/>
          <w:color w:val="auto"/>
          <w:szCs w:val="16"/>
          <w:lang w:val="en-GB"/>
        </w:rPr>
        <w:t>202</w:t>
      </w:r>
      <w:r w:rsidR="007647C6" w:rsidRPr="00853F57">
        <w:rPr>
          <w:rFonts w:cs="Arial"/>
          <w:iCs w:val="0"/>
          <w:color w:val="auto"/>
          <w:szCs w:val="16"/>
          <w:lang w:val="en-GB"/>
        </w:rPr>
        <w:t>1</w:t>
      </w:r>
      <w:r w:rsidR="00437109" w:rsidRPr="00853F57">
        <w:rPr>
          <w:rFonts w:cs="Arial"/>
          <w:iCs w:val="0"/>
          <w:color w:val="auto"/>
          <w:szCs w:val="16"/>
          <w:lang w:val="en-GB"/>
        </w:rPr>
        <w:t>-</w:t>
      </w:r>
      <w:r w:rsidR="000000A8">
        <w:rPr>
          <w:rFonts w:cs="Arial"/>
          <w:iCs w:val="0"/>
          <w:color w:val="auto"/>
          <w:szCs w:val="16"/>
          <w:lang w:val="en-GB"/>
        </w:rPr>
        <w:t>07-</w:t>
      </w:r>
      <w:r w:rsidR="007812E4">
        <w:rPr>
          <w:rFonts w:cs="Arial"/>
          <w:iCs w:val="0"/>
          <w:color w:val="auto"/>
          <w:szCs w:val="16"/>
          <w:lang w:val="en-GB"/>
        </w:rPr>
        <w:t>12</w:t>
      </w:r>
    </w:p>
    <w:p w14:paraId="0A2A54E4" w14:textId="77777777" w:rsidR="00751E0B" w:rsidRPr="00853F57" w:rsidRDefault="00751E0B" w:rsidP="00751E0B">
      <w:pPr>
        <w:pStyle w:val="StyleCopyrightStatementAfter0ptBottomSinglesolidline1"/>
        <w:rPr>
          <w:rFonts w:ascii="Times New Roman" w:hAnsi="Times New Roman"/>
          <w:sz w:val="20"/>
          <w:lang w:val="en-GB"/>
        </w:rPr>
      </w:pPr>
    </w:p>
    <w:p w14:paraId="2C183161" w14:textId="3A90744A" w:rsidR="00B87DC0" w:rsidRPr="00853F57" w:rsidRDefault="00B87DC0" w:rsidP="002B40FF">
      <w:pPr>
        <w:pStyle w:val="Casehead1"/>
        <w:rPr>
          <w:lang w:val="en-GB"/>
        </w:rPr>
      </w:pPr>
    </w:p>
    <w:p w14:paraId="772100B1" w14:textId="5E0EAA85" w:rsidR="00862671" w:rsidRPr="007D3515" w:rsidRDefault="00437109" w:rsidP="00437109">
      <w:pPr>
        <w:pStyle w:val="BodyTextMain"/>
        <w:rPr>
          <w:spacing w:val="-4"/>
          <w:lang w:val="en-GB"/>
        </w:rPr>
      </w:pPr>
      <w:r w:rsidRPr="007D3515">
        <w:rPr>
          <w:spacing w:val="-4"/>
          <w:lang w:val="en-GB"/>
        </w:rPr>
        <w:t xml:space="preserve">On May 11, 2019, San Miguel Corporation (SMC) announced </w:t>
      </w:r>
      <w:r w:rsidR="000A7CEF" w:rsidRPr="007D3515">
        <w:rPr>
          <w:spacing w:val="-4"/>
          <w:lang w:val="en-GB"/>
        </w:rPr>
        <w:t xml:space="preserve">its </w:t>
      </w:r>
      <w:r w:rsidRPr="007D3515">
        <w:rPr>
          <w:spacing w:val="-4"/>
          <w:lang w:val="en-GB"/>
        </w:rPr>
        <w:t>acquisition of Holcim Philippines Inc. (HPI), the country’s leading cement</w:t>
      </w:r>
      <w:r w:rsidR="000A7CEF" w:rsidRPr="007D3515">
        <w:rPr>
          <w:spacing w:val="-4"/>
          <w:lang w:val="en-GB"/>
        </w:rPr>
        <w:t xml:space="preserve"> </w:t>
      </w:r>
      <w:r w:rsidRPr="007D3515">
        <w:rPr>
          <w:spacing w:val="-4"/>
          <w:lang w:val="en-GB"/>
        </w:rPr>
        <w:t xml:space="preserve">maker, for a full (100 per cent) enterprise value of </w:t>
      </w:r>
      <w:r w:rsidR="00BF28ED" w:rsidRPr="007D3515">
        <w:rPr>
          <w:spacing w:val="-4"/>
          <w:lang w:val="en-GB"/>
        </w:rPr>
        <w:t>US</w:t>
      </w:r>
      <w:r w:rsidRPr="007D3515">
        <w:rPr>
          <w:spacing w:val="-4"/>
          <w:lang w:val="en-GB"/>
        </w:rPr>
        <w:t>$2.15 billion (</w:t>
      </w:r>
      <w:bookmarkStart w:id="0" w:name="_Hlk50104860"/>
      <w:r w:rsidRPr="007D3515">
        <w:rPr>
          <w:spacing w:val="-4"/>
          <w:lang w:val="en-GB"/>
        </w:rPr>
        <w:t>₱</w:t>
      </w:r>
      <w:bookmarkEnd w:id="0"/>
      <w:r w:rsidRPr="007D3515">
        <w:rPr>
          <w:spacing w:val="-4"/>
          <w:lang w:val="en-GB"/>
        </w:rPr>
        <w:t>112.3 billion)</w:t>
      </w:r>
      <w:bookmarkStart w:id="1" w:name="_Hlk50104992"/>
      <w:r w:rsidRPr="007D3515">
        <w:rPr>
          <w:spacing w:val="-4"/>
          <w:lang w:val="en-GB"/>
        </w:rPr>
        <w:t>.</w:t>
      </w:r>
      <w:bookmarkEnd w:id="1"/>
      <w:r w:rsidR="00862671" w:rsidRPr="007D3515">
        <w:rPr>
          <w:rStyle w:val="EndnoteReference"/>
          <w:color w:val="000000" w:themeColor="text1"/>
          <w:spacing w:val="-4"/>
          <w:lang w:val="en-GB"/>
        </w:rPr>
        <w:endnoteReference w:id="2"/>
      </w:r>
      <w:r w:rsidR="00862671" w:rsidRPr="007D3515">
        <w:rPr>
          <w:spacing w:val="-4"/>
          <w:lang w:val="en-GB"/>
        </w:rPr>
        <w:t xml:space="preserve"> SMC planned to buy an 85.73 per cent controlling stake in HPI, which would make SMC the biggest cement player in the country.</w:t>
      </w:r>
      <w:bookmarkStart w:id="2" w:name="_Hlk50129558"/>
      <w:r w:rsidR="00862671" w:rsidRPr="007D3515">
        <w:rPr>
          <w:rStyle w:val="EndnoteReference"/>
          <w:color w:val="000000" w:themeColor="text1"/>
          <w:spacing w:val="-4"/>
          <w:lang w:val="en-GB"/>
        </w:rPr>
        <w:endnoteReference w:id="3"/>
      </w:r>
      <w:r w:rsidR="00862671" w:rsidRPr="007D3515">
        <w:rPr>
          <w:spacing w:val="-4"/>
          <w:lang w:val="en-GB"/>
        </w:rPr>
        <w:t xml:space="preserve"> </w:t>
      </w:r>
      <w:bookmarkEnd w:id="2"/>
      <w:r w:rsidR="00862671" w:rsidRPr="007D3515">
        <w:rPr>
          <w:spacing w:val="-4"/>
          <w:lang w:val="en-GB"/>
        </w:rPr>
        <w:t xml:space="preserve">The transaction involved the potential transfer of the 5,531,566,062 common shares in HPI (or 85.73 per cent of outstanding shares) that had previously been owned by Union Cement Holdings Corporation, (UCHC), </w:t>
      </w:r>
      <w:proofErr w:type="spellStart"/>
      <w:r w:rsidR="00862671" w:rsidRPr="007D3515">
        <w:rPr>
          <w:spacing w:val="-4"/>
          <w:lang w:val="en-GB"/>
        </w:rPr>
        <w:t>Holderfin</w:t>
      </w:r>
      <w:proofErr w:type="spellEnd"/>
      <w:r w:rsidR="00862671" w:rsidRPr="007D3515">
        <w:rPr>
          <w:spacing w:val="-4"/>
          <w:lang w:val="en-GB"/>
        </w:rPr>
        <w:t xml:space="preserve"> BV (</w:t>
      </w:r>
      <w:proofErr w:type="spellStart"/>
      <w:r w:rsidR="00862671" w:rsidRPr="007D3515">
        <w:rPr>
          <w:spacing w:val="-4"/>
          <w:lang w:val="en-GB"/>
        </w:rPr>
        <w:t>Holderfin</w:t>
      </w:r>
      <w:proofErr w:type="spellEnd"/>
      <w:r w:rsidR="00862671" w:rsidRPr="007D3515">
        <w:rPr>
          <w:spacing w:val="-4"/>
          <w:lang w:val="en-GB"/>
        </w:rPr>
        <w:t xml:space="preserve">), and </w:t>
      </w:r>
      <w:proofErr w:type="spellStart"/>
      <w:r w:rsidR="00862671" w:rsidRPr="007D3515">
        <w:rPr>
          <w:spacing w:val="-4"/>
          <w:lang w:val="en-GB"/>
        </w:rPr>
        <w:t>Cemco</w:t>
      </w:r>
      <w:proofErr w:type="spellEnd"/>
      <w:r w:rsidR="00862671" w:rsidRPr="007D3515">
        <w:rPr>
          <w:spacing w:val="-4"/>
          <w:lang w:val="en-GB"/>
        </w:rPr>
        <w:t xml:space="preserve"> Holdings Inc. (</w:t>
      </w:r>
      <w:proofErr w:type="spellStart"/>
      <w:r w:rsidR="00862671" w:rsidRPr="007D3515">
        <w:rPr>
          <w:spacing w:val="-4"/>
          <w:lang w:val="en-GB"/>
        </w:rPr>
        <w:t>Cemco</w:t>
      </w:r>
      <w:proofErr w:type="spellEnd"/>
      <w:r w:rsidR="00862671" w:rsidRPr="007D3515">
        <w:rPr>
          <w:spacing w:val="-4"/>
          <w:lang w:val="en-GB"/>
        </w:rPr>
        <w:t>) (see Exhibit 1). The buyer was First Stronghold Cement Industries Inc. (First Stronghold), a wholly owned subsidiary of San Miguel Equity Investments Inc., which in turn was a wholly owned subsidiary of SMC.</w:t>
      </w:r>
      <w:r w:rsidR="00862671" w:rsidRPr="007D3515">
        <w:rPr>
          <w:rStyle w:val="EndnoteReference"/>
          <w:color w:val="000000" w:themeColor="text1"/>
          <w:spacing w:val="-4"/>
          <w:lang w:val="en-GB"/>
        </w:rPr>
        <w:endnoteReference w:id="4"/>
      </w:r>
      <w:r w:rsidR="00862671" w:rsidRPr="007D3515">
        <w:rPr>
          <w:spacing w:val="-4"/>
          <w:lang w:val="en-GB"/>
        </w:rPr>
        <w:t xml:space="preserve"> </w:t>
      </w:r>
    </w:p>
    <w:p w14:paraId="482485FA" w14:textId="77777777" w:rsidR="00862671" w:rsidRPr="00853F57" w:rsidRDefault="00862671" w:rsidP="00437109">
      <w:pPr>
        <w:pStyle w:val="BodyTextMain"/>
        <w:rPr>
          <w:lang w:val="en-GB"/>
        </w:rPr>
      </w:pPr>
    </w:p>
    <w:p w14:paraId="3C34B571" w14:textId="377DA78C" w:rsidR="00862671" w:rsidRPr="00D04844" w:rsidRDefault="00862671" w:rsidP="00437109">
      <w:pPr>
        <w:pStyle w:val="BodyTextMain"/>
        <w:rPr>
          <w:spacing w:val="-2"/>
          <w:lang w:val="en-GB"/>
        </w:rPr>
      </w:pPr>
      <w:r w:rsidRPr="00D04844">
        <w:rPr>
          <w:spacing w:val="-2"/>
          <w:lang w:val="en-GB"/>
        </w:rPr>
        <w:t>SMC had won a bidding process against Anhui Conch Cement Co. Ltd., the largest cement manufacturer in mainland China, in the final round.</w:t>
      </w:r>
      <w:r w:rsidRPr="00D04844">
        <w:rPr>
          <w:rStyle w:val="EndnoteReference"/>
          <w:color w:val="000000" w:themeColor="text1"/>
          <w:spacing w:val="-2"/>
          <w:lang w:val="en-GB"/>
        </w:rPr>
        <w:endnoteReference w:id="5"/>
      </w:r>
      <w:r w:rsidRPr="00D04844">
        <w:rPr>
          <w:spacing w:val="-2"/>
          <w:lang w:val="en-GB"/>
        </w:rPr>
        <w:t xml:space="preserve"> Because SMC’s First Stronghold was acquiring controlling interest of a publicly listed company, the Philippines Securities and Exchange Commission (SEC) required First Stronghold to conduct a mandatory tender offer</w:t>
      </w:r>
      <w:bookmarkStart w:id="4" w:name="_Hlk50133658"/>
      <w:r w:rsidRPr="00D04844">
        <w:rPr>
          <w:rStyle w:val="EndnoteReference"/>
          <w:color w:val="000000" w:themeColor="text1"/>
          <w:spacing w:val="-2"/>
          <w:lang w:val="en-GB"/>
        </w:rPr>
        <w:endnoteReference w:id="6"/>
      </w:r>
      <w:bookmarkEnd w:id="4"/>
      <w:r w:rsidRPr="00D04844">
        <w:rPr>
          <w:spacing w:val="-2"/>
          <w:lang w:val="en-GB"/>
        </w:rPr>
        <w:t xml:space="preserve"> for the remaining HPI shares held by minority shareholders, which represented 14.27 per cent of the total issued and outstanding capital stock.</w:t>
      </w:r>
      <w:r w:rsidRPr="00D04844">
        <w:rPr>
          <w:rStyle w:val="EndnoteReference"/>
          <w:color w:val="000000" w:themeColor="text1"/>
          <w:spacing w:val="-2"/>
          <w:lang w:val="en-GB"/>
        </w:rPr>
        <w:endnoteReference w:id="7"/>
      </w:r>
      <w:r w:rsidRPr="00D04844">
        <w:rPr>
          <w:spacing w:val="-2"/>
          <w:lang w:val="en-GB"/>
        </w:rPr>
        <w:t xml:space="preserve"> It would also need prior approval from the Philippine Competition Commission (PCC) since the transaction was valued in excess of ₱1 billion</w:t>
      </w:r>
      <w:bookmarkStart w:id="5" w:name="_Hlk50129728"/>
      <w:r w:rsidRPr="00D04844">
        <w:rPr>
          <w:spacing w:val="-2"/>
          <w:lang w:val="en-GB"/>
        </w:rPr>
        <w:t>.</w:t>
      </w:r>
      <w:r w:rsidRPr="00D04844">
        <w:rPr>
          <w:rStyle w:val="EndnoteReference"/>
          <w:color w:val="000000" w:themeColor="text1"/>
          <w:spacing w:val="-2"/>
          <w:lang w:val="en-GB"/>
        </w:rPr>
        <w:endnoteReference w:id="8"/>
      </w:r>
      <w:bookmarkEnd w:id="5"/>
      <w:r w:rsidRPr="00D04844">
        <w:rPr>
          <w:spacing w:val="-2"/>
          <w:lang w:val="en-GB"/>
        </w:rPr>
        <w:t xml:space="preserve"> While waiting for the approval of the PCC and the completion of the post-closing purchase price adjustment, First Stronghold and SMC filed a request with the SEC for exemptive relief, which would allow the tender offer to be deferred until after the final purchase price had been determined and paid.</w:t>
      </w:r>
      <w:r w:rsidRPr="00D04844">
        <w:rPr>
          <w:rStyle w:val="EndnoteReference"/>
          <w:color w:val="000000" w:themeColor="text1"/>
          <w:spacing w:val="-2"/>
          <w:lang w:val="en-GB"/>
        </w:rPr>
        <w:endnoteReference w:id="9"/>
      </w:r>
      <w:r w:rsidRPr="00D04844">
        <w:rPr>
          <w:spacing w:val="-2"/>
          <w:lang w:val="en-GB"/>
        </w:rPr>
        <w:t xml:space="preserve"> </w:t>
      </w:r>
    </w:p>
    <w:p w14:paraId="4D217FED" w14:textId="77777777" w:rsidR="00862671" w:rsidRPr="00853F57" w:rsidRDefault="00862671" w:rsidP="00437109">
      <w:pPr>
        <w:pStyle w:val="BodyTextMain"/>
        <w:rPr>
          <w:lang w:val="en-GB"/>
        </w:rPr>
      </w:pPr>
    </w:p>
    <w:p w14:paraId="193572B4" w14:textId="35EB6E3B" w:rsidR="00862671" w:rsidRPr="007D3515" w:rsidRDefault="00862671" w:rsidP="00437109">
      <w:pPr>
        <w:pStyle w:val="BodyTextMain"/>
        <w:rPr>
          <w:spacing w:val="-2"/>
          <w:lang w:val="en-GB"/>
        </w:rPr>
      </w:pPr>
      <w:r w:rsidRPr="007D3515">
        <w:rPr>
          <w:spacing w:val="-2"/>
          <w:lang w:val="en-GB"/>
        </w:rPr>
        <w:t xml:space="preserve">First Stronghold had made no specific disclosure about the per-share price of the acquisition. However, according to market estimates reported in the </w:t>
      </w:r>
      <w:r w:rsidRPr="007D3515">
        <w:rPr>
          <w:i/>
          <w:iCs/>
          <w:spacing w:val="-2"/>
          <w:lang w:val="en-GB"/>
        </w:rPr>
        <w:t>Philippine Star</w:t>
      </w:r>
      <w:r w:rsidRPr="007D3515">
        <w:rPr>
          <w:spacing w:val="-2"/>
          <w:lang w:val="en-GB"/>
        </w:rPr>
        <w:t>, SMC had bought HPI for an attractive price of at least ₱16.85 per share,</w:t>
      </w:r>
      <w:r w:rsidRPr="007D3515">
        <w:rPr>
          <w:rStyle w:val="EndnoteReference"/>
          <w:color w:val="000000" w:themeColor="text1"/>
          <w:spacing w:val="-2"/>
          <w:lang w:val="en-GB"/>
        </w:rPr>
        <w:endnoteReference w:id="10"/>
      </w:r>
      <w:r w:rsidRPr="007D3515">
        <w:rPr>
          <w:spacing w:val="-2"/>
          <w:lang w:val="en-GB"/>
        </w:rPr>
        <w:t xml:space="preserve"> higher than the closing price of ₱15.30 on May 10, 2019.</w:t>
      </w:r>
      <w:r w:rsidRPr="007D3515">
        <w:rPr>
          <w:rStyle w:val="EndnoteReference"/>
          <w:color w:val="000000" w:themeColor="text1"/>
          <w:spacing w:val="-2"/>
          <w:lang w:val="en-GB"/>
        </w:rPr>
        <w:endnoteReference w:id="11"/>
      </w:r>
      <w:r w:rsidRPr="007D3515">
        <w:rPr>
          <w:spacing w:val="-2"/>
          <w:lang w:val="en-GB"/>
        </w:rPr>
        <w:t xml:space="preserve"> On December 28, 2018, HPI shares had traded on the Philippine Stock Exchange (under the ticker symbol “HLCM”) at </w:t>
      </w:r>
      <w:bookmarkStart w:id="6" w:name="_Hlk49409959"/>
      <w:r w:rsidRPr="007D3515">
        <w:rPr>
          <w:spacing w:val="-2"/>
          <w:lang w:val="en-GB"/>
        </w:rPr>
        <w:t>₱5.80 (see Exhibit 2).</w:t>
      </w:r>
      <w:bookmarkEnd w:id="6"/>
      <w:r w:rsidRPr="007D3515">
        <w:rPr>
          <w:rStyle w:val="EndnoteReference"/>
          <w:color w:val="000000" w:themeColor="text1"/>
          <w:spacing w:val="-2"/>
          <w:lang w:val="en-GB"/>
        </w:rPr>
        <w:endnoteReference w:id="12"/>
      </w:r>
      <w:r w:rsidRPr="007D3515">
        <w:rPr>
          <w:spacing w:val="-2"/>
          <w:lang w:val="en-GB"/>
        </w:rPr>
        <w:t xml:space="preserve">  </w:t>
      </w:r>
    </w:p>
    <w:p w14:paraId="327E216F" w14:textId="77777777" w:rsidR="00862671" w:rsidRPr="00853F57" w:rsidRDefault="00862671" w:rsidP="00437109">
      <w:pPr>
        <w:pStyle w:val="BodyTextMain"/>
        <w:rPr>
          <w:lang w:val="en-GB"/>
        </w:rPr>
      </w:pPr>
    </w:p>
    <w:p w14:paraId="2BD56216" w14:textId="1F6F13E4" w:rsidR="00862671" w:rsidRDefault="00862671" w:rsidP="00437109">
      <w:pPr>
        <w:pStyle w:val="BodyTextMain"/>
        <w:rPr>
          <w:lang w:val="en-GB"/>
        </w:rPr>
      </w:pPr>
      <w:r w:rsidRPr="00853F57">
        <w:rPr>
          <w:lang w:val="en-GB"/>
        </w:rPr>
        <w:t>Richard Saavedra, a retail investor, had bought HPI shares at ₱7.30 on June 29, 2018. He wanted to understand the current prospects of the cement industry and assess the financial health and valuation of HPI in order to decide whether</w:t>
      </w:r>
      <w:bookmarkStart w:id="7" w:name="_Hlk50116817"/>
      <w:r w:rsidRPr="00853F57">
        <w:rPr>
          <w:lang w:val="en-GB"/>
        </w:rPr>
        <w:t xml:space="preserve"> he should (1) sell his shares in HPI at the current market price and take the immediate gain, (2) wait for the mandatory tender offer price from SMC, or (3) keep his investment in HPI indefinitely. </w:t>
      </w:r>
      <w:bookmarkEnd w:id="7"/>
      <w:r w:rsidRPr="00853F57">
        <w:rPr>
          <w:lang w:val="en-GB"/>
        </w:rPr>
        <w:t>He wondered if the press had reported the right purchase price per share.</w:t>
      </w:r>
    </w:p>
    <w:p w14:paraId="55CEEAF8" w14:textId="77777777" w:rsidR="00862671" w:rsidRPr="00853F57" w:rsidRDefault="00862671" w:rsidP="003057AD">
      <w:pPr>
        <w:pStyle w:val="Casehead1"/>
        <w:keepNext/>
        <w:rPr>
          <w:lang w:val="en-GB"/>
        </w:rPr>
      </w:pPr>
      <w:r w:rsidRPr="00853F57">
        <w:rPr>
          <w:lang w:val="en-GB"/>
        </w:rPr>
        <w:lastRenderedPageBreak/>
        <w:t>PHILIPPINE CEMENT INDUSTRY</w:t>
      </w:r>
    </w:p>
    <w:p w14:paraId="7E190255" w14:textId="77777777" w:rsidR="00862671" w:rsidRPr="00853F57" w:rsidRDefault="00862671" w:rsidP="003057AD">
      <w:pPr>
        <w:pStyle w:val="BodyTextMain"/>
        <w:keepNext/>
        <w:rPr>
          <w:color w:val="000000" w:themeColor="text1"/>
          <w:lang w:val="en-GB"/>
        </w:rPr>
      </w:pPr>
    </w:p>
    <w:p w14:paraId="207B79B5" w14:textId="449F8D87" w:rsidR="00862671" w:rsidRPr="00853F57" w:rsidRDefault="00862671" w:rsidP="003057AD">
      <w:pPr>
        <w:pStyle w:val="BodyTextMain"/>
        <w:keepNext/>
        <w:rPr>
          <w:lang w:val="en-GB"/>
        </w:rPr>
      </w:pPr>
      <w:r w:rsidRPr="00853F57">
        <w:rPr>
          <w:color w:val="000000" w:themeColor="text1"/>
          <w:lang w:val="en-GB"/>
        </w:rPr>
        <w:t xml:space="preserve">The Cement Manufacturers’ Association of the Philippines (CeMAP), which represented the industry in projects and programs with the Philippine government, comprised five members: HPI; CEMEX </w:t>
      </w:r>
      <w:r>
        <w:rPr>
          <w:color w:val="000000" w:themeColor="text1"/>
          <w:lang w:val="en-GB"/>
        </w:rPr>
        <w:t xml:space="preserve">Holdings </w:t>
      </w:r>
      <w:r w:rsidRPr="00853F57">
        <w:rPr>
          <w:color w:val="000000" w:themeColor="text1"/>
          <w:lang w:val="en-GB"/>
        </w:rPr>
        <w:t>Philippines</w:t>
      </w:r>
      <w:r>
        <w:rPr>
          <w:color w:val="000000" w:themeColor="text1"/>
          <w:lang w:val="en-GB"/>
        </w:rPr>
        <w:t>, Inc.,</w:t>
      </w:r>
      <w:r w:rsidRPr="00853F57">
        <w:rPr>
          <w:color w:val="000000" w:themeColor="text1"/>
          <w:lang w:val="en-GB"/>
        </w:rPr>
        <w:t xml:space="preserve"> with its operating subsidiaries Solid Cement Corporation and APO Cement Corporation; Republic Cement and Building Materials Inc. (Republic Cement); Northern Cement Corporation; and Taiheiyo Cement Philippines Inc.</w:t>
      </w:r>
      <w:r w:rsidRPr="00853F57">
        <w:rPr>
          <w:rStyle w:val="EndnoteReference"/>
          <w:color w:val="000000" w:themeColor="text1"/>
          <w:lang w:val="en-GB"/>
        </w:rPr>
        <w:endnoteReference w:id="13"/>
      </w:r>
      <w:r w:rsidRPr="00853F57">
        <w:rPr>
          <w:color w:val="000000" w:themeColor="text1"/>
          <w:lang w:val="en-GB"/>
        </w:rPr>
        <w:t xml:space="preserve"> Eagle </w:t>
      </w:r>
      <w:r w:rsidRPr="00853F57">
        <w:rPr>
          <w:lang w:val="en-GB"/>
        </w:rPr>
        <w:t>Cement Corporation (Eagle Cement), a key industry player, was not part of the CeMAP.</w:t>
      </w:r>
      <w:r w:rsidRPr="00853F57">
        <w:rPr>
          <w:rStyle w:val="EndnoteReference"/>
          <w:color w:val="000000" w:themeColor="text1"/>
          <w:lang w:val="en-GB"/>
        </w:rPr>
        <w:endnoteReference w:id="14"/>
      </w:r>
    </w:p>
    <w:p w14:paraId="3BF8CDED" w14:textId="77777777" w:rsidR="00862671" w:rsidRPr="00853F57" w:rsidRDefault="00862671" w:rsidP="00437109">
      <w:pPr>
        <w:pStyle w:val="BodyTextMain"/>
        <w:rPr>
          <w:lang w:val="en-GB"/>
        </w:rPr>
      </w:pPr>
    </w:p>
    <w:p w14:paraId="3F59020A" w14:textId="0159530B" w:rsidR="00862671" w:rsidRPr="00D04844" w:rsidRDefault="00862671" w:rsidP="0081573F">
      <w:pPr>
        <w:jc w:val="both"/>
        <w:rPr>
          <w:spacing w:val="-2"/>
          <w:sz w:val="22"/>
          <w:szCs w:val="22"/>
          <w:lang w:val="en-GB"/>
        </w:rPr>
      </w:pPr>
      <w:r w:rsidRPr="00D04844">
        <w:rPr>
          <w:color w:val="000000" w:themeColor="text1"/>
          <w:spacing w:val="-2"/>
          <w:sz w:val="22"/>
          <w:szCs w:val="22"/>
          <w:shd w:val="clear" w:color="auto" w:fill="FFFFFF"/>
          <w:lang w:val="en-GB"/>
        </w:rPr>
        <w:t xml:space="preserve">After the </w:t>
      </w:r>
      <w:r w:rsidRPr="00D04844">
        <w:rPr>
          <w:color w:val="000000" w:themeColor="text1"/>
          <w:spacing w:val="-2"/>
          <w:sz w:val="22"/>
          <w:szCs w:val="22"/>
          <w:lang w:val="en-GB"/>
        </w:rPr>
        <w:t>PCC investigated CeMAP, HPI, and Republic Cement for alleged violations of competitive practices</w:t>
      </w:r>
      <w:r w:rsidRPr="00D04844" w:rsidDel="00793846">
        <w:rPr>
          <w:color w:val="000000" w:themeColor="text1"/>
          <w:spacing w:val="-2"/>
          <w:sz w:val="22"/>
          <w:szCs w:val="22"/>
          <w:shd w:val="clear" w:color="auto" w:fill="FFFFFF"/>
          <w:lang w:val="en-GB"/>
        </w:rPr>
        <w:t xml:space="preserve"> </w:t>
      </w:r>
      <w:r w:rsidRPr="00D04844">
        <w:rPr>
          <w:color w:val="000000" w:themeColor="text1"/>
          <w:spacing w:val="-2"/>
          <w:sz w:val="22"/>
          <w:szCs w:val="22"/>
          <w:shd w:val="clear" w:color="auto" w:fill="FFFFFF"/>
          <w:lang w:val="en-GB"/>
        </w:rPr>
        <w:t xml:space="preserve">in 2016, CeMAP </w:t>
      </w:r>
      <w:r w:rsidRPr="00D04844">
        <w:rPr>
          <w:color w:val="000000" w:themeColor="text1"/>
          <w:spacing w:val="-2"/>
          <w:sz w:val="22"/>
          <w:szCs w:val="22"/>
          <w:lang w:val="en-GB"/>
        </w:rPr>
        <w:t xml:space="preserve">stopped collecting sales data in August 2017, which resulted in the absence of any </w:t>
      </w:r>
      <w:r w:rsidRPr="00D04844">
        <w:rPr>
          <w:color w:val="000000" w:themeColor="text1"/>
          <w:spacing w:val="-2"/>
          <w:sz w:val="22"/>
          <w:szCs w:val="22"/>
          <w:shd w:val="clear" w:color="auto" w:fill="FFFFFF"/>
          <w:lang w:val="en-GB"/>
        </w:rPr>
        <w:t>report on the cement industry.</w:t>
      </w:r>
      <w:r w:rsidRPr="00D04844">
        <w:rPr>
          <w:rStyle w:val="EndnoteReference"/>
          <w:color w:val="000000" w:themeColor="text1"/>
          <w:spacing w:val="-2"/>
          <w:sz w:val="22"/>
          <w:szCs w:val="22"/>
          <w:lang w:val="en-GB"/>
        </w:rPr>
        <w:endnoteReference w:id="15"/>
      </w:r>
      <w:r w:rsidRPr="00D04844">
        <w:rPr>
          <w:color w:val="000000" w:themeColor="text1"/>
          <w:spacing w:val="-2"/>
          <w:sz w:val="22"/>
          <w:szCs w:val="22"/>
          <w:shd w:val="clear" w:color="auto" w:fill="FFFFFF"/>
          <w:lang w:val="en-GB"/>
        </w:rPr>
        <w:t xml:space="preserve"> However, i</w:t>
      </w:r>
      <w:r w:rsidRPr="00D04844">
        <w:rPr>
          <w:spacing w:val="-2"/>
          <w:sz w:val="22"/>
          <w:szCs w:val="22"/>
          <w:lang w:val="en-GB"/>
        </w:rPr>
        <w:t xml:space="preserve">t was reported in an affidavit that CeMAP president Ernesto </w:t>
      </w:r>
      <w:proofErr w:type="spellStart"/>
      <w:r w:rsidRPr="00D04844">
        <w:rPr>
          <w:spacing w:val="-2"/>
          <w:sz w:val="22"/>
          <w:szCs w:val="22"/>
          <w:lang w:val="en-GB"/>
        </w:rPr>
        <w:t>Ordoñez</w:t>
      </w:r>
      <w:proofErr w:type="spellEnd"/>
      <w:r w:rsidRPr="00D04844">
        <w:rPr>
          <w:spacing w:val="-2"/>
          <w:sz w:val="22"/>
          <w:szCs w:val="22"/>
          <w:lang w:val="en-GB"/>
        </w:rPr>
        <w:t xml:space="preserve">, HPI, and Republic Cement had violated the </w:t>
      </w:r>
      <w:r w:rsidRPr="00D04844">
        <w:rPr>
          <w:i/>
          <w:iCs/>
          <w:spacing w:val="-2"/>
          <w:sz w:val="22"/>
          <w:szCs w:val="22"/>
          <w:lang w:val="en-GB"/>
        </w:rPr>
        <w:t>Philippine Competition Act</w:t>
      </w:r>
      <w:r w:rsidRPr="00D04844">
        <w:rPr>
          <w:spacing w:val="-2"/>
          <w:sz w:val="22"/>
          <w:szCs w:val="22"/>
          <w:lang w:val="en-GB"/>
        </w:rPr>
        <w:t>’s provisions by using anti-competitive agreements by “restricting competition as to price or components thereof or other terms of trade, abusing their dominant position by engaging in conduct that substantially prevents, restricts, or lessens competition, imposing barriers to entry, or committing acts that prevent competitors from growing within the market.”</w:t>
      </w:r>
      <w:r w:rsidRPr="00D04844">
        <w:rPr>
          <w:rStyle w:val="EndnoteReference"/>
          <w:spacing w:val="-2"/>
          <w:sz w:val="22"/>
          <w:szCs w:val="22"/>
          <w:lang w:val="en-GB"/>
        </w:rPr>
        <w:endnoteReference w:id="16"/>
      </w:r>
    </w:p>
    <w:p w14:paraId="64E5E661" w14:textId="6C399EC1" w:rsidR="00862671" w:rsidRPr="00853F57" w:rsidRDefault="00862671" w:rsidP="00437109">
      <w:pPr>
        <w:pStyle w:val="BodyTextMain"/>
        <w:rPr>
          <w:color w:val="000000" w:themeColor="text1"/>
          <w:shd w:val="clear" w:color="auto" w:fill="FFFFFF"/>
          <w:lang w:val="en-GB"/>
        </w:rPr>
      </w:pPr>
      <w:r w:rsidRPr="00853F57">
        <w:rPr>
          <w:color w:val="000000" w:themeColor="text1"/>
          <w:shd w:val="clear" w:color="auto" w:fill="FFFFFF"/>
          <w:lang w:val="en-GB"/>
        </w:rPr>
        <w:t xml:space="preserve"> </w:t>
      </w:r>
    </w:p>
    <w:p w14:paraId="20575214" w14:textId="0B52B97A" w:rsidR="00862671" w:rsidRPr="00853F57" w:rsidRDefault="00862671" w:rsidP="006F7977">
      <w:pPr>
        <w:pStyle w:val="BodyTextMain"/>
        <w:rPr>
          <w:lang w:val="en-GB"/>
        </w:rPr>
      </w:pPr>
      <w:r w:rsidRPr="00853F57">
        <w:rPr>
          <w:lang w:val="en-GB"/>
        </w:rPr>
        <w:t>Demand for cement in the Philippines had expanded from 15.45 metric tons per year (MTPY) in 2010 to 24.40 MTPY in 2015, representing a compounded annual growth rate of 9.53 per cent.</w:t>
      </w:r>
      <w:r w:rsidRPr="00853F57">
        <w:rPr>
          <w:rStyle w:val="EndnoteReference"/>
          <w:lang w:val="en-GB"/>
        </w:rPr>
        <w:endnoteReference w:id="17"/>
      </w:r>
      <w:r w:rsidRPr="00853F57">
        <w:rPr>
          <w:lang w:val="en-GB"/>
        </w:rPr>
        <w:t xml:space="preserve"> This was faster than the Philippine nominal gross domestic product (GDP) growth rate of 8.21 per cent over the same time period.</w:t>
      </w:r>
      <w:r w:rsidRPr="00853F57">
        <w:rPr>
          <w:rStyle w:val="EndnoteReference"/>
          <w:lang w:val="en-GB"/>
        </w:rPr>
        <w:endnoteReference w:id="18"/>
      </w:r>
      <w:r w:rsidRPr="00853F57">
        <w:rPr>
          <w:lang w:val="en-GB"/>
        </w:rPr>
        <w:t xml:space="preserve"> At the end of 2016, CeMAP reported an overall increase in sales of cement, including imported cement (see Exhibit 3), which had risen to 25.96 million metric tons, with 1.59 million metric tons coming from imported cement.</w:t>
      </w:r>
      <w:r w:rsidRPr="00853F57">
        <w:rPr>
          <w:rStyle w:val="EndnoteReference"/>
          <w:color w:val="000000" w:themeColor="text1"/>
          <w:lang w:val="en-GB"/>
        </w:rPr>
        <w:endnoteReference w:id="19"/>
      </w:r>
      <w:r w:rsidRPr="00853F57">
        <w:rPr>
          <w:lang w:val="en-GB"/>
        </w:rPr>
        <w:t xml:space="preserve"> To keep up with the rapidly growing demand, the cement industry was expected to produce an “additional </w:t>
      </w:r>
      <w:r w:rsidRPr="00853F57">
        <w:rPr>
          <w:shd w:val="clear" w:color="auto" w:fill="FFFFFF"/>
          <w:lang w:val="en-GB"/>
        </w:rPr>
        <w:t>11.5 million tons until 2025,” which was up from the 26.82 million tons demanded in 2017 and increased the pressure to either import or increase the capacity of cement plants to bridge the gap between demand and supply.</w:t>
      </w:r>
      <w:r w:rsidRPr="00853F57">
        <w:rPr>
          <w:rStyle w:val="EndnoteReference"/>
          <w:color w:val="000000" w:themeColor="text1"/>
          <w:shd w:val="clear" w:color="auto" w:fill="FFFFFF"/>
          <w:lang w:val="en-GB"/>
        </w:rPr>
        <w:endnoteReference w:id="20"/>
      </w:r>
      <w:r w:rsidRPr="00853F57">
        <w:rPr>
          <w:lang w:val="en-GB"/>
        </w:rPr>
        <w:t xml:space="preserve"> In </w:t>
      </w:r>
      <w:r w:rsidRPr="00853F57">
        <w:rPr>
          <w:shd w:val="clear" w:color="auto" w:fill="FFFFFF"/>
          <w:lang w:val="en-GB"/>
        </w:rPr>
        <w:t>the first quarter of 2019, the cement industry had reported a 64 per cent increase in imports, which continued to rise in spite of the imposition of a provisional safeguard duty of ₱8.40 per bag (US$0.16 per bag) imposed in February 2019.</w:t>
      </w:r>
      <w:r w:rsidRPr="00853F57">
        <w:rPr>
          <w:rStyle w:val="EndnoteReference"/>
          <w:color w:val="000000" w:themeColor="text1"/>
          <w:shd w:val="clear" w:color="auto" w:fill="FFFFFF"/>
          <w:lang w:val="en-GB"/>
        </w:rPr>
        <w:endnoteReference w:id="21"/>
      </w:r>
      <w:r w:rsidRPr="00853F57">
        <w:rPr>
          <w:shd w:val="clear" w:color="auto" w:fill="FFFFFF"/>
          <w:lang w:val="en-GB"/>
        </w:rPr>
        <w:t xml:space="preserve"> </w:t>
      </w:r>
      <w:r w:rsidRPr="00853F57">
        <w:rPr>
          <w:lang w:val="en-GB"/>
        </w:rPr>
        <w:t>The huge demand–supply gap was the result of the poor state of cement plants in the Philippines, which were over 20 years old, needed renovations and had a clinker-to-cement</w:t>
      </w:r>
      <w:r w:rsidRPr="00853F57">
        <w:rPr>
          <w:rStyle w:val="EndnoteReference"/>
          <w:color w:val="000000" w:themeColor="text1"/>
          <w:lang w:val="en-GB"/>
        </w:rPr>
        <w:endnoteReference w:id="22"/>
      </w:r>
      <w:r w:rsidRPr="00853F57">
        <w:rPr>
          <w:lang w:val="en-GB"/>
        </w:rPr>
        <w:t xml:space="preserve"> ratio below 0.80.</w:t>
      </w:r>
    </w:p>
    <w:p w14:paraId="50F498FD" w14:textId="6697742C" w:rsidR="00862671" w:rsidRPr="00853F57" w:rsidRDefault="00862671" w:rsidP="006F7977">
      <w:pPr>
        <w:pStyle w:val="BodyTextMain"/>
        <w:rPr>
          <w:color w:val="000000" w:themeColor="text1"/>
          <w:shd w:val="clear" w:color="auto" w:fill="FFFFFF"/>
          <w:lang w:val="en-GB"/>
        </w:rPr>
      </w:pPr>
    </w:p>
    <w:p w14:paraId="583FA75D" w14:textId="5AD3880A" w:rsidR="00862671" w:rsidRPr="00D04844" w:rsidRDefault="00862671" w:rsidP="006F7977">
      <w:pPr>
        <w:pStyle w:val="BodyTextMain"/>
        <w:rPr>
          <w:b/>
          <w:bCs/>
          <w:spacing w:val="-2"/>
          <w:lang w:val="en-GB"/>
        </w:rPr>
      </w:pPr>
      <w:r w:rsidRPr="00D04844">
        <w:rPr>
          <w:color w:val="000000" w:themeColor="text1"/>
          <w:spacing w:val="-2"/>
          <w:lang w:val="en-GB"/>
        </w:rPr>
        <w:t>Future cement demand was expected to continue being driven by growth in the construction sector. Strong government infrastructure spending to support economic growth, such as the Build, Build, Build! program,</w:t>
      </w:r>
      <w:r w:rsidRPr="00D04844">
        <w:rPr>
          <w:rStyle w:val="EndnoteReference"/>
          <w:color w:val="000000" w:themeColor="text1"/>
          <w:spacing w:val="-2"/>
          <w:lang w:val="en-GB"/>
        </w:rPr>
        <w:endnoteReference w:id="23"/>
      </w:r>
      <w:r w:rsidRPr="00D04844">
        <w:rPr>
          <w:color w:val="000000" w:themeColor="text1"/>
          <w:spacing w:val="-2"/>
          <w:lang w:val="en-GB"/>
        </w:rPr>
        <w:t xml:space="preserve"> and developments from the private sector were likely to create a major spike in demand for construction supplies, including cement.</w:t>
      </w:r>
      <w:r w:rsidRPr="00D04844">
        <w:rPr>
          <w:rStyle w:val="EndnoteReference"/>
          <w:color w:val="000000" w:themeColor="text1"/>
          <w:spacing w:val="-2"/>
          <w:lang w:val="en-GB"/>
        </w:rPr>
        <w:endnoteReference w:id="24"/>
      </w:r>
      <w:r w:rsidRPr="00D04844">
        <w:rPr>
          <w:color w:val="000000" w:themeColor="text1"/>
          <w:spacing w:val="-2"/>
          <w:lang w:val="en-GB"/>
        </w:rPr>
        <w:t xml:space="preserve"> </w:t>
      </w:r>
      <w:r w:rsidRPr="00D04844">
        <w:rPr>
          <w:bCs/>
          <w:spacing w:val="-2"/>
          <w:lang w:val="en-GB"/>
        </w:rPr>
        <w:t>The construction sector had seen massive growth and was expected to reach US$47 billion in value by 2020 following the government’s push for infrastructure development, rural-area urbanization, and low- and middle-income group housing;</w:t>
      </w:r>
      <w:r w:rsidRPr="00D04844">
        <w:rPr>
          <w:rStyle w:val="EndnoteReference"/>
          <w:bCs/>
          <w:color w:val="000000" w:themeColor="text1"/>
          <w:spacing w:val="-2"/>
          <w:lang w:val="en-GB"/>
        </w:rPr>
        <w:endnoteReference w:id="25"/>
      </w:r>
      <w:r w:rsidRPr="00D04844">
        <w:rPr>
          <w:bCs/>
          <w:spacing w:val="-2"/>
          <w:lang w:val="en-GB"/>
        </w:rPr>
        <w:t xml:space="preserve"> there were also increasing demands from a growing expatriate population for posh condominiums.</w:t>
      </w:r>
      <w:r w:rsidRPr="00D04844">
        <w:rPr>
          <w:rStyle w:val="EndnoteReference"/>
          <w:bCs/>
          <w:color w:val="000000" w:themeColor="text1"/>
          <w:spacing w:val="-2"/>
          <w:lang w:val="en-GB"/>
        </w:rPr>
        <w:endnoteReference w:id="26"/>
      </w:r>
      <w:r w:rsidRPr="00D04844">
        <w:rPr>
          <w:bCs/>
          <w:spacing w:val="-2"/>
          <w:lang w:val="en-GB"/>
        </w:rPr>
        <w:t xml:space="preserve"> The government had also committed US$23 billion to tourism infrastructure development from 2019 to 2024 under its National Tourism Development Plan.</w:t>
      </w:r>
      <w:r w:rsidRPr="00D04844">
        <w:rPr>
          <w:rStyle w:val="EndnoteReference"/>
          <w:bCs/>
          <w:color w:val="000000" w:themeColor="text1"/>
          <w:spacing w:val="-2"/>
          <w:lang w:val="en-GB"/>
        </w:rPr>
        <w:endnoteReference w:id="27"/>
      </w:r>
      <w:r w:rsidRPr="00D04844">
        <w:rPr>
          <w:bCs/>
          <w:spacing w:val="-2"/>
          <w:lang w:val="en-GB"/>
        </w:rPr>
        <w:t xml:space="preserve"> </w:t>
      </w:r>
    </w:p>
    <w:p w14:paraId="2ED92E5C" w14:textId="77777777" w:rsidR="00862671" w:rsidRPr="00853F57" w:rsidRDefault="00862671" w:rsidP="006F7977">
      <w:pPr>
        <w:pStyle w:val="BodyTextMain"/>
        <w:rPr>
          <w:color w:val="000000" w:themeColor="text1"/>
          <w:shd w:val="clear" w:color="auto" w:fill="FFFFFF"/>
          <w:lang w:val="en-GB"/>
        </w:rPr>
      </w:pPr>
    </w:p>
    <w:p w14:paraId="25C00C2A" w14:textId="6FFC3BC5" w:rsidR="00862671" w:rsidRPr="00D04844" w:rsidRDefault="00862671" w:rsidP="00437109">
      <w:pPr>
        <w:pStyle w:val="BodyTextMain"/>
        <w:rPr>
          <w:spacing w:val="-2"/>
          <w:lang w:val="en-GB"/>
        </w:rPr>
      </w:pPr>
      <w:r w:rsidRPr="00D04844">
        <w:rPr>
          <w:spacing w:val="-2"/>
          <w:lang w:val="en-GB"/>
        </w:rPr>
        <w:t>According to industry reports, the Philippine residential market was expected to account for 33.9 per cent of the construction industry’s total value in 2020.</w:t>
      </w:r>
      <w:r w:rsidRPr="00D04844">
        <w:rPr>
          <w:rStyle w:val="EndnoteReference"/>
          <w:color w:val="000000" w:themeColor="text1"/>
          <w:spacing w:val="-2"/>
          <w:lang w:val="en-GB"/>
        </w:rPr>
        <w:endnoteReference w:id="28"/>
      </w:r>
      <w:r w:rsidRPr="00D04844">
        <w:rPr>
          <w:spacing w:val="-2"/>
          <w:lang w:val="en-GB"/>
        </w:rPr>
        <w:t xml:space="preserve"> Following the growth trends, the National Economic and Development Authority planned to increase the government’s infrastructure spending to 7.4 per cent of GDP by 2022, up from 5.3 per cent of GDP in 2017.</w:t>
      </w:r>
      <w:r w:rsidRPr="00D04844">
        <w:rPr>
          <w:rStyle w:val="EndnoteReference"/>
          <w:spacing w:val="-2"/>
          <w:lang w:val="en-GB"/>
        </w:rPr>
        <w:endnoteReference w:id="29"/>
      </w:r>
      <w:r w:rsidRPr="00D04844">
        <w:rPr>
          <w:spacing w:val="-2"/>
          <w:lang w:val="en-GB"/>
        </w:rPr>
        <w:t xml:space="preserve"> The government had not only identified 75 projects for prioritization, approval, and implementation, but it had also outlined financial aid for middle- and low-income families under several programs.</w:t>
      </w:r>
      <w:r w:rsidRPr="00D04844">
        <w:rPr>
          <w:rStyle w:val="EndnoteReference"/>
          <w:color w:val="000000" w:themeColor="text1"/>
          <w:spacing w:val="-2"/>
          <w:lang w:val="en-GB"/>
        </w:rPr>
        <w:endnoteReference w:id="30"/>
      </w:r>
      <w:r w:rsidRPr="00D04844">
        <w:rPr>
          <w:spacing w:val="-2"/>
          <w:lang w:val="en-GB"/>
        </w:rPr>
        <w:t xml:space="preserve"> Because of the Philippine peso’s slide against the US dollar,</w:t>
      </w:r>
      <w:r w:rsidRPr="00D04844">
        <w:rPr>
          <w:rStyle w:val="EndnoteReference"/>
          <w:color w:val="000000" w:themeColor="text1"/>
          <w:spacing w:val="-2"/>
          <w:lang w:val="en-GB"/>
        </w:rPr>
        <w:endnoteReference w:id="31"/>
      </w:r>
      <w:r w:rsidRPr="00D04844">
        <w:rPr>
          <w:spacing w:val="-2"/>
          <w:lang w:val="en-GB"/>
        </w:rPr>
        <w:t xml:space="preserve"> bank lending interest rates had increased</w:t>
      </w:r>
      <w:r w:rsidRPr="00D04844" w:rsidDel="002A3C67">
        <w:rPr>
          <w:spacing w:val="-2"/>
          <w:lang w:val="en-GB"/>
        </w:rPr>
        <w:t xml:space="preserve"> </w:t>
      </w:r>
      <w:r w:rsidRPr="00D04844">
        <w:rPr>
          <w:spacing w:val="-2"/>
          <w:lang w:val="en-GB"/>
        </w:rPr>
        <w:t>from 6.1 per cent in 2018 to 7.1 in 2019;</w:t>
      </w:r>
      <w:r w:rsidRPr="00D04844">
        <w:rPr>
          <w:rStyle w:val="EndnoteReference"/>
          <w:spacing w:val="-2"/>
          <w:lang w:val="en-GB"/>
        </w:rPr>
        <w:endnoteReference w:id="32"/>
      </w:r>
      <w:r w:rsidRPr="00D04844">
        <w:rPr>
          <w:spacing w:val="-2"/>
          <w:lang w:val="en-GB"/>
        </w:rPr>
        <w:t xml:space="preserve"> this was expected to increase the cost of interest on home loans and thereby lower the demand for housing.</w:t>
      </w:r>
      <w:r w:rsidRPr="00D04844">
        <w:rPr>
          <w:rStyle w:val="EndnoteReference"/>
          <w:color w:val="000000" w:themeColor="text1"/>
          <w:spacing w:val="-2"/>
          <w:lang w:val="en-GB"/>
        </w:rPr>
        <w:endnoteReference w:id="33"/>
      </w:r>
      <w:r w:rsidRPr="00D04844">
        <w:rPr>
          <w:spacing w:val="-2"/>
          <w:lang w:val="en-GB"/>
        </w:rPr>
        <w:t xml:space="preserve"> Despite this, the construction industry looked positive, and its contribution as a percentage of GDP had grown steadily from 2005 to 2015.</w:t>
      </w:r>
      <w:r w:rsidRPr="00D04844">
        <w:rPr>
          <w:rStyle w:val="EndnoteReference"/>
          <w:color w:val="000000" w:themeColor="text1"/>
          <w:spacing w:val="-2"/>
          <w:lang w:val="en-GB"/>
        </w:rPr>
        <w:endnoteReference w:id="34"/>
      </w:r>
      <w:r w:rsidRPr="00D04844">
        <w:rPr>
          <w:spacing w:val="-2"/>
          <w:lang w:val="en-GB"/>
        </w:rPr>
        <w:t xml:space="preserve">  </w:t>
      </w:r>
    </w:p>
    <w:p w14:paraId="3212B222" w14:textId="77777777" w:rsidR="00C0290E" w:rsidRDefault="00C0290E" w:rsidP="00437109">
      <w:pPr>
        <w:pStyle w:val="Casehead1"/>
        <w:rPr>
          <w:lang w:val="en-GB"/>
        </w:rPr>
      </w:pPr>
    </w:p>
    <w:p w14:paraId="2324C803" w14:textId="07E9DEBD" w:rsidR="00862671" w:rsidRPr="00853F57" w:rsidRDefault="00862671" w:rsidP="00437109">
      <w:pPr>
        <w:pStyle w:val="Casehead1"/>
        <w:rPr>
          <w:lang w:val="en-GB"/>
        </w:rPr>
      </w:pPr>
      <w:r>
        <w:rPr>
          <w:lang w:val="en-GB"/>
        </w:rPr>
        <w:lastRenderedPageBreak/>
        <w:t xml:space="preserve">HPI’s </w:t>
      </w:r>
      <w:r w:rsidRPr="00853F57">
        <w:rPr>
          <w:lang w:val="en-GB"/>
        </w:rPr>
        <w:t xml:space="preserve">MAJOR </w:t>
      </w:r>
      <w:r>
        <w:rPr>
          <w:lang w:val="en-GB"/>
        </w:rPr>
        <w:t>competitors</w:t>
      </w:r>
    </w:p>
    <w:p w14:paraId="5519DF20" w14:textId="77777777" w:rsidR="00862671" w:rsidRPr="00853F57" w:rsidRDefault="00862671" w:rsidP="00437109">
      <w:pPr>
        <w:pStyle w:val="BodyTextMain"/>
        <w:rPr>
          <w:lang w:val="en-GB"/>
        </w:rPr>
      </w:pPr>
    </w:p>
    <w:p w14:paraId="5C91B427" w14:textId="2754EE44" w:rsidR="00862671" w:rsidRPr="00D04844" w:rsidRDefault="00862671" w:rsidP="00437109">
      <w:pPr>
        <w:pStyle w:val="BodyTextMain"/>
        <w:rPr>
          <w:spacing w:val="-4"/>
          <w:lang w:val="en-GB"/>
        </w:rPr>
      </w:pPr>
      <w:r w:rsidRPr="00D04844">
        <w:rPr>
          <w:spacing w:val="-4"/>
          <w:lang w:val="en-GB"/>
        </w:rPr>
        <w:t>As of December 2016, the Philippine cement industry had an estimated clinker capacity of 20.60 metric MTPY and cement capacity of 28.63 MTPY. The top four players in the industry (HPI, CEMEX, Republic Cement, and Eagle Cement) accounted for about 80 per cent and 82 per cent of the total clinker and cement domestic production capacities, respectively.</w:t>
      </w:r>
      <w:r w:rsidRPr="00D04844">
        <w:rPr>
          <w:rStyle w:val="EndnoteReference"/>
          <w:spacing w:val="-4"/>
          <w:lang w:val="en-GB"/>
        </w:rPr>
        <w:endnoteReference w:id="35"/>
      </w:r>
      <w:r w:rsidRPr="00D04844">
        <w:rPr>
          <w:spacing w:val="-4"/>
          <w:lang w:val="en-GB"/>
        </w:rPr>
        <w:t xml:space="preserve"> Although HPI’s cement production capacity was the largest, at 8 million metric tons as of 2016 (see Exhibit 4), all four players had invested more funds and introduced newer projects to boost production output by the end of 2020, making the competitive space very unpredictable.</w:t>
      </w:r>
      <w:r w:rsidRPr="00D04844">
        <w:rPr>
          <w:rStyle w:val="EndnoteReference"/>
          <w:spacing w:val="-4"/>
          <w:lang w:val="en-GB"/>
        </w:rPr>
        <w:endnoteReference w:id="36"/>
      </w:r>
      <w:r w:rsidRPr="00D04844">
        <w:rPr>
          <w:spacing w:val="-4"/>
          <w:lang w:val="en-GB"/>
        </w:rPr>
        <w:t xml:space="preserve"> </w:t>
      </w:r>
    </w:p>
    <w:p w14:paraId="5CB91ABA" w14:textId="3266DE9B" w:rsidR="00862671" w:rsidRPr="00853F57" w:rsidRDefault="00862671" w:rsidP="00437109">
      <w:pPr>
        <w:pStyle w:val="BodyTextMain"/>
        <w:rPr>
          <w:lang w:val="en-GB"/>
        </w:rPr>
      </w:pPr>
    </w:p>
    <w:p w14:paraId="2F76A325" w14:textId="77777777" w:rsidR="00862671" w:rsidRPr="00853F57" w:rsidRDefault="00862671" w:rsidP="00437109">
      <w:pPr>
        <w:pStyle w:val="BodyTextMain"/>
        <w:rPr>
          <w:lang w:val="en-GB"/>
        </w:rPr>
      </w:pPr>
    </w:p>
    <w:p w14:paraId="44433440" w14:textId="77777777" w:rsidR="00862671" w:rsidRPr="00853F57" w:rsidRDefault="00862671" w:rsidP="00034CB9">
      <w:pPr>
        <w:pStyle w:val="Casehead2"/>
        <w:rPr>
          <w:shd w:val="clear" w:color="auto" w:fill="FFFFFF"/>
          <w:lang w:val="en-GB"/>
        </w:rPr>
      </w:pPr>
      <w:r w:rsidRPr="00853F57">
        <w:rPr>
          <w:shd w:val="clear" w:color="auto" w:fill="FFFFFF"/>
          <w:lang w:val="en-GB"/>
        </w:rPr>
        <w:t>CEMEX Holdings Philippines Inc.</w:t>
      </w:r>
    </w:p>
    <w:p w14:paraId="61385D8E" w14:textId="77777777" w:rsidR="00862671" w:rsidRPr="00853F57" w:rsidRDefault="00862671" w:rsidP="00437109">
      <w:pPr>
        <w:pStyle w:val="BodyTextMain"/>
        <w:rPr>
          <w:rFonts w:eastAsiaTheme="minorHAnsi"/>
          <w:color w:val="000000" w:themeColor="text1"/>
          <w:lang w:val="en-GB"/>
        </w:rPr>
      </w:pPr>
    </w:p>
    <w:p w14:paraId="4A69F66A" w14:textId="6FA2FC23" w:rsidR="00862671" w:rsidRPr="00853F57" w:rsidRDefault="00862671" w:rsidP="00437109">
      <w:pPr>
        <w:pStyle w:val="BodyTextMain"/>
        <w:rPr>
          <w:rFonts w:eastAsiaTheme="minorHAnsi"/>
          <w:color w:val="000000" w:themeColor="text1"/>
          <w:lang w:val="en-GB"/>
        </w:rPr>
      </w:pPr>
      <w:r w:rsidRPr="00853F57">
        <w:rPr>
          <w:rFonts w:eastAsiaTheme="minorHAnsi"/>
          <w:color w:val="000000" w:themeColor="text1"/>
          <w:lang w:val="en-GB"/>
        </w:rPr>
        <w:t>A subsidiary of the CEMEX Asian South East Corporation, CEMEX was a global building</w:t>
      </w:r>
      <w:r>
        <w:rPr>
          <w:rFonts w:eastAsiaTheme="minorHAnsi"/>
          <w:color w:val="000000" w:themeColor="text1"/>
          <w:lang w:val="en-GB"/>
        </w:rPr>
        <w:t xml:space="preserve"> </w:t>
      </w:r>
      <w:r w:rsidRPr="00853F57">
        <w:rPr>
          <w:rFonts w:eastAsiaTheme="minorHAnsi"/>
          <w:color w:val="000000" w:themeColor="text1"/>
          <w:lang w:val="en-GB"/>
        </w:rPr>
        <w:t>materials company with a footprint spanning 50 countries. Besides ordinary Portland and blended cement, it produced masonry or mortar cement and ready-mix concrete. CEMEX and its subsidiaries owned two cement plants (see Exhibit 4), a ready-mix concrete plant, and an admixtures facility. It also owned many shipping terminals and land-distribution facilities throughout the Philippines.</w:t>
      </w:r>
      <w:r w:rsidRPr="00853F57">
        <w:rPr>
          <w:rStyle w:val="EndnoteReference"/>
          <w:rFonts w:eastAsiaTheme="minorHAnsi"/>
          <w:color w:val="000000" w:themeColor="text1"/>
          <w:lang w:val="en-GB"/>
        </w:rPr>
        <w:endnoteReference w:id="37"/>
      </w:r>
      <w:r w:rsidRPr="00853F57">
        <w:rPr>
          <w:rFonts w:eastAsiaTheme="minorHAnsi"/>
          <w:color w:val="000000" w:themeColor="text1"/>
          <w:lang w:val="en-GB"/>
        </w:rPr>
        <w:t xml:space="preserve"> As part of its corporate social responsibility</w:t>
      </w:r>
      <w:r>
        <w:rPr>
          <w:rFonts w:eastAsiaTheme="minorHAnsi"/>
          <w:color w:val="000000" w:themeColor="text1"/>
          <w:lang w:val="en-GB"/>
        </w:rPr>
        <w:t xml:space="preserve"> program</w:t>
      </w:r>
      <w:r w:rsidRPr="00853F57">
        <w:rPr>
          <w:rFonts w:eastAsiaTheme="minorHAnsi"/>
          <w:color w:val="000000" w:themeColor="text1"/>
          <w:lang w:val="en-GB"/>
        </w:rPr>
        <w:t>, CEMEX developed green products and introduced many skill-enhancing initiatives.</w:t>
      </w:r>
      <w:r w:rsidRPr="00853F57">
        <w:rPr>
          <w:rStyle w:val="EndnoteReference"/>
          <w:rFonts w:eastAsiaTheme="minorHAnsi"/>
          <w:color w:val="000000" w:themeColor="text1"/>
          <w:lang w:val="en-GB"/>
        </w:rPr>
        <w:endnoteReference w:id="38"/>
      </w:r>
      <w:r w:rsidRPr="00853F57">
        <w:rPr>
          <w:rFonts w:eastAsiaTheme="minorHAnsi"/>
          <w:color w:val="000000" w:themeColor="text1"/>
          <w:lang w:val="en-GB"/>
        </w:rPr>
        <w:t xml:space="preserve"> In the aftermath of Super Typhoon Yolanda (Typhoon Haiyan) in 2013, it also helped rebuild the northern part of Cebu province and rehabilitate affected </w:t>
      </w:r>
      <w:r>
        <w:rPr>
          <w:rFonts w:eastAsiaTheme="minorHAnsi"/>
          <w:color w:val="000000" w:themeColor="text1"/>
          <w:lang w:val="en-GB"/>
        </w:rPr>
        <w:t>communities</w:t>
      </w:r>
      <w:r w:rsidRPr="00853F57">
        <w:rPr>
          <w:rFonts w:eastAsiaTheme="minorHAnsi"/>
          <w:color w:val="000000" w:themeColor="text1"/>
          <w:lang w:val="en-GB"/>
        </w:rPr>
        <w:t xml:space="preserve"> in collaboration with the local government and non-profit organizations.</w:t>
      </w:r>
      <w:r w:rsidRPr="00853F57">
        <w:rPr>
          <w:rStyle w:val="EndnoteReference"/>
          <w:rFonts w:eastAsiaTheme="minorHAnsi"/>
          <w:color w:val="000000" w:themeColor="text1"/>
          <w:lang w:val="en-GB"/>
        </w:rPr>
        <w:endnoteReference w:id="39"/>
      </w:r>
      <w:r w:rsidRPr="00853F57">
        <w:rPr>
          <w:rFonts w:eastAsiaTheme="minorHAnsi"/>
          <w:color w:val="000000" w:themeColor="text1"/>
          <w:lang w:val="en-GB"/>
        </w:rPr>
        <w:t xml:space="preserve"> </w:t>
      </w:r>
    </w:p>
    <w:p w14:paraId="5E1F1493" w14:textId="755D9D2D" w:rsidR="00862671" w:rsidRPr="00853F57" w:rsidRDefault="00862671" w:rsidP="00437109">
      <w:pPr>
        <w:pStyle w:val="BodyTextMain"/>
        <w:rPr>
          <w:rFonts w:eastAsiaTheme="minorHAnsi"/>
          <w:color w:val="000000" w:themeColor="text1"/>
          <w:u w:val="single"/>
          <w:lang w:val="en-GB"/>
        </w:rPr>
      </w:pPr>
    </w:p>
    <w:p w14:paraId="2363C647" w14:textId="77777777" w:rsidR="00862671" w:rsidRPr="00853F57" w:rsidRDefault="00862671" w:rsidP="00437109">
      <w:pPr>
        <w:pStyle w:val="BodyTextMain"/>
        <w:rPr>
          <w:rFonts w:eastAsiaTheme="minorHAnsi"/>
          <w:color w:val="000000" w:themeColor="text1"/>
          <w:u w:val="single"/>
          <w:lang w:val="en-GB"/>
        </w:rPr>
      </w:pPr>
    </w:p>
    <w:p w14:paraId="696543F6" w14:textId="77777777" w:rsidR="00862671" w:rsidRPr="00853F57" w:rsidRDefault="00862671" w:rsidP="00034CB9">
      <w:pPr>
        <w:pStyle w:val="Casehead2"/>
        <w:rPr>
          <w:rFonts w:eastAsiaTheme="minorHAnsi"/>
          <w:lang w:val="en-GB"/>
        </w:rPr>
      </w:pPr>
      <w:r w:rsidRPr="00853F57">
        <w:rPr>
          <w:rFonts w:eastAsiaTheme="minorHAnsi"/>
          <w:lang w:val="en-GB"/>
        </w:rPr>
        <w:t>Republic Cement Group</w:t>
      </w:r>
    </w:p>
    <w:p w14:paraId="6CED182B" w14:textId="77777777" w:rsidR="00862671" w:rsidRPr="00853F57" w:rsidRDefault="00862671" w:rsidP="00437109">
      <w:pPr>
        <w:pStyle w:val="BodyTextMain"/>
        <w:rPr>
          <w:rFonts w:eastAsiaTheme="minorHAnsi"/>
          <w:color w:val="000000" w:themeColor="text1"/>
          <w:lang w:val="en-GB"/>
        </w:rPr>
      </w:pPr>
    </w:p>
    <w:p w14:paraId="5EC527B9" w14:textId="084C47F2" w:rsidR="00862671" w:rsidRPr="00853F57" w:rsidRDefault="00862671" w:rsidP="00437109">
      <w:pPr>
        <w:pStyle w:val="BodyTextMain"/>
        <w:rPr>
          <w:rFonts w:eastAsiaTheme="minorHAnsi"/>
          <w:color w:val="000000" w:themeColor="text1"/>
          <w:lang w:val="en-GB"/>
        </w:rPr>
      </w:pPr>
      <w:r w:rsidRPr="00853F57">
        <w:rPr>
          <w:rFonts w:eastAsiaTheme="minorHAnsi"/>
          <w:color w:val="000000" w:themeColor="text1"/>
          <w:lang w:val="en-GB"/>
        </w:rPr>
        <w:t>The Republic Cement Group, a joint venture between the Ireland-based CRH and local conglomerate Aboitiz Equity Ventures, had several companies under its umbrella: Republic Cement &amp; Building Materials Inc., Republic Cement Iligan Inc., Republic Cement Mindanao Inc., and Republic Cement Services Inc. While Aboitiz Equity Ventures, a public holding company of the Aboitiz Group, was a Filipino business group listed on the Philippine Stock Exchange, its partner CRH, a Fortune 500 building</w:t>
      </w:r>
      <w:r>
        <w:rPr>
          <w:rFonts w:eastAsiaTheme="minorHAnsi"/>
          <w:color w:val="000000" w:themeColor="text1"/>
          <w:lang w:val="en-GB"/>
        </w:rPr>
        <w:t xml:space="preserve"> </w:t>
      </w:r>
      <w:r w:rsidRPr="00853F57">
        <w:rPr>
          <w:rFonts w:eastAsiaTheme="minorHAnsi"/>
          <w:color w:val="000000" w:themeColor="text1"/>
          <w:lang w:val="en-GB"/>
        </w:rPr>
        <w:t>materials company, was a listed on the London and Irish stock exchanges. Besides cement, the group had business interests across the banking and financial services, infrastructure, power, food, and real estate sectors. Republic Cement was committed to nation-building through several corporate social responsibility (CSR) initiatives: Stronger Communities focused on community welfare, Stronger Kids focused on child welfare, Greener Cement focused on environmental restoration and preservation, Stronger Homes focused on affordable housing, and Stronger Structures focused on infrastructure development.</w:t>
      </w:r>
      <w:r w:rsidRPr="00853F57">
        <w:rPr>
          <w:rStyle w:val="EndnoteReference"/>
          <w:rFonts w:eastAsiaTheme="minorHAnsi"/>
          <w:color w:val="000000" w:themeColor="text1"/>
          <w:lang w:val="en-GB"/>
        </w:rPr>
        <w:endnoteReference w:id="40"/>
      </w:r>
    </w:p>
    <w:p w14:paraId="4C91D905" w14:textId="45BA603E" w:rsidR="00862671" w:rsidRPr="00853F57" w:rsidRDefault="00862671" w:rsidP="00437109">
      <w:pPr>
        <w:pStyle w:val="BodyTextMain"/>
        <w:rPr>
          <w:rFonts w:eastAsiaTheme="minorHAnsi"/>
          <w:color w:val="000000" w:themeColor="text1"/>
          <w:u w:val="single"/>
          <w:lang w:val="en-GB"/>
        </w:rPr>
      </w:pPr>
    </w:p>
    <w:p w14:paraId="1A0B0B2F" w14:textId="77777777" w:rsidR="00862671" w:rsidRPr="00853F57" w:rsidRDefault="00862671" w:rsidP="00437109">
      <w:pPr>
        <w:pStyle w:val="BodyTextMain"/>
        <w:rPr>
          <w:rFonts w:eastAsiaTheme="minorHAnsi"/>
          <w:color w:val="000000" w:themeColor="text1"/>
          <w:u w:val="single"/>
          <w:lang w:val="en-GB"/>
        </w:rPr>
      </w:pPr>
    </w:p>
    <w:p w14:paraId="123F757A" w14:textId="77777777" w:rsidR="00862671" w:rsidRPr="00853F57" w:rsidRDefault="00862671" w:rsidP="00034CB9">
      <w:pPr>
        <w:pStyle w:val="Casehead2"/>
        <w:keepNext/>
        <w:keepLines/>
        <w:rPr>
          <w:rFonts w:eastAsiaTheme="minorHAnsi"/>
          <w:lang w:val="en-GB"/>
        </w:rPr>
      </w:pPr>
      <w:r w:rsidRPr="00853F57">
        <w:rPr>
          <w:rFonts w:eastAsiaTheme="minorHAnsi"/>
          <w:lang w:val="en-GB"/>
        </w:rPr>
        <w:t>Eagle Cement Corporation</w:t>
      </w:r>
    </w:p>
    <w:p w14:paraId="278A88F0" w14:textId="77777777" w:rsidR="00862671" w:rsidRPr="003057AD" w:rsidRDefault="00862671" w:rsidP="00034CB9">
      <w:pPr>
        <w:pStyle w:val="BodyTextMain"/>
        <w:keepNext/>
        <w:keepLines/>
        <w:rPr>
          <w:rFonts w:eastAsiaTheme="minorHAnsi"/>
          <w:color w:val="000000" w:themeColor="text1"/>
          <w:sz w:val="20"/>
          <w:u w:val="single"/>
          <w:lang w:val="en-GB"/>
        </w:rPr>
      </w:pPr>
    </w:p>
    <w:p w14:paraId="08B41AD6" w14:textId="10A8945C" w:rsidR="00862671" w:rsidRPr="003057AD" w:rsidRDefault="00862671" w:rsidP="00034CB9">
      <w:pPr>
        <w:pStyle w:val="BodyTextMain"/>
        <w:keepNext/>
        <w:keepLines/>
        <w:rPr>
          <w:rFonts w:eastAsiaTheme="minorHAnsi"/>
          <w:spacing w:val="-2"/>
          <w:lang w:val="en-GB"/>
        </w:rPr>
      </w:pPr>
      <w:r w:rsidRPr="003057AD">
        <w:rPr>
          <w:rFonts w:eastAsiaTheme="minorHAnsi"/>
          <w:spacing w:val="-2"/>
          <w:lang w:val="en-GB"/>
        </w:rPr>
        <w:t>The president and chief operating officer (COO) of SMC, Chinese Filipino businessman Ramon Ang, was reported to be the majority owner and manager of Eagle Cement Corporation.</w:t>
      </w:r>
      <w:r w:rsidRPr="003057AD">
        <w:rPr>
          <w:rStyle w:val="EndnoteReference"/>
          <w:rFonts w:eastAsiaTheme="minorHAnsi"/>
          <w:color w:val="000000" w:themeColor="text1"/>
          <w:spacing w:val="-2"/>
          <w:lang w:val="en-GB"/>
        </w:rPr>
        <w:endnoteReference w:id="41"/>
      </w:r>
      <w:r w:rsidRPr="003057AD">
        <w:rPr>
          <w:rFonts w:eastAsiaTheme="minorHAnsi"/>
          <w:spacing w:val="-2"/>
          <w:lang w:val="en-GB"/>
        </w:rPr>
        <w:t xml:space="preserve"> Through one of this company’s two wholly owned subsidiaries, South Western Cement Corporation,</w:t>
      </w:r>
      <w:r w:rsidRPr="003057AD">
        <w:rPr>
          <w:spacing w:val="-2"/>
          <w:lang w:val="en-GB"/>
        </w:rPr>
        <w:t xml:space="preserve"> Eagle Cement was engaged in the </w:t>
      </w:r>
      <w:r w:rsidRPr="003057AD">
        <w:rPr>
          <w:rFonts w:eastAsiaTheme="minorHAnsi"/>
          <w:spacing w:val="-2"/>
          <w:lang w:val="en-GB"/>
        </w:rPr>
        <w:t xml:space="preserve">manufacture, marketing, sale, and distribution of cement products and by-products and owned mineral rights in </w:t>
      </w:r>
      <w:proofErr w:type="spellStart"/>
      <w:r w:rsidRPr="003057AD">
        <w:rPr>
          <w:rFonts w:eastAsiaTheme="minorHAnsi"/>
          <w:spacing w:val="-2"/>
          <w:lang w:val="en-GB"/>
        </w:rPr>
        <w:t>Malabuyoc</w:t>
      </w:r>
      <w:proofErr w:type="spellEnd"/>
      <w:r w:rsidRPr="003057AD">
        <w:rPr>
          <w:rFonts w:eastAsiaTheme="minorHAnsi"/>
          <w:spacing w:val="-2"/>
          <w:lang w:val="en-GB"/>
        </w:rPr>
        <w:t>, Cebu. Through the other subsidiary, KB Space Holdings Inc., it owned large pockets of prime commercial land in the City of Mandaluyong.</w:t>
      </w:r>
      <w:r w:rsidRPr="003057AD">
        <w:rPr>
          <w:rStyle w:val="EndnoteReference"/>
          <w:rFonts w:eastAsiaTheme="minorHAnsi"/>
          <w:color w:val="000000" w:themeColor="text1"/>
          <w:spacing w:val="-2"/>
          <w:lang w:val="en-GB"/>
        </w:rPr>
        <w:endnoteReference w:id="42"/>
      </w:r>
      <w:r w:rsidRPr="003057AD">
        <w:rPr>
          <w:spacing w:val="-2"/>
          <w:lang w:val="en-GB"/>
        </w:rPr>
        <w:t xml:space="preserve"> Eagle Cement’s plant at </w:t>
      </w:r>
      <w:r w:rsidRPr="003057AD">
        <w:rPr>
          <w:rFonts w:eastAsiaTheme="minorHAnsi"/>
          <w:spacing w:val="-2"/>
          <w:lang w:val="en-GB"/>
        </w:rPr>
        <w:t xml:space="preserve">Barangay </w:t>
      </w:r>
      <w:proofErr w:type="spellStart"/>
      <w:r w:rsidRPr="003057AD">
        <w:rPr>
          <w:rFonts w:eastAsiaTheme="minorHAnsi"/>
          <w:spacing w:val="-2"/>
          <w:lang w:val="en-GB"/>
        </w:rPr>
        <w:t>Akle</w:t>
      </w:r>
      <w:proofErr w:type="spellEnd"/>
      <w:r w:rsidRPr="003057AD">
        <w:rPr>
          <w:rFonts w:eastAsiaTheme="minorHAnsi"/>
          <w:spacing w:val="-2"/>
          <w:lang w:val="en-GB"/>
        </w:rPr>
        <w:t xml:space="preserve">, in </w:t>
      </w:r>
      <w:r w:rsidRPr="003057AD">
        <w:rPr>
          <w:spacing w:val="-2"/>
          <w:lang w:val="en-GB"/>
        </w:rPr>
        <w:t xml:space="preserve">San Ildefonso, Bulacan, was not only the newest and most technological advanced, with </w:t>
      </w:r>
      <w:r w:rsidRPr="003057AD">
        <w:rPr>
          <w:spacing w:val="-2"/>
          <w:shd w:val="clear" w:color="auto" w:fill="FFFFFF"/>
          <w:lang w:val="en-GB"/>
        </w:rPr>
        <w:t>two production lines</w:t>
      </w:r>
      <w:r w:rsidRPr="003057AD">
        <w:rPr>
          <w:spacing w:val="-2"/>
          <w:lang w:val="en-GB"/>
        </w:rPr>
        <w:t>, but it also had the largest production capacity (in number of cement bags) in the Philippines</w:t>
      </w:r>
      <w:r w:rsidRPr="003057AD">
        <w:rPr>
          <w:rFonts w:eastAsiaTheme="minorHAnsi"/>
          <w:spacing w:val="-2"/>
          <w:lang w:val="en-GB"/>
        </w:rPr>
        <w:t>.</w:t>
      </w:r>
      <w:r w:rsidRPr="003057AD">
        <w:rPr>
          <w:rStyle w:val="EndnoteReference"/>
          <w:rFonts w:eastAsiaTheme="minorHAnsi"/>
          <w:color w:val="000000" w:themeColor="text1"/>
          <w:spacing w:val="-2"/>
          <w:lang w:val="en-GB"/>
        </w:rPr>
        <w:endnoteReference w:id="43"/>
      </w:r>
      <w:r w:rsidRPr="003057AD">
        <w:rPr>
          <w:rFonts w:eastAsiaTheme="minorHAnsi"/>
          <w:spacing w:val="-2"/>
          <w:lang w:val="en-GB"/>
        </w:rPr>
        <w:t xml:space="preserve"> </w:t>
      </w:r>
    </w:p>
    <w:p w14:paraId="2DDCD4A2" w14:textId="64B6FA33" w:rsidR="00862671" w:rsidRPr="003057AD" w:rsidRDefault="00862671" w:rsidP="00437109">
      <w:pPr>
        <w:pStyle w:val="BodyTextMain"/>
        <w:rPr>
          <w:sz w:val="20"/>
          <w:lang w:val="en-GB"/>
        </w:rPr>
      </w:pPr>
    </w:p>
    <w:p w14:paraId="5AA95F20" w14:textId="77777777" w:rsidR="00862671" w:rsidRPr="003057AD" w:rsidRDefault="00862671" w:rsidP="00437109">
      <w:pPr>
        <w:pStyle w:val="BodyTextMain"/>
        <w:rPr>
          <w:sz w:val="20"/>
          <w:lang w:val="en-GB"/>
        </w:rPr>
      </w:pPr>
    </w:p>
    <w:p w14:paraId="00762756" w14:textId="277CFF1F" w:rsidR="00862671" w:rsidRPr="00853F57" w:rsidRDefault="00862671" w:rsidP="00437109">
      <w:pPr>
        <w:pStyle w:val="Casehead1"/>
        <w:rPr>
          <w:lang w:val="en-GB"/>
        </w:rPr>
      </w:pPr>
      <w:r w:rsidRPr="00853F57">
        <w:rPr>
          <w:lang w:val="en-GB"/>
        </w:rPr>
        <w:lastRenderedPageBreak/>
        <w:t>HOLCIM PHILIPPINES INC.</w:t>
      </w:r>
    </w:p>
    <w:p w14:paraId="4FCFCC6F" w14:textId="77777777" w:rsidR="00862671" w:rsidRPr="000000A8" w:rsidRDefault="00862671" w:rsidP="00437109">
      <w:pPr>
        <w:pStyle w:val="BodyTextMain"/>
        <w:rPr>
          <w:sz w:val="18"/>
          <w:szCs w:val="18"/>
          <w:lang w:val="en-GB"/>
        </w:rPr>
      </w:pPr>
    </w:p>
    <w:p w14:paraId="71E28F05" w14:textId="20C41C44" w:rsidR="00862671" w:rsidRPr="00853F57" w:rsidRDefault="00862671" w:rsidP="00437109">
      <w:pPr>
        <w:pStyle w:val="BodyTextMain"/>
        <w:rPr>
          <w:lang w:val="en-GB"/>
        </w:rPr>
      </w:pPr>
      <w:r w:rsidRPr="00853F57">
        <w:rPr>
          <w:lang w:val="en-GB"/>
        </w:rPr>
        <w:t xml:space="preserve">HPI </w:t>
      </w:r>
      <w:r w:rsidRPr="00853F57">
        <w:rPr>
          <w:rFonts w:eastAsiaTheme="minorHAnsi"/>
          <w:lang w:val="en-GB"/>
        </w:rPr>
        <w:t>was created through the 2000 merger of three companies—</w:t>
      </w:r>
      <w:proofErr w:type="spellStart"/>
      <w:r w:rsidRPr="00853F57">
        <w:rPr>
          <w:rFonts w:eastAsiaTheme="minorHAnsi"/>
          <w:lang w:val="en-GB"/>
        </w:rPr>
        <w:t>Bacnotan</w:t>
      </w:r>
      <w:proofErr w:type="spellEnd"/>
      <w:r w:rsidRPr="00853F57">
        <w:rPr>
          <w:rFonts w:eastAsiaTheme="minorHAnsi"/>
          <w:lang w:val="en-GB"/>
        </w:rPr>
        <w:t xml:space="preserve"> Cement Corporation, Davao Union Cement Corporation, and Hi Cement Corporation—and the acquisition of the </w:t>
      </w:r>
      <w:proofErr w:type="spellStart"/>
      <w:r w:rsidRPr="00853F57">
        <w:rPr>
          <w:rFonts w:eastAsiaTheme="minorHAnsi"/>
          <w:lang w:val="en-GB"/>
        </w:rPr>
        <w:t>Alsons</w:t>
      </w:r>
      <w:proofErr w:type="spellEnd"/>
      <w:r w:rsidRPr="00853F57">
        <w:rPr>
          <w:rFonts w:eastAsiaTheme="minorHAnsi"/>
          <w:lang w:val="en-GB"/>
        </w:rPr>
        <w:t xml:space="preserve"> Cement Corporation in 2002.</w:t>
      </w:r>
      <w:r w:rsidRPr="00034CB9">
        <w:rPr>
          <w:rFonts w:eastAsiaTheme="minorHAnsi"/>
          <w:lang w:val="en-GB"/>
        </w:rPr>
        <w:t xml:space="preserve"> </w:t>
      </w:r>
      <w:r w:rsidRPr="00853F57">
        <w:rPr>
          <w:lang w:val="en-GB"/>
        </w:rPr>
        <w:t xml:space="preserve">As of December 31, 2018, 60.55 per cent of HPI was owned by Union Cement Holdings Corporation (UCHC); 18.11 per cent, by </w:t>
      </w:r>
      <w:proofErr w:type="spellStart"/>
      <w:r w:rsidRPr="00853F57">
        <w:rPr>
          <w:lang w:val="en-GB"/>
        </w:rPr>
        <w:t>Holderfin</w:t>
      </w:r>
      <w:proofErr w:type="spellEnd"/>
      <w:r w:rsidRPr="00853F57">
        <w:rPr>
          <w:lang w:val="en-GB"/>
        </w:rPr>
        <w:t xml:space="preserve"> BV (</w:t>
      </w:r>
      <w:proofErr w:type="spellStart"/>
      <w:r w:rsidRPr="00853F57">
        <w:rPr>
          <w:lang w:val="en-GB"/>
        </w:rPr>
        <w:t>Holderfin</w:t>
      </w:r>
      <w:proofErr w:type="spellEnd"/>
      <w:r w:rsidRPr="00853F57">
        <w:rPr>
          <w:lang w:val="en-GB"/>
        </w:rPr>
        <w:t xml:space="preserve">); and 7.08 per cent, by </w:t>
      </w:r>
      <w:proofErr w:type="spellStart"/>
      <w:r w:rsidRPr="00853F57">
        <w:rPr>
          <w:lang w:val="en-GB"/>
        </w:rPr>
        <w:t>Cemco</w:t>
      </w:r>
      <w:proofErr w:type="spellEnd"/>
      <w:r w:rsidRPr="00853F57">
        <w:rPr>
          <w:lang w:val="en-GB"/>
        </w:rPr>
        <w:t>; while the remainder of its shares were owned by the public (see Exhibit 1).</w:t>
      </w:r>
      <w:r w:rsidRPr="00853F57">
        <w:rPr>
          <w:rStyle w:val="EndnoteReference"/>
          <w:bCs/>
          <w:color w:val="000000" w:themeColor="text1"/>
          <w:lang w:val="en-GB"/>
        </w:rPr>
        <w:endnoteReference w:id="44"/>
      </w:r>
      <w:r w:rsidRPr="00853F57">
        <w:rPr>
          <w:lang w:val="en-GB"/>
        </w:rPr>
        <w:t xml:space="preserve"> </w:t>
      </w:r>
    </w:p>
    <w:p w14:paraId="1B95B02D" w14:textId="34B8C9B0" w:rsidR="00862671" w:rsidRPr="000000A8" w:rsidRDefault="00862671" w:rsidP="00437109">
      <w:pPr>
        <w:pStyle w:val="BodyTextMain"/>
        <w:rPr>
          <w:sz w:val="18"/>
          <w:szCs w:val="18"/>
          <w:lang w:val="en-GB"/>
        </w:rPr>
      </w:pPr>
    </w:p>
    <w:p w14:paraId="301E46F2" w14:textId="77777777" w:rsidR="00862671" w:rsidRPr="000000A8" w:rsidRDefault="00862671" w:rsidP="00437109">
      <w:pPr>
        <w:pStyle w:val="BodyTextMain"/>
        <w:rPr>
          <w:sz w:val="18"/>
          <w:szCs w:val="18"/>
          <w:lang w:val="en-GB"/>
        </w:rPr>
      </w:pPr>
    </w:p>
    <w:p w14:paraId="0E0724E3" w14:textId="77777777" w:rsidR="00862671" w:rsidRPr="00853F57" w:rsidRDefault="00862671" w:rsidP="00034CB9">
      <w:pPr>
        <w:pStyle w:val="Casehead2"/>
        <w:rPr>
          <w:lang w:val="en-GB"/>
        </w:rPr>
      </w:pPr>
      <w:r w:rsidRPr="00853F57">
        <w:rPr>
          <w:lang w:val="en-GB"/>
        </w:rPr>
        <w:t>Product Lines</w:t>
      </w:r>
    </w:p>
    <w:p w14:paraId="431ED0F6" w14:textId="77777777" w:rsidR="00862671" w:rsidRPr="000000A8" w:rsidRDefault="00862671" w:rsidP="00437109">
      <w:pPr>
        <w:pStyle w:val="BodyTextMain"/>
        <w:rPr>
          <w:sz w:val="18"/>
          <w:szCs w:val="18"/>
          <w:lang w:val="en-GB"/>
        </w:rPr>
      </w:pPr>
    </w:p>
    <w:p w14:paraId="10434590" w14:textId="58679DA8" w:rsidR="00862671" w:rsidRPr="00853F57" w:rsidRDefault="00862671" w:rsidP="00437109">
      <w:pPr>
        <w:pStyle w:val="BodyTextMain"/>
        <w:rPr>
          <w:lang w:val="en-GB"/>
        </w:rPr>
      </w:pPr>
      <w:r w:rsidRPr="00853F57">
        <w:rPr>
          <w:rFonts w:eastAsiaTheme="minorHAnsi"/>
          <w:lang w:val="en-GB"/>
        </w:rPr>
        <w:t>HPI manufactured, sold, and distributed cement, dry-mix mortar products, and clinker.</w:t>
      </w:r>
      <w:r w:rsidRPr="00853F57">
        <w:rPr>
          <w:rStyle w:val="EndnoteReference"/>
          <w:rFonts w:eastAsiaTheme="minorHAnsi"/>
          <w:bCs/>
          <w:color w:val="000000" w:themeColor="text1"/>
          <w:lang w:val="en-GB"/>
        </w:rPr>
        <w:endnoteReference w:id="45"/>
      </w:r>
      <w:r w:rsidRPr="00853F57">
        <w:rPr>
          <w:rFonts w:eastAsiaTheme="minorHAnsi"/>
          <w:lang w:val="en-GB"/>
        </w:rPr>
        <w:t xml:space="preserve"> </w:t>
      </w:r>
      <w:r w:rsidRPr="00853F57">
        <w:rPr>
          <w:lang w:val="en-GB"/>
        </w:rPr>
        <w:t>It offered various cement brands in cement bags and in bulk, and it also sold a semi-finished product called clinker, which was sold only in bulk, to cement producers. Moreover, it was involved in the ready-mix concrete business, aggregates, and dry-mix mortar products.</w:t>
      </w:r>
      <w:r w:rsidRPr="00853F57">
        <w:rPr>
          <w:rStyle w:val="EndnoteReference"/>
          <w:color w:val="000000" w:themeColor="text1"/>
          <w:lang w:val="en-GB"/>
        </w:rPr>
        <w:endnoteReference w:id="46"/>
      </w:r>
    </w:p>
    <w:p w14:paraId="7FD050C4" w14:textId="14947BDF" w:rsidR="00862671" w:rsidRPr="000000A8" w:rsidRDefault="00862671" w:rsidP="00437109">
      <w:pPr>
        <w:rPr>
          <w:i/>
          <w:color w:val="000000" w:themeColor="text1"/>
          <w:sz w:val="18"/>
          <w:szCs w:val="18"/>
          <w:lang w:val="en-GB"/>
        </w:rPr>
      </w:pPr>
    </w:p>
    <w:p w14:paraId="1F60D834" w14:textId="77777777" w:rsidR="00862671" w:rsidRPr="000000A8" w:rsidRDefault="00862671" w:rsidP="00437109">
      <w:pPr>
        <w:rPr>
          <w:i/>
          <w:color w:val="000000" w:themeColor="text1"/>
          <w:sz w:val="18"/>
          <w:szCs w:val="18"/>
          <w:lang w:val="en-GB"/>
        </w:rPr>
      </w:pPr>
    </w:p>
    <w:p w14:paraId="75B77CE4" w14:textId="77777777" w:rsidR="00862671" w:rsidRPr="00853F57" w:rsidRDefault="00862671" w:rsidP="00034CB9">
      <w:pPr>
        <w:pStyle w:val="Casehead2"/>
        <w:rPr>
          <w:rFonts w:eastAsia="Calibri"/>
          <w:lang w:val="en-GB"/>
        </w:rPr>
      </w:pPr>
      <w:r w:rsidRPr="00853F57">
        <w:rPr>
          <w:rFonts w:eastAsia="Calibri"/>
          <w:lang w:val="en-GB"/>
        </w:rPr>
        <w:t>Marketing and Distribution</w:t>
      </w:r>
    </w:p>
    <w:p w14:paraId="1B3F2340" w14:textId="77777777" w:rsidR="00862671" w:rsidRPr="000000A8" w:rsidRDefault="00862671" w:rsidP="00437109">
      <w:pPr>
        <w:pStyle w:val="BodyTextMain"/>
        <w:rPr>
          <w:rFonts w:eastAsia="Calibri"/>
          <w:sz w:val="18"/>
          <w:szCs w:val="18"/>
          <w:lang w:val="en-GB"/>
        </w:rPr>
      </w:pPr>
    </w:p>
    <w:p w14:paraId="603821CB" w14:textId="393D2E22" w:rsidR="00862671" w:rsidRPr="00853F57" w:rsidRDefault="00862671" w:rsidP="00437109">
      <w:pPr>
        <w:pStyle w:val="BodyTextMain"/>
        <w:rPr>
          <w:rFonts w:eastAsia="Calibri"/>
          <w:iCs/>
          <w:lang w:val="en-GB"/>
        </w:rPr>
      </w:pPr>
      <w:r w:rsidRPr="00853F57">
        <w:rPr>
          <w:rFonts w:eastAsia="Georgia"/>
          <w:bCs/>
          <w:color w:val="000000"/>
          <w:lang w:val="en-GB"/>
        </w:rPr>
        <w:t>HPI had four cement production facilities, one cement grinding mill, and various ports and warehouses around the Philippines, enabling it to serve customers around the country.</w:t>
      </w:r>
      <w:r w:rsidRPr="00853F57">
        <w:rPr>
          <w:rStyle w:val="EndnoteReference"/>
          <w:color w:val="000000" w:themeColor="text1"/>
          <w:lang w:val="en-GB"/>
        </w:rPr>
        <w:endnoteReference w:id="47"/>
      </w:r>
      <w:r w:rsidRPr="00853F57">
        <w:rPr>
          <w:rFonts w:eastAsia="Georgia"/>
          <w:bCs/>
          <w:color w:val="000000"/>
          <w:lang w:val="en-GB"/>
        </w:rPr>
        <w:t xml:space="preserve"> </w:t>
      </w:r>
      <w:r w:rsidRPr="00853F57">
        <w:rPr>
          <w:rFonts w:eastAsia="Calibri"/>
          <w:iCs/>
          <w:lang w:val="en-GB"/>
        </w:rPr>
        <w:t>HPI’s customers were composed of traders, wholesalers, retailers, and contractors who supplied private and public projects, real estate developers, and concrete producers. HPI supplied various commercial and government infrastructure projects with the goal of having a well-balanced portfolio containing different categories of customers so that it was not dependent on just a few customers.</w:t>
      </w:r>
      <w:r w:rsidRPr="00853F57">
        <w:rPr>
          <w:rFonts w:eastAsia="Calibri"/>
          <w:vertAlign w:val="superscript"/>
          <w:lang w:val="en-GB"/>
        </w:rPr>
        <w:endnoteReference w:id="48"/>
      </w:r>
    </w:p>
    <w:p w14:paraId="647556E4" w14:textId="61531396" w:rsidR="00862671" w:rsidRPr="000000A8" w:rsidRDefault="00862671" w:rsidP="00437109">
      <w:pPr>
        <w:pStyle w:val="BodyTextMain"/>
        <w:rPr>
          <w:rFonts w:eastAsia="Calibri"/>
          <w:sz w:val="18"/>
          <w:szCs w:val="18"/>
          <w:lang w:val="en-GB"/>
        </w:rPr>
      </w:pPr>
    </w:p>
    <w:p w14:paraId="4B235362" w14:textId="77777777" w:rsidR="00862671" w:rsidRPr="000000A8" w:rsidRDefault="00862671" w:rsidP="00437109">
      <w:pPr>
        <w:pStyle w:val="BodyTextMain"/>
        <w:rPr>
          <w:rFonts w:eastAsia="Calibri"/>
          <w:sz w:val="18"/>
          <w:szCs w:val="18"/>
          <w:lang w:val="en-GB"/>
        </w:rPr>
      </w:pPr>
    </w:p>
    <w:p w14:paraId="0493431F" w14:textId="77777777" w:rsidR="00862671" w:rsidRPr="00853F57" w:rsidRDefault="00862671" w:rsidP="00034CB9">
      <w:pPr>
        <w:pStyle w:val="Casehead2"/>
        <w:rPr>
          <w:rFonts w:eastAsia="Calibri"/>
          <w:lang w:val="en-GB"/>
        </w:rPr>
      </w:pPr>
      <w:r w:rsidRPr="00853F57">
        <w:rPr>
          <w:rFonts w:eastAsia="Calibri"/>
          <w:lang w:val="en-GB"/>
        </w:rPr>
        <w:t>Risk Factors</w:t>
      </w:r>
    </w:p>
    <w:p w14:paraId="2082AB05" w14:textId="77777777" w:rsidR="00862671" w:rsidRPr="000000A8" w:rsidRDefault="00862671" w:rsidP="00437109">
      <w:pPr>
        <w:pStyle w:val="BodyTextMain"/>
        <w:rPr>
          <w:rFonts w:eastAsia="Calibri"/>
          <w:sz w:val="18"/>
          <w:szCs w:val="18"/>
          <w:lang w:val="en-GB"/>
        </w:rPr>
      </w:pPr>
    </w:p>
    <w:p w14:paraId="4FE79F7B" w14:textId="074DBF72" w:rsidR="00862671" w:rsidRPr="00853F57" w:rsidRDefault="00862671" w:rsidP="00437109">
      <w:pPr>
        <w:pStyle w:val="BodyTextMain"/>
        <w:rPr>
          <w:rFonts w:eastAsia="Calibri"/>
          <w:lang w:val="en-GB"/>
        </w:rPr>
      </w:pPr>
      <w:r w:rsidRPr="00853F57">
        <w:rPr>
          <w:rFonts w:eastAsia="Calibri"/>
          <w:lang w:val="en-GB"/>
        </w:rPr>
        <w:t>One significant risk factor for HPI was the level of construction activity in both the private and public arenas. Public construction was driven by government spending in sectors such as infrastructure and housing, which were subject to budgetary constraints and political considerations. In contrast, private-sector construction was affected by investors’ confidence in economic and political conditions in the country.</w:t>
      </w:r>
      <w:r w:rsidRPr="00853F57">
        <w:rPr>
          <w:rFonts w:eastAsia="Calibri"/>
          <w:vertAlign w:val="superscript"/>
          <w:lang w:val="en-GB"/>
        </w:rPr>
        <w:endnoteReference w:id="49"/>
      </w:r>
    </w:p>
    <w:p w14:paraId="03DE0229" w14:textId="77777777" w:rsidR="00862671" w:rsidRPr="000000A8" w:rsidRDefault="00862671" w:rsidP="00437109">
      <w:pPr>
        <w:pStyle w:val="BodyTextMain"/>
        <w:rPr>
          <w:rFonts w:eastAsia="Calibri"/>
          <w:sz w:val="18"/>
          <w:szCs w:val="18"/>
          <w:lang w:val="en-GB"/>
        </w:rPr>
      </w:pPr>
    </w:p>
    <w:p w14:paraId="77059584" w14:textId="563ECAF1" w:rsidR="00862671" w:rsidRDefault="00862671" w:rsidP="00437109">
      <w:pPr>
        <w:pStyle w:val="BodyTextMain"/>
        <w:rPr>
          <w:rFonts w:eastAsia="Calibri"/>
          <w:iCs/>
          <w:color w:val="000000" w:themeColor="text1"/>
          <w:spacing w:val="-2"/>
          <w:lang w:val="en-GB"/>
        </w:rPr>
      </w:pPr>
      <w:r w:rsidRPr="003057AD">
        <w:rPr>
          <w:rFonts w:eastAsia="Calibri"/>
          <w:iCs/>
          <w:color w:val="000000" w:themeColor="text1"/>
          <w:spacing w:val="-2"/>
          <w:lang w:val="en-GB"/>
        </w:rPr>
        <w:t>Another risk factor was the possibility of prolonged damage or a breakdown in the company’s large production facilities on the islands of Luzon and Mindanao. It also needed a stable source of power for the continuing operation of these production facilities. Finally, company operations were subject to environmental and regulatory risks. For example, cement manufacturing involved the use of fossil fuels and electric power and ran the risk of possible emissions of dust into the atmosphere, which might adversely affect the environment.</w:t>
      </w:r>
      <w:r w:rsidRPr="003057AD">
        <w:rPr>
          <w:rFonts w:eastAsia="Calibri"/>
          <w:iCs/>
          <w:color w:val="000000" w:themeColor="text1"/>
          <w:spacing w:val="-2"/>
          <w:vertAlign w:val="superscript"/>
          <w:lang w:val="en-GB"/>
        </w:rPr>
        <w:endnoteReference w:id="50"/>
      </w:r>
    </w:p>
    <w:p w14:paraId="41FC54E5" w14:textId="0851AAC3" w:rsidR="00C0290E" w:rsidRPr="000000A8" w:rsidRDefault="00C0290E" w:rsidP="00437109">
      <w:pPr>
        <w:pStyle w:val="BodyTextMain"/>
        <w:rPr>
          <w:rFonts w:eastAsia="Calibri"/>
          <w:iCs/>
          <w:color w:val="000000" w:themeColor="text1"/>
          <w:spacing w:val="-2"/>
          <w:sz w:val="18"/>
          <w:szCs w:val="18"/>
          <w:lang w:val="en-GB"/>
        </w:rPr>
      </w:pPr>
    </w:p>
    <w:p w14:paraId="4010BEF3" w14:textId="77777777" w:rsidR="00C0290E" w:rsidRPr="000000A8" w:rsidRDefault="00C0290E" w:rsidP="00437109">
      <w:pPr>
        <w:pStyle w:val="BodyTextMain"/>
        <w:rPr>
          <w:rFonts w:eastAsia="Calibri"/>
          <w:iCs/>
          <w:color w:val="000000" w:themeColor="text1"/>
          <w:spacing w:val="-2"/>
          <w:sz w:val="18"/>
          <w:szCs w:val="18"/>
          <w:lang w:val="en-GB"/>
        </w:rPr>
      </w:pPr>
    </w:p>
    <w:p w14:paraId="267577F9" w14:textId="3609A534" w:rsidR="00862671" w:rsidRPr="00853F57" w:rsidRDefault="00862671" w:rsidP="00034CB9">
      <w:pPr>
        <w:pStyle w:val="Casehead2"/>
        <w:rPr>
          <w:lang w:val="en-GB"/>
        </w:rPr>
      </w:pPr>
      <w:r w:rsidRPr="00853F57">
        <w:rPr>
          <w:lang w:val="en-GB"/>
        </w:rPr>
        <w:t>Company Performance</w:t>
      </w:r>
    </w:p>
    <w:p w14:paraId="03885CC2" w14:textId="77777777" w:rsidR="00862671" w:rsidRPr="000000A8" w:rsidRDefault="00862671" w:rsidP="00437109">
      <w:pPr>
        <w:pStyle w:val="BodyTextMain"/>
        <w:rPr>
          <w:sz w:val="18"/>
          <w:szCs w:val="18"/>
          <w:lang w:val="en-GB"/>
        </w:rPr>
      </w:pPr>
    </w:p>
    <w:p w14:paraId="215B3507" w14:textId="62075521" w:rsidR="00862671" w:rsidRPr="003057AD" w:rsidRDefault="00862671" w:rsidP="00437109">
      <w:pPr>
        <w:pStyle w:val="BodyTextMain"/>
        <w:rPr>
          <w:spacing w:val="-2"/>
          <w:lang w:val="en-GB"/>
        </w:rPr>
      </w:pPr>
      <w:r w:rsidRPr="003057AD">
        <w:rPr>
          <w:spacing w:val="-2"/>
          <w:lang w:val="en-GB"/>
        </w:rPr>
        <w:t>HPI showed a modest financial performance in 2018, with earnings before interest, taxes, depreciation, and amortization (EBITDA)</w:t>
      </w:r>
      <w:r w:rsidRPr="003057AD">
        <w:rPr>
          <w:rStyle w:val="EndnoteReference"/>
          <w:spacing w:val="-2"/>
          <w:lang w:val="en-GB"/>
        </w:rPr>
        <w:endnoteReference w:id="51"/>
      </w:r>
      <w:r w:rsidRPr="003057AD">
        <w:rPr>
          <w:spacing w:val="-2"/>
          <w:lang w:val="en-GB"/>
        </w:rPr>
        <w:t xml:space="preserve"> declining to ₱4.9 billion, from ₱5.4 billion in 2017, on the back of weak revenue growth in the first three quarters of 2018. Its revenue increased by 2.54 per cent, based on stable prices and higher volume. Revenues rose from ₱34.7 billion in 2017 to ₱35.6 billion in 2018, driven by expanding demand from the public and private sectors and tighter competition among cement players. Net income after tax declined from ₱2.7 billion to ₱2.5 billion in 2018 because of higher interest expenses from higher debt (see Exhibits 5 and 6</w:t>
      </w:r>
      <w:r w:rsidR="00497A15">
        <w:rPr>
          <w:spacing w:val="-2"/>
          <w:lang w:val="en-GB"/>
        </w:rPr>
        <w:t xml:space="preserve"> and the</w:t>
      </w:r>
      <w:r w:rsidR="000000A8">
        <w:rPr>
          <w:spacing w:val="-2"/>
          <w:lang w:val="en-GB"/>
        </w:rPr>
        <w:t xml:space="preserve"> accompanying</w:t>
      </w:r>
      <w:r w:rsidR="00497A15">
        <w:rPr>
          <w:spacing w:val="-2"/>
          <w:lang w:val="en-GB"/>
        </w:rPr>
        <w:t xml:space="preserve"> student spreadsheet</w:t>
      </w:r>
      <w:r w:rsidR="000000A8">
        <w:rPr>
          <w:spacing w:val="-2"/>
          <w:lang w:val="en-GB"/>
        </w:rPr>
        <w:t xml:space="preserve"> </w:t>
      </w:r>
      <w:r w:rsidR="00927FCE">
        <w:rPr>
          <w:spacing w:val="-2"/>
          <w:lang w:val="en-GB"/>
        </w:rPr>
        <w:t>p</w:t>
      </w:r>
      <w:r w:rsidR="000000A8">
        <w:rPr>
          <w:spacing w:val="-2"/>
          <w:lang w:val="en-GB"/>
        </w:rPr>
        <w:t xml:space="preserve">roduct </w:t>
      </w:r>
      <w:r w:rsidR="00927FCE">
        <w:rPr>
          <w:spacing w:val="-2"/>
          <w:lang w:val="en-GB"/>
        </w:rPr>
        <w:t>n</w:t>
      </w:r>
      <w:r w:rsidR="000000A8">
        <w:rPr>
          <w:spacing w:val="-2"/>
          <w:lang w:val="en-GB"/>
        </w:rPr>
        <w:t>o. 7B21N006</w:t>
      </w:r>
      <w:r w:rsidRPr="003057AD">
        <w:rPr>
          <w:spacing w:val="-2"/>
          <w:lang w:val="en-GB"/>
        </w:rPr>
        <w:t>). Going forward, HPI planned to improve and expand its cement and clinker production facilities as well as to continue cost improvement initiatives to address the impact of higher costs.</w:t>
      </w:r>
      <w:r w:rsidRPr="003057AD">
        <w:rPr>
          <w:rStyle w:val="EndnoteReference"/>
          <w:color w:val="000000" w:themeColor="text1"/>
          <w:spacing w:val="-2"/>
          <w:lang w:val="en-GB"/>
        </w:rPr>
        <w:endnoteReference w:id="52"/>
      </w:r>
    </w:p>
    <w:p w14:paraId="2067EF69" w14:textId="77777777" w:rsidR="00862671" w:rsidRPr="00853F57" w:rsidRDefault="00862671" w:rsidP="00437109">
      <w:pPr>
        <w:pStyle w:val="Casehead1"/>
        <w:rPr>
          <w:lang w:val="en-GB"/>
        </w:rPr>
      </w:pPr>
      <w:r w:rsidRPr="00853F57">
        <w:rPr>
          <w:lang w:val="en-GB"/>
        </w:rPr>
        <w:lastRenderedPageBreak/>
        <w:t xml:space="preserve">DIVESTMENT ACTIVITIES OF LAFARGEHOLCIM IN SOUTHEAST ASIA </w:t>
      </w:r>
    </w:p>
    <w:p w14:paraId="4E584445" w14:textId="77777777" w:rsidR="00862671" w:rsidRPr="00853F57" w:rsidRDefault="00862671" w:rsidP="00437109">
      <w:pPr>
        <w:pStyle w:val="BodyTextMain"/>
        <w:rPr>
          <w:lang w:val="en-GB"/>
        </w:rPr>
      </w:pPr>
    </w:p>
    <w:p w14:paraId="2B3FDC97" w14:textId="7ADC4F52" w:rsidR="00862671" w:rsidRPr="00853F57" w:rsidRDefault="00862671" w:rsidP="00437109">
      <w:pPr>
        <w:pStyle w:val="BodyTextMain"/>
        <w:rPr>
          <w:lang w:val="en-GB"/>
        </w:rPr>
      </w:pPr>
      <w:proofErr w:type="spellStart"/>
      <w:r w:rsidRPr="00853F57">
        <w:rPr>
          <w:lang w:val="en-GB"/>
        </w:rPr>
        <w:t>LafargeHolcim</w:t>
      </w:r>
      <w:proofErr w:type="spellEnd"/>
      <w:r w:rsidRPr="00853F57">
        <w:rPr>
          <w:lang w:val="en-GB"/>
        </w:rPr>
        <w:t xml:space="preserve"> Ltd. (</w:t>
      </w:r>
      <w:proofErr w:type="spellStart"/>
      <w:r w:rsidRPr="00853F57">
        <w:rPr>
          <w:lang w:val="en-GB"/>
        </w:rPr>
        <w:t>LafargeHolcim</w:t>
      </w:r>
      <w:proofErr w:type="spellEnd"/>
      <w:r w:rsidRPr="00853F57">
        <w:rPr>
          <w:lang w:val="en-GB"/>
        </w:rPr>
        <w:t>) was the global leader in building materials and solutions. It was active in four business segments: cement, aggregates, ready-mix concrete, and solutions and products, which included precast concrete, asphalt, mortar and building solutions.</w:t>
      </w:r>
      <w:r w:rsidRPr="00853F57">
        <w:rPr>
          <w:rStyle w:val="EndnoteReference"/>
          <w:color w:val="000000" w:themeColor="text1"/>
          <w:lang w:val="en-GB"/>
        </w:rPr>
        <w:endnoteReference w:id="53"/>
      </w:r>
      <w:r w:rsidRPr="00853F57">
        <w:rPr>
          <w:lang w:val="en-GB"/>
        </w:rPr>
        <w:t xml:space="preserve"> Headquartered in Switzerland, </w:t>
      </w:r>
      <w:proofErr w:type="spellStart"/>
      <w:r w:rsidRPr="00853F57">
        <w:rPr>
          <w:lang w:val="en-GB"/>
        </w:rPr>
        <w:t>LafargeHolcim</w:t>
      </w:r>
      <w:proofErr w:type="spellEnd"/>
      <w:r w:rsidRPr="00853F57">
        <w:rPr>
          <w:lang w:val="en-GB"/>
        </w:rPr>
        <w:t xml:space="preserve"> held leading positions in all regions across the globe (Asia Pacific, Europe, North America, Latin America, and the Middle East/Africa). It employed approximately 75,000 people in around 80 countries and had a portfolio that was equally balanced between developing and mature markets. </w:t>
      </w:r>
      <w:proofErr w:type="spellStart"/>
      <w:r w:rsidRPr="00853F57">
        <w:rPr>
          <w:lang w:val="en-GB"/>
        </w:rPr>
        <w:t>LafargeHolcim</w:t>
      </w:r>
      <w:proofErr w:type="spellEnd"/>
      <w:r w:rsidRPr="00853F57">
        <w:rPr>
          <w:lang w:val="en-GB"/>
        </w:rPr>
        <w:t xml:space="preserve"> was listed on the SIX Swiss Exchange and on Euronext Paris and was a member of the Dow Jones Sustainability Indices (DJSI) European Index.</w:t>
      </w:r>
      <w:r w:rsidRPr="00853F57">
        <w:rPr>
          <w:rStyle w:val="EndnoteReference"/>
          <w:color w:val="000000" w:themeColor="text1"/>
          <w:lang w:val="en-GB"/>
        </w:rPr>
        <w:endnoteReference w:id="54"/>
      </w:r>
    </w:p>
    <w:p w14:paraId="4BFE584F" w14:textId="77777777" w:rsidR="00862671" w:rsidRPr="00853F57" w:rsidRDefault="00862671" w:rsidP="00437109">
      <w:pPr>
        <w:pStyle w:val="BodyTextMain"/>
        <w:rPr>
          <w:lang w:val="en-GB"/>
        </w:rPr>
      </w:pPr>
    </w:p>
    <w:p w14:paraId="778EA52A" w14:textId="6DCD5067" w:rsidR="00862671" w:rsidRPr="00853F57" w:rsidRDefault="00862671" w:rsidP="00437109">
      <w:pPr>
        <w:pStyle w:val="BodyTextMain"/>
        <w:rPr>
          <w:lang w:val="en-GB"/>
        </w:rPr>
      </w:pPr>
      <w:r w:rsidRPr="00853F57">
        <w:rPr>
          <w:lang w:val="en-GB"/>
        </w:rPr>
        <w:t xml:space="preserve">In 2017, as part of its five-year turnaround plan, called Strategy 2022—Building for Growth, </w:t>
      </w:r>
      <w:proofErr w:type="spellStart"/>
      <w:r w:rsidRPr="00853F57">
        <w:rPr>
          <w:lang w:val="en-GB"/>
        </w:rPr>
        <w:t>LafargeHolcim</w:t>
      </w:r>
      <w:proofErr w:type="spellEnd"/>
      <w:r w:rsidRPr="00853F57">
        <w:rPr>
          <w:lang w:val="en-GB"/>
        </w:rPr>
        <w:t xml:space="preserve"> announced plans that included the divestment of its assets in Southeast Asia worth at least US$2.0 billion.</w:t>
      </w:r>
      <w:r w:rsidRPr="00853F57">
        <w:rPr>
          <w:rStyle w:val="EndnoteReference"/>
          <w:color w:val="000000" w:themeColor="text1"/>
          <w:lang w:val="en-GB"/>
        </w:rPr>
        <w:endnoteReference w:id="55"/>
      </w:r>
      <w:r w:rsidRPr="00853F57">
        <w:rPr>
          <w:lang w:val="en-GB"/>
        </w:rPr>
        <w:t xml:space="preserve"> These divestments were planned to significantly improve </w:t>
      </w:r>
      <w:proofErr w:type="spellStart"/>
      <w:r w:rsidRPr="00853F57">
        <w:rPr>
          <w:lang w:val="en-GB"/>
        </w:rPr>
        <w:t>LafargeHolcim’s</w:t>
      </w:r>
      <w:proofErr w:type="spellEnd"/>
      <w:r w:rsidRPr="00853F57">
        <w:rPr>
          <w:lang w:val="en-GB"/>
        </w:rPr>
        <w:t xml:space="preserve"> debt ratios: its target was to achieve two times net debt–to–recurring earnings before EBITDA by the end of 2019 and to concentrate on the United States, Latin America, India, and Africa.</w:t>
      </w:r>
      <w:r w:rsidRPr="00853F57">
        <w:rPr>
          <w:rStyle w:val="EndnoteReference"/>
          <w:color w:val="000000" w:themeColor="text1"/>
          <w:lang w:val="en-GB"/>
        </w:rPr>
        <w:endnoteReference w:id="56"/>
      </w:r>
      <w:r w:rsidRPr="00853F57">
        <w:rPr>
          <w:lang w:val="en-GB"/>
        </w:rPr>
        <w:t xml:space="preserve"> </w:t>
      </w:r>
    </w:p>
    <w:p w14:paraId="36632DA0" w14:textId="59F75D59" w:rsidR="00862671" w:rsidRPr="00853F57" w:rsidRDefault="00862671" w:rsidP="00437109">
      <w:pPr>
        <w:pStyle w:val="BodyTextMain"/>
        <w:rPr>
          <w:lang w:val="en-GB"/>
        </w:rPr>
      </w:pPr>
    </w:p>
    <w:p w14:paraId="01C4FF8B" w14:textId="77777777" w:rsidR="00862671" w:rsidRPr="00853F57" w:rsidRDefault="00862671" w:rsidP="00437109">
      <w:pPr>
        <w:pStyle w:val="BodyTextMain"/>
        <w:rPr>
          <w:lang w:val="en-GB"/>
        </w:rPr>
      </w:pPr>
    </w:p>
    <w:p w14:paraId="15DA2639" w14:textId="77777777" w:rsidR="00862671" w:rsidRPr="00853F57" w:rsidRDefault="00862671" w:rsidP="00034CB9">
      <w:pPr>
        <w:pStyle w:val="Casehead2"/>
        <w:rPr>
          <w:lang w:val="en-GB"/>
        </w:rPr>
      </w:pPr>
      <w:r w:rsidRPr="00853F57">
        <w:rPr>
          <w:lang w:val="en-GB"/>
        </w:rPr>
        <w:t>Why Southeast Asia?</w:t>
      </w:r>
    </w:p>
    <w:p w14:paraId="6CF91D0A" w14:textId="77777777" w:rsidR="00862671" w:rsidRPr="00853F57" w:rsidRDefault="00862671" w:rsidP="00437109">
      <w:pPr>
        <w:pStyle w:val="BodyTextMain"/>
        <w:rPr>
          <w:i/>
          <w:lang w:val="en-GB"/>
        </w:rPr>
      </w:pPr>
    </w:p>
    <w:p w14:paraId="2BDBFBA6" w14:textId="2121E603" w:rsidR="00862671" w:rsidRPr="00853F57" w:rsidRDefault="00862671" w:rsidP="00437109">
      <w:pPr>
        <w:pStyle w:val="BodyTextMain"/>
        <w:rPr>
          <w:lang w:val="en-GB"/>
        </w:rPr>
      </w:pPr>
      <w:proofErr w:type="spellStart"/>
      <w:r w:rsidRPr="00853F57">
        <w:rPr>
          <w:lang w:val="en-GB"/>
        </w:rPr>
        <w:t>LafargeHolcim’s</w:t>
      </w:r>
      <w:proofErr w:type="spellEnd"/>
      <w:r w:rsidRPr="00853F57">
        <w:rPr>
          <w:lang w:val="en-GB"/>
        </w:rPr>
        <w:t xml:space="preserve"> largest business area, in terms of volume and number of employees, was Asia Pacific, which covered India, China, Bangladesh, Australia, and Southeast Asia. The company operated 117 integrated cement and cement grinding plants in the Asia Pacific region, with total cement grinding capacity of 117.4 million metric tons.</w:t>
      </w:r>
      <w:r w:rsidRPr="00853F57">
        <w:rPr>
          <w:rStyle w:val="EndnoteReference"/>
          <w:color w:val="000000" w:themeColor="text1"/>
          <w:lang w:val="en-GB"/>
        </w:rPr>
        <w:endnoteReference w:id="57"/>
      </w:r>
      <w:r w:rsidRPr="00853F57">
        <w:rPr>
          <w:lang w:val="en-GB"/>
        </w:rPr>
        <w:t xml:space="preserve"> Unfortunately, in 2017, Asia Pacific reported lower earnings despite higher volumes among the company’s three product lines, namely cement, aggregates, and ready-mix concrete,</w:t>
      </w:r>
      <w:r w:rsidRPr="00853F57">
        <w:rPr>
          <w:rStyle w:val="EndnoteReference"/>
          <w:color w:val="000000" w:themeColor="text1"/>
          <w:lang w:val="en-GB"/>
        </w:rPr>
        <w:endnoteReference w:id="58"/>
      </w:r>
      <w:r w:rsidRPr="00853F57">
        <w:rPr>
          <w:lang w:val="en-GB"/>
        </w:rPr>
        <w:t xml:space="preserve"> and its full-year recurring EBITDA </w:t>
      </w:r>
      <w:r>
        <w:rPr>
          <w:lang w:val="en-GB"/>
        </w:rPr>
        <w:t xml:space="preserve">had </w:t>
      </w:r>
      <w:r w:rsidRPr="00853F57">
        <w:rPr>
          <w:lang w:val="en-GB"/>
        </w:rPr>
        <w:t xml:space="preserve">declined by 6.9 per cent, to US$1.42 billion. In the Philippines, operating EBITDA in 2017 </w:t>
      </w:r>
      <w:r>
        <w:rPr>
          <w:lang w:val="en-GB"/>
        </w:rPr>
        <w:t xml:space="preserve">had </w:t>
      </w:r>
      <w:r w:rsidRPr="00853F57">
        <w:rPr>
          <w:lang w:val="en-GB"/>
        </w:rPr>
        <w:t>declined by 49.6 per cent from the previous year because of lower revenues and higher fuel and production costs.</w:t>
      </w:r>
      <w:r w:rsidRPr="00853F57">
        <w:rPr>
          <w:rStyle w:val="EndnoteReference"/>
          <w:color w:val="000000" w:themeColor="text1"/>
          <w:lang w:val="en-GB"/>
        </w:rPr>
        <w:endnoteReference w:id="59"/>
      </w:r>
      <w:r w:rsidRPr="00853F57">
        <w:rPr>
          <w:lang w:val="en-GB"/>
        </w:rPr>
        <w:t xml:space="preserve"> </w:t>
      </w:r>
      <w:proofErr w:type="spellStart"/>
      <w:r w:rsidRPr="00853F57">
        <w:rPr>
          <w:lang w:val="en-GB"/>
        </w:rPr>
        <w:t>LafargeHolcim’s</w:t>
      </w:r>
      <w:proofErr w:type="spellEnd"/>
      <w:r w:rsidRPr="00853F57">
        <w:rPr>
          <w:lang w:val="en-GB"/>
        </w:rPr>
        <w:t xml:space="preserve"> chief executive officer (CEO) Jan </w:t>
      </w:r>
      <w:proofErr w:type="spellStart"/>
      <w:r w:rsidRPr="00853F57">
        <w:rPr>
          <w:lang w:val="en-GB"/>
        </w:rPr>
        <w:t>Jenisch</w:t>
      </w:r>
      <w:proofErr w:type="spellEnd"/>
      <w:r w:rsidRPr="00853F57">
        <w:rPr>
          <w:lang w:val="en-GB"/>
        </w:rPr>
        <w:t xml:space="preserve"> said in May 2018 that the company’s Southeast Asian business had been “a bit more challenging” amid price pressure in markets such as the Philippines and Malaysia.</w:t>
      </w:r>
      <w:r w:rsidRPr="00853F57">
        <w:rPr>
          <w:rStyle w:val="EndnoteReference"/>
          <w:color w:val="000000" w:themeColor="text1"/>
          <w:lang w:val="en-GB"/>
        </w:rPr>
        <w:endnoteReference w:id="60"/>
      </w:r>
    </w:p>
    <w:p w14:paraId="3151E240" w14:textId="77777777" w:rsidR="00862671" w:rsidRPr="00853F57" w:rsidRDefault="00862671" w:rsidP="00437109">
      <w:pPr>
        <w:jc w:val="both"/>
        <w:rPr>
          <w:color w:val="000000" w:themeColor="text1"/>
          <w:sz w:val="22"/>
          <w:szCs w:val="22"/>
          <w:lang w:val="en-GB"/>
        </w:rPr>
      </w:pPr>
    </w:p>
    <w:p w14:paraId="2D618E03" w14:textId="1E97A3A4" w:rsidR="00862671" w:rsidRPr="00853F57" w:rsidRDefault="00862671" w:rsidP="00437109">
      <w:pPr>
        <w:pStyle w:val="BodyTextMain"/>
        <w:rPr>
          <w:lang w:val="en-GB"/>
        </w:rPr>
      </w:pPr>
      <w:r w:rsidRPr="00853F57">
        <w:rPr>
          <w:rStyle w:val="NoSpacingChar"/>
          <w:rFonts w:ascii="Times New Roman" w:hAnsi="Times New Roman"/>
          <w:lang w:val="en-GB"/>
        </w:rPr>
        <w:t xml:space="preserve">Subsequently, in November 2018, </w:t>
      </w:r>
      <w:proofErr w:type="spellStart"/>
      <w:r w:rsidRPr="00853F57">
        <w:rPr>
          <w:rStyle w:val="NoSpacingChar"/>
          <w:rFonts w:ascii="Times New Roman" w:hAnsi="Times New Roman"/>
          <w:lang w:val="en-GB"/>
        </w:rPr>
        <w:t>LafargeHolcim</w:t>
      </w:r>
      <w:proofErr w:type="spellEnd"/>
      <w:r w:rsidRPr="00853F57">
        <w:rPr>
          <w:rStyle w:val="NoSpacingChar"/>
          <w:rFonts w:ascii="Times New Roman" w:hAnsi="Times New Roman"/>
          <w:lang w:val="en-GB"/>
        </w:rPr>
        <w:t xml:space="preserve"> announced that it was selling its </w:t>
      </w:r>
      <w:r w:rsidRPr="00853F57">
        <w:rPr>
          <w:lang w:val="en-GB"/>
        </w:rPr>
        <w:t xml:space="preserve">80.6 per cent stake in Holcim Indonesia for an enterprise value of </w:t>
      </w:r>
      <w:r>
        <w:rPr>
          <w:lang w:val="en-GB"/>
        </w:rPr>
        <w:t>US</w:t>
      </w:r>
      <w:r w:rsidRPr="00853F57">
        <w:rPr>
          <w:lang w:val="en-GB"/>
        </w:rPr>
        <w:t xml:space="preserve">$1.75 billion to PT Semen Indonesia. The assets sold included the entirety of </w:t>
      </w:r>
      <w:proofErr w:type="spellStart"/>
      <w:r w:rsidRPr="00853F57">
        <w:rPr>
          <w:lang w:val="en-GB"/>
        </w:rPr>
        <w:t>LafargeHolcim’s</w:t>
      </w:r>
      <w:proofErr w:type="spellEnd"/>
      <w:r w:rsidRPr="00853F57">
        <w:rPr>
          <w:lang w:val="en-GB"/>
        </w:rPr>
        <w:t xml:space="preserve"> operations in Indonesia, which consisted of four cement plants, 33 ready-mix plants and two aggregate quarries. PT Semen Indonesia was a major building materials company in Indonesia.</w:t>
      </w:r>
      <w:r w:rsidRPr="00853F57">
        <w:rPr>
          <w:rStyle w:val="EndnoteReference"/>
          <w:color w:val="000000" w:themeColor="text1"/>
          <w:lang w:val="en-GB"/>
        </w:rPr>
        <w:endnoteReference w:id="61"/>
      </w:r>
      <w:r w:rsidRPr="00853F57">
        <w:rPr>
          <w:lang w:val="en-GB"/>
        </w:rPr>
        <w:t xml:space="preserve"> In May 2019, </w:t>
      </w:r>
      <w:proofErr w:type="spellStart"/>
      <w:r w:rsidRPr="00853F57">
        <w:rPr>
          <w:lang w:val="en-GB"/>
        </w:rPr>
        <w:t>LafargeHolcim</w:t>
      </w:r>
      <w:proofErr w:type="spellEnd"/>
      <w:r w:rsidRPr="00853F57">
        <w:rPr>
          <w:lang w:val="en-GB"/>
        </w:rPr>
        <w:t xml:space="preserve"> also announced the sale of its 51 per cent holding in Lafarge Malaysia </w:t>
      </w:r>
      <w:proofErr w:type="spellStart"/>
      <w:r w:rsidRPr="00853F57">
        <w:rPr>
          <w:lang w:val="en-GB"/>
        </w:rPr>
        <w:t>Berhad</w:t>
      </w:r>
      <w:proofErr w:type="spellEnd"/>
      <w:r w:rsidRPr="00853F57">
        <w:rPr>
          <w:lang w:val="en-GB"/>
        </w:rPr>
        <w:t xml:space="preserve"> for </w:t>
      </w:r>
      <w:r>
        <w:rPr>
          <w:lang w:val="en-GB"/>
        </w:rPr>
        <w:t>US</w:t>
      </w:r>
      <w:r w:rsidRPr="00853F57">
        <w:rPr>
          <w:lang w:val="en-GB"/>
        </w:rPr>
        <w:t>$396 million (MYR3.75 per share).</w:t>
      </w:r>
      <w:r w:rsidRPr="00853F57">
        <w:rPr>
          <w:rStyle w:val="EndnoteReference"/>
          <w:lang w:val="en-GB"/>
        </w:rPr>
        <w:endnoteReference w:id="62"/>
      </w:r>
      <w:r w:rsidRPr="00853F57">
        <w:rPr>
          <w:lang w:val="en-GB"/>
        </w:rPr>
        <w:t xml:space="preserve"> This price represented a 43 per cent premium over the prior three-month average trading price of Lafarge Malaysia </w:t>
      </w:r>
      <w:proofErr w:type="spellStart"/>
      <w:r w:rsidRPr="00853F57">
        <w:rPr>
          <w:lang w:val="en-GB"/>
        </w:rPr>
        <w:t>Berhad</w:t>
      </w:r>
      <w:proofErr w:type="spellEnd"/>
      <w:r w:rsidRPr="00853F57">
        <w:rPr>
          <w:lang w:val="en-GB"/>
        </w:rPr>
        <w:t xml:space="preserve"> on the Malaysian stock exchange. Lafarge Malaysia </w:t>
      </w:r>
      <w:proofErr w:type="spellStart"/>
      <w:r w:rsidRPr="00853F57">
        <w:rPr>
          <w:lang w:val="en-GB"/>
        </w:rPr>
        <w:t>Berhad</w:t>
      </w:r>
      <w:proofErr w:type="spellEnd"/>
      <w:r w:rsidRPr="00853F57">
        <w:rPr>
          <w:lang w:val="en-GB"/>
        </w:rPr>
        <w:t xml:space="preserve"> operated three integrated cement and two grinding plants. The buyer was YTL Cement </w:t>
      </w:r>
      <w:proofErr w:type="spellStart"/>
      <w:r w:rsidRPr="00853F57">
        <w:rPr>
          <w:lang w:val="en-GB"/>
        </w:rPr>
        <w:t>Berhad</w:t>
      </w:r>
      <w:proofErr w:type="spellEnd"/>
      <w:r w:rsidRPr="00853F57">
        <w:rPr>
          <w:lang w:val="en-GB"/>
        </w:rPr>
        <w:t xml:space="preserve">, which was a part of YTL Corporation </w:t>
      </w:r>
      <w:proofErr w:type="spellStart"/>
      <w:r w:rsidRPr="00853F57">
        <w:rPr>
          <w:lang w:val="en-GB"/>
        </w:rPr>
        <w:t>Berhad</w:t>
      </w:r>
      <w:proofErr w:type="spellEnd"/>
      <w:r w:rsidRPr="00853F57">
        <w:rPr>
          <w:lang w:val="en-GB"/>
        </w:rPr>
        <w:t>, a Malaysian infrastructure conglomerate involved in cement production, construction, property development, and utilities.</w:t>
      </w:r>
      <w:r w:rsidRPr="00853F57">
        <w:rPr>
          <w:rStyle w:val="EndnoteReference"/>
          <w:color w:val="000000" w:themeColor="text1"/>
          <w:lang w:val="en-GB"/>
        </w:rPr>
        <w:endnoteReference w:id="63"/>
      </w:r>
      <w:r w:rsidRPr="00853F57">
        <w:rPr>
          <w:lang w:val="en-GB"/>
        </w:rPr>
        <w:t xml:space="preserve"> Finally, </w:t>
      </w:r>
      <w:proofErr w:type="spellStart"/>
      <w:r w:rsidRPr="00853F57">
        <w:rPr>
          <w:lang w:val="en-GB"/>
        </w:rPr>
        <w:t>LafargeHolcim</w:t>
      </w:r>
      <w:proofErr w:type="spellEnd"/>
      <w:r w:rsidRPr="00853F57">
        <w:rPr>
          <w:lang w:val="en-GB"/>
        </w:rPr>
        <w:t xml:space="preserve"> also sold its entire 91 per cent holdings in its Singapore operation, for an enterprise value of US66.85 million, to YTL Cement Singapore PTE Limited.</w:t>
      </w:r>
      <w:r w:rsidRPr="00853F57">
        <w:rPr>
          <w:rStyle w:val="EndnoteReference"/>
          <w:color w:val="000000" w:themeColor="text1"/>
          <w:lang w:val="en-GB"/>
        </w:rPr>
        <w:endnoteReference w:id="64"/>
      </w:r>
    </w:p>
    <w:p w14:paraId="247FEA17" w14:textId="7D8C33A9" w:rsidR="00862671" w:rsidRPr="003057AD" w:rsidRDefault="00862671" w:rsidP="00437109">
      <w:pPr>
        <w:pStyle w:val="BodyTextMain"/>
        <w:rPr>
          <w:sz w:val="18"/>
          <w:lang w:val="en-GB"/>
        </w:rPr>
      </w:pPr>
    </w:p>
    <w:p w14:paraId="06A6D522" w14:textId="77777777" w:rsidR="00862671" w:rsidRPr="003057AD" w:rsidRDefault="00862671" w:rsidP="00437109">
      <w:pPr>
        <w:pStyle w:val="BodyTextMain"/>
        <w:rPr>
          <w:sz w:val="18"/>
          <w:lang w:val="en-GB"/>
        </w:rPr>
      </w:pPr>
    </w:p>
    <w:p w14:paraId="00FDDEAC" w14:textId="77777777" w:rsidR="00862671" w:rsidRPr="00853F57" w:rsidRDefault="00862671" w:rsidP="00034CB9">
      <w:pPr>
        <w:pStyle w:val="Casehead2"/>
        <w:rPr>
          <w:lang w:val="en-GB"/>
        </w:rPr>
      </w:pPr>
      <w:r w:rsidRPr="00853F57">
        <w:rPr>
          <w:lang w:val="en-GB"/>
        </w:rPr>
        <w:t>Sale of HPI</w:t>
      </w:r>
    </w:p>
    <w:p w14:paraId="265422F6" w14:textId="77777777" w:rsidR="00862671" w:rsidRPr="003057AD" w:rsidRDefault="00862671" w:rsidP="00437109">
      <w:pPr>
        <w:pStyle w:val="BodyTextMain"/>
        <w:rPr>
          <w:i/>
          <w:sz w:val="18"/>
          <w:highlight w:val="yellow"/>
          <w:lang w:val="en-GB"/>
        </w:rPr>
      </w:pPr>
    </w:p>
    <w:p w14:paraId="04CDECDF" w14:textId="2E5045E8" w:rsidR="00862671" w:rsidRPr="003057AD" w:rsidRDefault="00862671" w:rsidP="00437109">
      <w:pPr>
        <w:pStyle w:val="BodyTextMain"/>
        <w:rPr>
          <w:spacing w:val="-4"/>
          <w:lang w:val="en-GB"/>
        </w:rPr>
      </w:pPr>
      <w:r w:rsidRPr="003057AD">
        <w:rPr>
          <w:spacing w:val="-4"/>
          <w:lang w:val="en-GB"/>
        </w:rPr>
        <w:t xml:space="preserve">Rumours about the potential sale of the Philippine unit of </w:t>
      </w:r>
      <w:proofErr w:type="spellStart"/>
      <w:r w:rsidRPr="003057AD">
        <w:rPr>
          <w:spacing w:val="-4"/>
          <w:lang w:val="en-GB"/>
        </w:rPr>
        <w:t>LafargeHolcim</w:t>
      </w:r>
      <w:proofErr w:type="spellEnd"/>
      <w:r w:rsidRPr="003057AD">
        <w:rPr>
          <w:spacing w:val="-4"/>
          <w:lang w:val="en-GB"/>
        </w:rPr>
        <w:t xml:space="preserve"> first came out in January 2019, when it was revealed that Philippine Stock Exchange (PSE)-listed company Eagle Cement Corporation, the fourth-largest cement company in the Philippines,</w:t>
      </w:r>
      <w:r w:rsidRPr="003057AD">
        <w:rPr>
          <w:rStyle w:val="EndnoteReference"/>
          <w:color w:val="000000" w:themeColor="text1"/>
          <w:spacing w:val="-4"/>
          <w:lang w:val="en-GB"/>
        </w:rPr>
        <w:endnoteReference w:id="65"/>
      </w:r>
      <w:r w:rsidRPr="003057AD">
        <w:rPr>
          <w:spacing w:val="-4"/>
          <w:lang w:val="en-GB"/>
        </w:rPr>
        <w:t xml:space="preserve"> was interested in taking over HPI’s local assets.</w:t>
      </w:r>
      <w:r w:rsidRPr="003057AD">
        <w:rPr>
          <w:rStyle w:val="EndnoteReference"/>
          <w:color w:val="000000" w:themeColor="text1"/>
          <w:spacing w:val="-4"/>
          <w:lang w:val="en-GB"/>
        </w:rPr>
        <w:endnoteReference w:id="66"/>
      </w:r>
      <w:r w:rsidRPr="003057AD">
        <w:rPr>
          <w:spacing w:val="-4"/>
          <w:lang w:val="en-GB"/>
        </w:rPr>
        <w:t xml:space="preserve"> Ramon Ang was </w:t>
      </w:r>
      <w:r w:rsidRPr="003057AD">
        <w:rPr>
          <w:spacing w:val="-4"/>
          <w:lang w:val="en-GB"/>
        </w:rPr>
        <w:lastRenderedPageBreak/>
        <w:t>the chairman of the Eagle Cement Corporation board as well as the vice-chair, president, and COO of SMC. Shares of HPI surged on news of the potential sale.</w:t>
      </w:r>
      <w:r w:rsidRPr="003057AD">
        <w:rPr>
          <w:rStyle w:val="EndnoteReference"/>
          <w:color w:val="000000" w:themeColor="text1"/>
          <w:spacing w:val="-4"/>
          <w:lang w:val="en-GB"/>
        </w:rPr>
        <w:endnoteReference w:id="67"/>
      </w:r>
      <w:r w:rsidRPr="003057AD">
        <w:rPr>
          <w:spacing w:val="-4"/>
          <w:lang w:val="en-GB"/>
        </w:rPr>
        <w:t xml:space="preserve"> Finally, on May 11, 2019, HPI and SMC confirmed that </w:t>
      </w:r>
      <w:proofErr w:type="spellStart"/>
      <w:r w:rsidRPr="003057AD">
        <w:rPr>
          <w:spacing w:val="-4"/>
          <w:lang w:val="en-GB"/>
        </w:rPr>
        <w:t>LafargeHolcim</w:t>
      </w:r>
      <w:proofErr w:type="spellEnd"/>
      <w:r w:rsidRPr="003057AD">
        <w:rPr>
          <w:spacing w:val="-4"/>
          <w:lang w:val="en-GB"/>
        </w:rPr>
        <w:t xml:space="preserve"> had signed an agreement for the divestment of </w:t>
      </w:r>
      <w:proofErr w:type="spellStart"/>
      <w:r w:rsidRPr="003057AD">
        <w:rPr>
          <w:spacing w:val="-4"/>
          <w:lang w:val="en-GB"/>
        </w:rPr>
        <w:t>LafargeHolcim’s</w:t>
      </w:r>
      <w:proofErr w:type="spellEnd"/>
      <w:r w:rsidRPr="003057AD">
        <w:rPr>
          <w:spacing w:val="-4"/>
          <w:lang w:val="en-GB"/>
        </w:rPr>
        <w:t xml:space="preserve"> entire 85.73 per cent shareholding in HPI for an enterprise value of US$2.15 billion on a 100 per cent enterprise-value basis.</w:t>
      </w:r>
      <w:r w:rsidRPr="003057AD">
        <w:rPr>
          <w:rStyle w:val="EndnoteReference"/>
          <w:color w:val="000000" w:themeColor="text1"/>
          <w:spacing w:val="-4"/>
          <w:lang w:val="en-GB"/>
        </w:rPr>
        <w:endnoteReference w:id="68"/>
      </w:r>
    </w:p>
    <w:p w14:paraId="6B04DA26" w14:textId="77777777" w:rsidR="00862671" w:rsidRPr="003057AD" w:rsidRDefault="00862671" w:rsidP="00437109">
      <w:pPr>
        <w:pStyle w:val="BodyTextMain"/>
        <w:rPr>
          <w:sz w:val="18"/>
          <w:lang w:val="en-GB"/>
        </w:rPr>
      </w:pPr>
    </w:p>
    <w:p w14:paraId="3431CFAA" w14:textId="26E88BB4" w:rsidR="00862671" w:rsidRPr="00853F57" w:rsidRDefault="00862671" w:rsidP="00437109">
      <w:pPr>
        <w:pStyle w:val="BodyTextMain"/>
        <w:rPr>
          <w:lang w:val="en-GB"/>
        </w:rPr>
      </w:pPr>
      <w:proofErr w:type="spellStart"/>
      <w:r w:rsidRPr="00853F57">
        <w:rPr>
          <w:lang w:val="en-GB"/>
        </w:rPr>
        <w:t>LafargeHolcim</w:t>
      </w:r>
      <w:proofErr w:type="spellEnd"/>
      <w:r w:rsidRPr="00853F57">
        <w:rPr>
          <w:lang w:val="en-GB"/>
        </w:rPr>
        <w:t xml:space="preserve"> announced that its sale of operations in Indonesia, Malaysia, Singapore, and now the Philippines, would enable it to exit Southeast Asia with an enterprise value of US$4.9 billion. These divestitures were negotiated based on a 2018 enterprise value–to–recurring EBITDA multiple of above 21 times. These would also reduce the company’s net debt–to–recurring EBITDA ratio by 0.6 times.</w:t>
      </w:r>
      <w:r w:rsidRPr="00853F57">
        <w:rPr>
          <w:rStyle w:val="EndnoteReference"/>
          <w:color w:val="000000" w:themeColor="text1"/>
          <w:lang w:val="en-GB"/>
        </w:rPr>
        <w:endnoteReference w:id="69"/>
      </w:r>
    </w:p>
    <w:p w14:paraId="75F8858B" w14:textId="77777777" w:rsidR="00862671" w:rsidRPr="003057AD" w:rsidRDefault="00862671" w:rsidP="00437109">
      <w:pPr>
        <w:pStyle w:val="BodyTextMain"/>
        <w:rPr>
          <w:sz w:val="18"/>
          <w:lang w:val="en-GB"/>
        </w:rPr>
      </w:pPr>
    </w:p>
    <w:p w14:paraId="2EB884CE" w14:textId="7F024D75" w:rsidR="00862671" w:rsidRPr="00853F57" w:rsidRDefault="00862671" w:rsidP="00437109">
      <w:pPr>
        <w:pStyle w:val="BodyTextMain"/>
        <w:rPr>
          <w:lang w:val="en-GB"/>
        </w:rPr>
      </w:pPr>
      <w:r w:rsidRPr="00853F57">
        <w:rPr>
          <w:lang w:val="en-GB"/>
        </w:rPr>
        <w:t xml:space="preserve">According to Jan </w:t>
      </w:r>
      <w:proofErr w:type="spellStart"/>
      <w:r w:rsidRPr="00853F57">
        <w:rPr>
          <w:lang w:val="en-GB"/>
        </w:rPr>
        <w:t>Jenisch</w:t>
      </w:r>
      <w:proofErr w:type="spellEnd"/>
      <w:r w:rsidRPr="00853F57">
        <w:rPr>
          <w:lang w:val="en-GB"/>
        </w:rPr>
        <w:t xml:space="preserve">, </w:t>
      </w:r>
      <w:proofErr w:type="spellStart"/>
      <w:r w:rsidRPr="00853F57">
        <w:rPr>
          <w:lang w:val="en-GB"/>
        </w:rPr>
        <w:t>LafargeHolcim’s</w:t>
      </w:r>
      <w:proofErr w:type="spellEnd"/>
      <w:r w:rsidRPr="00853F57">
        <w:rPr>
          <w:lang w:val="en-GB"/>
        </w:rPr>
        <w:t xml:space="preserve"> CEO,</w:t>
      </w:r>
    </w:p>
    <w:p w14:paraId="59FA2E0C" w14:textId="77777777" w:rsidR="00862671" w:rsidRPr="003057AD" w:rsidRDefault="00862671" w:rsidP="00437109">
      <w:pPr>
        <w:pStyle w:val="BodyTextMain"/>
        <w:rPr>
          <w:sz w:val="18"/>
          <w:lang w:val="en-GB"/>
        </w:rPr>
      </w:pPr>
    </w:p>
    <w:p w14:paraId="2B261624" w14:textId="10AEEB7D" w:rsidR="00862671" w:rsidRPr="003057AD" w:rsidRDefault="00862671" w:rsidP="00034CB9">
      <w:pPr>
        <w:pStyle w:val="BodyTextMain"/>
        <w:ind w:left="567"/>
        <w:rPr>
          <w:spacing w:val="-2"/>
          <w:lang w:val="en-GB"/>
        </w:rPr>
      </w:pPr>
      <w:r w:rsidRPr="003057AD">
        <w:rPr>
          <w:spacing w:val="-2"/>
          <w:lang w:val="en-GB"/>
        </w:rPr>
        <w:t>With the divestment of our activities in the Philippines, we are completing our exit from the increasingly hyper-competitive arena in Southeast Asia. While this decision was based on our strategic portfolio review, we had reached very attractive valuations, allowing us to achieve a new level of financial strength. We would have over performed our target ratio of net debt–to–recurring EBITDA of two times or less by the end of 2019. We had delivered on the promised strengthening of our balance sheet, and we are on track to accelerate the execution of our Strategy 2022</w:t>
      </w:r>
      <w:proofErr w:type="gramStart"/>
      <w:r w:rsidRPr="003057AD">
        <w:rPr>
          <w:spacing w:val="-2"/>
          <w:lang w:val="en-GB"/>
        </w:rPr>
        <w:t>–“</w:t>
      </w:r>
      <w:proofErr w:type="gramEnd"/>
      <w:r w:rsidRPr="003057AD">
        <w:rPr>
          <w:spacing w:val="-2"/>
          <w:lang w:val="en-GB"/>
        </w:rPr>
        <w:t>Building for Growth.”</w:t>
      </w:r>
      <w:r w:rsidRPr="003057AD">
        <w:rPr>
          <w:rStyle w:val="EndnoteReference"/>
          <w:spacing w:val="-2"/>
          <w:lang w:val="en-GB"/>
        </w:rPr>
        <w:endnoteReference w:id="70"/>
      </w:r>
    </w:p>
    <w:p w14:paraId="0AD446F7" w14:textId="77777777" w:rsidR="00862671" w:rsidRPr="003057AD" w:rsidRDefault="00862671" w:rsidP="00437109">
      <w:pPr>
        <w:pStyle w:val="BodyTextMain"/>
        <w:rPr>
          <w:sz w:val="18"/>
          <w:lang w:val="en-GB"/>
        </w:rPr>
      </w:pPr>
    </w:p>
    <w:p w14:paraId="5A282F10" w14:textId="20A65D5F" w:rsidR="00862671" w:rsidRPr="00853F57" w:rsidRDefault="00862671" w:rsidP="00437109">
      <w:pPr>
        <w:pStyle w:val="BodyTextMain"/>
        <w:rPr>
          <w:lang w:val="en-GB"/>
        </w:rPr>
      </w:pPr>
      <w:proofErr w:type="spellStart"/>
      <w:r w:rsidRPr="00853F57">
        <w:rPr>
          <w:lang w:val="en-GB"/>
        </w:rPr>
        <w:t>LafargeHolcim</w:t>
      </w:r>
      <w:proofErr w:type="spellEnd"/>
      <w:r w:rsidRPr="00853F57">
        <w:rPr>
          <w:lang w:val="en-GB"/>
        </w:rPr>
        <w:t xml:space="preserve"> said that it had conducted competitive bidding for HPI and that SMC had presented the best offer. Industry sources indicated that SMC overcame various international players such as China-based Anhui Cement Corp., Japan-based </w:t>
      </w:r>
      <w:proofErr w:type="spellStart"/>
      <w:r w:rsidRPr="00853F57">
        <w:rPr>
          <w:lang w:val="en-GB"/>
        </w:rPr>
        <w:t>Taiheyo</w:t>
      </w:r>
      <w:proofErr w:type="spellEnd"/>
      <w:r w:rsidRPr="00853F57">
        <w:rPr>
          <w:lang w:val="en-GB"/>
        </w:rPr>
        <w:t xml:space="preserve"> Cement Corp., Thailand-based Siam City Cement, and the Philippines’ Eagle Cement Corporation.</w:t>
      </w:r>
      <w:r w:rsidRPr="00853F57">
        <w:rPr>
          <w:rStyle w:val="EndnoteReference"/>
          <w:color w:val="000000" w:themeColor="text1"/>
          <w:lang w:val="en-GB"/>
        </w:rPr>
        <w:endnoteReference w:id="71"/>
      </w:r>
    </w:p>
    <w:p w14:paraId="4C1F4F2F" w14:textId="338CAF9D" w:rsidR="00862671" w:rsidRPr="003057AD" w:rsidRDefault="00862671" w:rsidP="00437109">
      <w:pPr>
        <w:pStyle w:val="Casehead1"/>
        <w:rPr>
          <w:sz w:val="16"/>
          <w:lang w:val="en-GB"/>
        </w:rPr>
      </w:pPr>
    </w:p>
    <w:p w14:paraId="3739EC02" w14:textId="77777777" w:rsidR="00862671" w:rsidRPr="003057AD" w:rsidRDefault="00862671" w:rsidP="00437109">
      <w:pPr>
        <w:pStyle w:val="Casehead1"/>
        <w:rPr>
          <w:sz w:val="16"/>
          <w:lang w:val="en-GB"/>
        </w:rPr>
      </w:pPr>
    </w:p>
    <w:p w14:paraId="3B1E01C0" w14:textId="2958BB89" w:rsidR="00862671" w:rsidRPr="00853F57" w:rsidRDefault="00862671" w:rsidP="00437109">
      <w:pPr>
        <w:pStyle w:val="Casehead1"/>
        <w:rPr>
          <w:lang w:val="en-GB"/>
        </w:rPr>
      </w:pPr>
      <w:r w:rsidRPr="00853F57">
        <w:rPr>
          <w:lang w:val="en-GB"/>
        </w:rPr>
        <w:t xml:space="preserve">SAN MIGUEL CORPORATION </w:t>
      </w:r>
    </w:p>
    <w:p w14:paraId="0935F972" w14:textId="77777777" w:rsidR="00862671" w:rsidRPr="003057AD" w:rsidRDefault="00862671" w:rsidP="00437109">
      <w:pPr>
        <w:rPr>
          <w:color w:val="000000" w:themeColor="text1"/>
          <w:sz w:val="18"/>
          <w:szCs w:val="22"/>
          <w:lang w:val="en-GB"/>
        </w:rPr>
      </w:pPr>
    </w:p>
    <w:p w14:paraId="76AF43F5" w14:textId="58969695" w:rsidR="00862671" w:rsidRPr="00853F57" w:rsidRDefault="00862671" w:rsidP="00437109">
      <w:pPr>
        <w:jc w:val="both"/>
        <w:rPr>
          <w:color w:val="000000" w:themeColor="text1"/>
          <w:sz w:val="22"/>
          <w:szCs w:val="22"/>
          <w:lang w:val="en-GB"/>
        </w:rPr>
      </w:pPr>
      <w:r w:rsidRPr="00853F57">
        <w:rPr>
          <w:color w:val="000000" w:themeColor="text1"/>
          <w:sz w:val="22"/>
          <w:szCs w:val="22"/>
          <w:lang w:val="en-GB"/>
        </w:rPr>
        <w:t>SMC, with its subsidiaries, was one of the largest conglomerates in the Philippines, with sales that accounted for approximately 5.9 per cent of the Philippine GDP in 2018.</w:t>
      </w:r>
      <w:r w:rsidRPr="00853F57">
        <w:rPr>
          <w:rStyle w:val="EndnoteReference"/>
          <w:color w:val="000000" w:themeColor="text1"/>
          <w:sz w:val="22"/>
          <w:szCs w:val="22"/>
          <w:lang w:val="en-GB"/>
        </w:rPr>
        <w:endnoteReference w:id="72"/>
      </w:r>
      <w:r w:rsidRPr="00853F57">
        <w:rPr>
          <w:color w:val="000000" w:themeColor="text1"/>
          <w:sz w:val="22"/>
          <w:szCs w:val="22"/>
          <w:lang w:val="en-GB"/>
        </w:rPr>
        <w:t xml:space="preserve"> SMC businesses included a globally recognized beer brand, food and packaging, fuel and oil, energy, infrastructure, and banking investment.</w:t>
      </w:r>
      <w:r w:rsidRPr="00853F57">
        <w:rPr>
          <w:rStyle w:val="EndnoteReference"/>
          <w:color w:val="000000" w:themeColor="text1"/>
          <w:sz w:val="22"/>
          <w:szCs w:val="22"/>
          <w:lang w:val="en-GB"/>
        </w:rPr>
        <w:endnoteReference w:id="73"/>
      </w:r>
      <w:r w:rsidRPr="00853F57">
        <w:rPr>
          <w:color w:val="000000" w:themeColor="text1"/>
          <w:sz w:val="22"/>
          <w:szCs w:val="22"/>
          <w:lang w:val="en-GB"/>
        </w:rPr>
        <w:t xml:space="preserve"> </w:t>
      </w:r>
      <w:r>
        <w:rPr>
          <w:color w:val="000000" w:themeColor="text1"/>
          <w:sz w:val="22"/>
          <w:szCs w:val="22"/>
          <w:lang w:val="en-GB"/>
        </w:rPr>
        <w:t>A</w:t>
      </w:r>
      <w:r w:rsidRPr="00853F57">
        <w:rPr>
          <w:color w:val="000000" w:themeColor="text1"/>
          <w:sz w:val="22"/>
          <w:szCs w:val="22"/>
          <w:lang w:val="en-GB"/>
        </w:rPr>
        <w:t>lmost 66 per cent of SMC was owned by Top Frontier Investment Holdings Inc.; however, deeper research showed that Ramon Ang held over 32 per cent of SMC shares through his wholly owned companies Privado Holdings Corp.</w:t>
      </w:r>
      <w:r w:rsidRPr="00853F57">
        <w:rPr>
          <w:rStyle w:val="EndnoteReference"/>
          <w:color w:val="000000" w:themeColor="text1"/>
          <w:sz w:val="22"/>
          <w:szCs w:val="22"/>
          <w:lang w:val="en-GB"/>
        </w:rPr>
        <w:endnoteReference w:id="74"/>
      </w:r>
      <w:r w:rsidRPr="00853F57">
        <w:rPr>
          <w:color w:val="000000" w:themeColor="text1"/>
          <w:sz w:val="22"/>
          <w:szCs w:val="22"/>
          <w:lang w:val="en-GB"/>
        </w:rPr>
        <w:t xml:space="preserve"> and Master Year Limited</w:t>
      </w:r>
      <w:r w:rsidRPr="00853F57">
        <w:rPr>
          <w:rStyle w:val="EndnoteReference"/>
          <w:color w:val="000000" w:themeColor="text1"/>
          <w:sz w:val="22"/>
          <w:szCs w:val="22"/>
          <w:lang w:val="en-GB"/>
        </w:rPr>
        <w:endnoteReference w:id="75"/>
      </w:r>
      <w:r w:rsidRPr="00853F57">
        <w:rPr>
          <w:color w:val="000000" w:themeColor="text1"/>
          <w:sz w:val="22"/>
          <w:szCs w:val="22"/>
          <w:lang w:val="en-GB"/>
        </w:rPr>
        <w:t xml:space="preserve"> (see Exhibit 7).</w:t>
      </w:r>
    </w:p>
    <w:p w14:paraId="3CCEFB06" w14:textId="77777777" w:rsidR="00862671" w:rsidRPr="003057AD" w:rsidRDefault="00862671" w:rsidP="00437109">
      <w:pPr>
        <w:pStyle w:val="BodyTextMain"/>
        <w:rPr>
          <w:sz w:val="18"/>
          <w:lang w:val="en-GB"/>
        </w:rPr>
      </w:pPr>
    </w:p>
    <w:p w14:paraId="611E5615" w14:textId="5D7A4E63" w:rsidR="00862671" w:rsidRDefault="00862671" w:rsidP="00437109">
      <w:pPr>
        <w:pStyle w:val="BodyTextMain"/>
        <w:rPr>
          <w:lang w:val="en-GB"/>
        </w:rPr>
      </w:pPr>
      <w:r w:rsidRPr="00853F57">
        <w:rPr>
          <w:lang w:val="en-GB"/>
        </w:rPr>
        <w:t>In its corporate disclosure with the PSE, SMC said its acquisition of HPI would increase the foothold of the San Miguel Group in the cement business and would provide the company the opportunity to implement its plan to expand its cement business nationwide.</w:t>
      </w:r>
      <w:r w:rsidRPr="00853F57">
        <w:rPr>
          <w:rStyle w:val="EndnoteReference"/>
          <w:color w:val="000000" w:themeColor="text1"/>
          <w:lang w:val="en-GB"/>
        </w:rPr>
        <w:endnoteReference w:id="76"/>
      </w:r>
      <w:r w:rsidRPr="00853F57">
        <w:rPr>
          <w:lang w:val="en-GB"/>
        </w:rPr>
        <w:t xml:space="preserve"> In 2013, SMC purchased 35 per cent of Northern Cement Company, which was controlled by Eduardo </w:t>
      </w:r>
      <w:proofErr w:type="spellStart"/>
      <w:r w:rsidRPr="00853F57">
        <w:rPr>
          <w:lang w:val="en-GB"/>
        </w:rPr>
        <w:t>Cojuango</w:t>
      </w:r>
      <w:proofErr w:type="spellEnd"/>
      <w:r w:rsidRPr="00853F57">
        <w:rPr>
          <w:lang w:val="en-GB"/>
        </w:rPr>
        <w:t>, the chair of SMC.</w:t>
      </w:r>
      <w:r w:rsidRPr="00853F57">
        <w:rPr>
          <w:rStyle w:val="EndnoteReference"/>
          <w:color w:val="000000" w:themeColor="text1"/>
          <w:lang w:val="en-GB"/>
        </w:rPr>
        <w:endnoteReference w:id="77"/>
      </w:r>
      <w:r w:rsidRPr="00853F57">
        <w:rPr>
          <w:lang w:val="en-GB"/>
        </w:rPr>
        <w:t xml:space="preserve"> In 2017, SMC entered a joint venture with Northern Cement Company to build a new cement plant in the province of Pangasinan. SMC owned 70 per cent of the joint venture company.</w:t>
      </w:r>
      <w:r w:rsidRPr="00853F57">
        <w:rPr>
          <w:rStyle w:val="EndnoteReference"/>
          <w:color w:val="000000" w:themeColor="text1"/>
          <w:lang w:val="en-GB"/>
        </w:rPr>
        <w:endnoteReference w:id="78"/>
      </w:r>
      <w:r w:rsidRPr="00853F57">
        <w:rPr>
          <w:lang w:val="en-GB"/>
        </w:rPr>
        <w:t xml:space="preserve"> </w:t>
      </w:r>
    </w:p>
    <w:p w14:paraId="381E0B33" w14:textId="77777777" w:rsidR="00C0290E" w:rsidRPr="00853F57" w:rsidRDefault="00C0290E" w:rsidP="00437109">
      <w:pPr>
        <w:pStyle w:val="BodyTextMain"/>
        <w:rPr>
          <w:lang w:val="en-GB"/>
        </w:rPr>
      </w:pPr>
    </w:p>
    <w:p w14:paraId="6B80FA1B" w14:textId="5F271BBB" w:rsidR="00862671" w:rsidRPr="00853F57" w:rsidRDefault="00862671" w:rsidP="00437109">
      <w:pPr>
        <w:pStyle w:val="BodyTextMain"/>
        <w:rPr>
          <w:lang w:val="en-GB"/>
        </w:rPr>
      </w:pPr>
      <w:r w:rsidRPr="00853F57">
        <w:rPr>
          <w:lang w:val="en-GB"/>
        </w:rPr>
        <w:t xml:space="preserve">The acquisition of HPI was widely seen as Roman Ang’s expansionary move into the cement business amid the government’s ongoing massive infrastructure push. </w:t>
      </w:r>
      <w:r w:rsidRPr="00853F57">
        <w:rPr>
          <w:shd w:val="clear" w:color="auto" w:fill="FFFFFF"/>
          <w:lang w:val="en-GB"/>
        </w:rPr>
        <w:t>Astro del Castillo, managing director at First Grade Finance, Inc., said,</w:t>
      </w:r>
      <w:r w:rsidRPr="00853F57">
        <w:rPr>
          <w:lang w:val="en-GB"/>
        </w:rPr>
        <w:t xml:space="preserve"> “It’s a logical move for San Miguel considering its exposure to road and airport projects. The company was capitalizing on the government’s ‘Build, Build, Build’ infrastructure program.”</w:t>
      </w:r>
      <w:r w:rsidRPr="00853F57">
        <w:rPr>
          <w:rStyle w:val="EndnoteReference"/>
          <w:color w:val="000000" w:themeColor="text1"/>
          <w:lang w:val="en-GB"/>
        </w:rPr>
        <w:endnoteReference w:id="79"/>
      </w:r>
      <w:r w:rsidRPr="00853F57">
        <w:rPr>
          <w:lang w:val="en-GB"/>
        </w:rPr>
        <w:t xml:space="preserve"> </w:t>
      </w:r>
    </w:p>
    <w:p w14:paraId="4E07D159" w14:textId="77777777" w:rsidR="00862671" w:rsidRPr="00853F57" w:rsidRDefault="00862671" w:rsidP="00437109">
      <w:pPr>
        <w:pStyle w:val="BodyTextMain"/>
        <w:rPr>
          <w:lang w:val="en-GB"/>
        </w:rPr>
      </w:pPr>
    </w:p>
    <w:p w14:paraId="1CF720C5" w14:textId="72588ABF" w:rsidR="00862671" w:rsidRPr="00853F57" w:rsidRDefault="00862671" w:rsidP="00437109">
      <w:pPr>
        <w:pStyle w:val="BodyTextMain"/>
        <w:rPr>
          <w:lang w:val="en-GB"/>
        </w:rPr>
      </w:pPr>
      <w:r w:rsidRPr="00853F57">
        <w:rPr>
          <w:lang w:val="en-GB"/>
        </w:rPr>
        <w:t>In an interview, Ang said he was confident the company would receive the necessary PCC approval, since both the public and government considered it positive for a Filipino company to acquire</w:t>
      </w:r>
      <w:r>
        <w:rPr>
          <w:lang w:val="en-GB"/>
        </w:rPr>
        <w:t xml:space="preserve"> </w:t>
      </w:r>
      <w:r w:rsidRPr="00853F57">
        <w:rPr>
          <w:lang w:val="en-GB"/>
        </w:rPr>
        <w:t>HPI. He added, “Do you know that 35 per cent of cement being sold in the Philippines today are imported cement? And the major players in the Philippines―HPI, CEMEX, Lafarge-CRH and Japanese firm Taiyo, and another Taiwanese―they are all foreigners. Don’t you want a Filipino to acquire it?”</w:t>
      </w:r>
      <w:r w:rsidRPr="00853F57">
        <w:rPr>
          <w:rStyle w:val="EndnoteReference"/>
          <w:color w:val="000000" w:themeColor="text1"/>
          <w:lang w:val="en-GB"/>
        </w:rPr>
        <w:endnoteReference w:id="80"/>
      </w:r>
      <w:r w:rsidRPr="00853F57">
        <w:rPr>
          <w:lang w:val="en-GB"/>
        </w:rPr>
        <w:t xml:space="preserve"> </w:t>
      </w:r>
    </w:p>
    <w:p w14:paraId="516BCB2C" w14:textId="3FFBD9E2" w:rsidR="00862671" w:rsidRPr="00853F57" w:rsidRDefault="00862671" w:rsidP="00437109">
      <w:pPr>
        <w:pStyle w:val="BodyTextMain"/>
        <w:rPr>
          <w:lang w:val="en-GB"/>
        </w:rPr>
      </w:pPr>
      <w:r w:rsidRPr="00853F57">
        <w:rPr>
          <w:lang w:val="en-GB"/>
        </w:rPr>
        <w:lastRenderedPageBreak/>
        <w:t xml:space="preserve">SMC disclosed that it was buying controlling interest of HPI from three companies controlled by </w:t>
      </w:r>
      <w:proofErr w:type="spellStart"/>
      <w:r w:rsidRPr="00853F57">
        <w:rPr>
          <w:lang w:val="en-GB"/>
        </w:rPr>
        <w:t>LafargeHolcim</w:t>
      </w:r>
      <w:proofErr w:type="spellEnd"/>
      <w:r w:rsidRPr="00853F57">
        <w:rPr>
          <w:lang w:val="en-GB"/>
        </w:rPr>
        <w:t xml:space="preserve">, namely the Dutch company </w:t>
      </w:r>
      <w:proofErr w:type="spellStart"/>
      <w:r w:rsidRPr="00853F57">
        <w:rPr>
          <w:lang w:val="en-GB"/>
        </w:rPr>
        <w:t>Holderfin</w:t>
      </w:r>
      <w:proofErr w:type="spellEnd"/>
      <w:r w:rsidRPr="00853F57">
        <w:rPr>
          <w:lang w:val="en-GB"/>
        </w:rPr>
        <w:t xml:space="preserve"> BV, Union Cement Holdings Corp., and </w:t>
      </w:r>
      <w:proofErr w:type="spellStart"/>
      <w:r w:rsidRPr="00853F57">
        <w:rPr>
          <w:lang w:val="en-GB"/>
        </w:rPr>
        <w:t>Cemco</w:t>
      </w:r>
      <w:proofErr w:type="spellEnd"/>
      <w:r w:rsidRPr="00853F57">
        <w:rPr>
          <w:lang w:val="en-GB"/>
        </w:rPr>
        <w:t xml:space="preserve"> Holdings Inc. The consideration of the transaction was to be paid in cash on closing, subject to a post-closing purchase price adjustment. Furthermore, it was disclosed that the amount of the consideration had been negotiated and determined based on the valuation of the business of the target through a discounted cash flow method, as well as other methodologies customary for transactions of this nature.</w:t>
      </w:r>
      <w:r>
        <w:rPr>
          <w:rStyle w:val="EndnoteReference"/>
          <w:lang w:val="en-GB"/>
        </w:rPr>
        <w:endnoteReference w:id="81"/>
      </w:r>
    </w:p>
    <w:p w14:paraId="2F5E3732" w14:textId="582919AF" w:rsidR="00862671" w:rsidRDefault="00862671" w:rsidP="00437109">
      <w:pPr>
        <w:pStyle w:val="BodyTextMain"/>
        <w:rPr>
          <w:lang w:val="en-GB"/>
        </w:rPr>
      </w:pPr>
    </w:p>
    <w:p w14:paraId="3BCB32D4" w14:textId="77777777" w:rsidR="00862671" w:rsidRPr="00853F57" w:rsidRDefault="00862671" w:rsidP="00437109">
      <w:pPr>
        <w:pStyle w:val="BodyTextMain"/>
        <w:rPr>
          <w:lang w:val="en-GB"/>
        </w:rPr>
      </w:pPr>
    </w:p>
    <w:p w14:paraId="4C783555" w14:textId="77777777" w:rsidR="00862671" w:rsidRPr="00853F57" w:rsidRDefault="00862671" w:rsidP="00437109">
      <w:pPr>
        <w:pStyle w:val="Casehead1"/>
        <w:rPr>
          <w:lang w:val="en-GB"/>
        </w:rPr>
      </w:pPr>
      <w:r w:rsidRPr="00853F57">
        <w:rPr>
          <w:lang w:val="en-GB"/>
        </w:rPr>
        <w:t>PHILIPPINE REGULATORY REQUIREMENTS FOR ACQUISITIONS</w:t>
      </w:r>
    </w:p>
    <w:p w14:paraId="3AA2D240" w14:textId="77777777" w:rsidR="00862671" w:rsidRPr="00853F57" w:rsidRDefault="00862671" w:rsidP="00437109">
      <w:pPr>
        <w:pStyle w:val="BodyTextMain"/>
        <w:rPr>
          <w:lang w:val="en-GB"/>
        </w:rPr>
      </w:pPr>
    </w:p>
    <w:p w14:paraId="1368A8F6" w14:textId="088979A4" w:rsidR="00862671" w:rsidRPr="003057AD" w:rsidRDefault="00862671" w:rsidP="00437109">
      <w:pPr>
        <w:pStyle w:val="BodyTextMain"/>
        <w:rPr>
          <w:color w:val="000000" w:themeColor="text1"/>
          <w:spacing w:val="-4"/>
          <w:lang w:val="en-GB"/>
        </w:rPr>
      </w:pPr>
      <w:r w:rsidRPr="003057AD">
        <w:rPr>
          <w:color w:val="000000" w:themeColor="text1"/>
          <w:spacing w:val="-4"/>
          <w:lang w:val="en-GB"/>
        </w:rPr>
        <w:t>As a result of this transaction, First Stronghold, as the purchaser, was required to conduct a mandatory tender offer for the remaining HPI shares held by minority shareholders, which represented 14.27 per cent of the total issued and outstanding capital stock. In any acquisition that would result in ownership of over 50 per cent of the equity of a public company, the SEC required the acquirer to buy out the minority shareholders through a tender offer at a price supported by the fairness opinion provided by an independent financial advisor</w:t>
      </w:r>
      <w:bookmarkStart w:id="9" w:name="_Hlk50129871"/>
      <w:r w:rsidRPr="003057AD">
        <w:rPr>
          <w:color w:val="000000" w:themeColor="text1"/>
          <w:spacing w:val="-4"/>
          <w:lang w:val="en-GB"/>
        </w:rPr>
        <w:t>.</w:t>
      </w:r>
      <w:r w:rsidRPr="003057AD">
        <w:rPr>
          <w:rStyle w:val="EndnoteReference"/>
          <w:color w:val="000000" w:themeColor="text1"/>
          <w:spacing w:val="-4"/>
          <w:lang w:val="en-GB"/>
        </w:rPr>
        <w:endnoteReference w:id="82"/>
      </w:r>
      <w:bookmarkEnd w:id="9"/>
      <w:r w:rsidRPr="003057AD">
        <w:rPr>
          <w:color w:val="000000" w:themeColor="text1"/>
          <w:spacing w:val="-4"/>
          <w:lang w:val="en-GB"/>
        </w:rPr>
        <w:t xml:space="preserve"> </w:t>
      </w:r>
    </w:p>
    <w:p w14:paraId="31269253" w14:textId="77777777" w:rsidR="00862671" w:rsidRPr="00853F57" w:rsidRDefault="00862671" w:rsidP="00437109">
      <w:pPr>
        <w:pStyle w:val="BodyTextMain"/>
        <w:rPr>
          <w:lang w:val="en-GB"/>
        </w:rPr>
      </w:pPr>
    </w:p>
    <w:p w14:paraId="2FC85365" w14:textId="7FA558EA" w:rsidR="00862671" w:rsidRPr="00853F57" w:rsidRDefault="00862671" w:rsidP="00437109">
      <w:pPr>
        <w:pStyle w:val="BodyTextMain"/>
        <w:rPr>
          <w:color w:val="000000" w:themeColor="text1"/>
          <w:lang w:val="en-GB"/>
        </w:rPr>
      </w:pPr>
      <w:r w:rsidRPr="00853F57">
        <w:rPr>
          <w:color w:val="000000" w:themeColor="text1"/>
          <w:lang w:val="en-GB"/>
        </w:rPr>
        <w:t>In addition, parties to a merger or acquisition valued at over ₱1 billion were required to notify the PCC of their agreement, which could not be completed without the approval of the PCC.</w:t>
      </w:r>
      <w:r w:rsidRPr="00853F57">
        <w:rPr>
          <w:rStyle w:val="EndnoteReference"/>
          <w:color w:val="000000" w:themeColor="text1"/>
          <w:lang w:val="en-GB"/>
        </w:rPr>
        <w:endnoteReference w:id="83"/>
      </w:r>
      <w:r w:rsidRPr="00853F57">
        <w:rPr>
          <w:color w:val="000000" w:themeColor="text1"/>
          <w:lang w:val="en-GB"/>
        </w:rPr>
        <w:t xml:space="preserve"> The PCC had been mandated under the </w:t>
      </w:r>
      <w:r w:rsidRPr="007D3515">
        <w:rPr>
          <w:i/>
          <w:iCs/>
          <w:color w:val="000000" w:themeColor="text1"/>
          <w:lang w:val="en-GB"/>
        </w:rPr>
        <w:t>Philippine Competition Act</w:t>
      </w:r>
      <w:r w:rsidRPr="00853F57">
        <w:rPr>
          <w:color w:val="000000" w:themeColor="text1"/>
          <w:lang w:val="en-GB"/>
        </w:rPr>
        <w:t xml:space="preserve"> to review mergers and acquisitions to ensure that they would not substantially reduce competition in the relevant market or harm the interest of consumers. Accordingly, SMC and HPI notified the PCC of the transaction on June 6, 2019.</w:t>
      </w:r>
      <w:r w:rsidRPr="00853F57">
        <w:rPr>
          <w:rStyle w:val="EndnoteReference"/>
          <w:color w:val="000000" w:themeColor="text1"/>
          <w:lang w:val="en-GB"/>
        </w:rPr>
        <w:endnoteReference w:id="84"/>
      </w:r>
      <w:r w:rsidRPr="00853F57">
        <w:rPr>
          <w:color w:val="000000" w:themeColor="text1"/>
          <w:lang w:val="en-GB"/>
        </w:rPr>
        <w:t xml:space="preserve"> While the HPI acquisition was announced at a time when the PCC was also investigating a possible cartel in the local cement industry, details and even updates about this probe had been kept secret.</w:t>
      </w:r>
      <w:r w:rsidRPr="00853F57">
        <w:rPr>
          <w:rStyle w:val="EndnoteReference"/>
          <w:color w:val="000000" w:themeColor="text1"/>
          <w:lang w:val="en-GB"/>
        </w:rPr>
        <w:endnoteReference w:id="85"/>
      </w:r>
      <w:r w:rsidRPr="00853F57">
        <w:rPr>
          <w:color w:val="000000" w:themeColor="text1"/>
          <w:lang w:val="en-GB"/>
        </w:rPr>
        <w:t xml:space="preserve"> However, Renato </w:t>
      </w:r>
      <w:proofErr w:type="spellStart"/>
      <w:r w:rsidRPr="00853F57">
        <w:rPr>
          <w:color w:val="000000" w:themeColor="text1"/>
          <w:lang w:val="en-GB"/>
        </w:rPr>
        <w:t>Balisacan</w:t>
      </w:r>
      <w:proofErr w:type="spellEnd"/>
      <w:r w:rsidRPr="00853F57">
        <w:rPr>
          <w:color w:val="000000" w:themeColor="text1"/>
          <w:lang w:val="en-GB"/>
        </w:rPr>
        <w:t>, chair of the PCC, said that the SMC-HPI takeover deal was “different” from this ongoing investigation, saying, “Unlike cartel investigations which look into past conduct, merger reviews are carried out to determine any competition concerns before the transaction is consummated to prevent potential damage to consumers.”</w:t>
      </w:r>
      <w:r w:rsidRPr="00853F57">
        <w:rPr>
          <w:rStyle w:val="EndnoteReference"/>
          <w:color w:val="000000" w:themeColor="text1"/>
          <w:lang w:val="en-GB"/>
        </w:rPr>
        <w:endnoteReference w:id="86"/>
      </w:r>
      <w:r w:rsidRPr="00853F57">
        <w:rPr>
          <w:color w:val="000000" w:themeColor="text1"/>
          <w:lang w:val="en-GB"/>
        </w:rPr>
        <w:t xml:space="preserve"> While they waited for the PCC’s approval and the completion of post-closing purchase price adjustment, First Stronghold and SMC filed a request for exemptive relief with the SEC to allow the tender offer to be conducted after the final purchase price had been determined and paid.</w:t>
      </w:r>
      <w:r w:rsidRPr="00853F57">
        <w:rPr>
          <w:rStyle w:val="EndnoteReference"/>
          <w:color w:val="000000" w:themeColor="text1"/>
          <w:lang w:val="en-GB"/>
        </w:rPr>
        <w:endnoteReference w:id="87"/>
      </w:r>
      <w:r w:rsidRPr="00853F57">
        <w:rPr>
          <w:color w:val="000000" w:themeColor="text1"/>
          <w:lang w:val="en-GB"/>
        </w:rPr>
        <w:t xml:space="preserve"> </w:t>
      </w:r>
    </w:p>
    <w:p w14:paraId="3109C231" w14:textId="57B5E099" w:rsidR="00862671" w:rsidRPr="00853F57" w:rsidRDefault="00862671" w:rsidP="00801E94">
      <w:pPr>
        <w:pStyle w:val="BodyTextMain"/>
        <w:rPr>
          <w:lang w:val="en-GB"/>
        </w:rPr>
      </w:pPr>
    </w:p>
    <w:p w14:paraId="77761FDA" w14:textId="77777777" w:rsidR="00862671" w:rsidRPr="00853F57" w:rsidRDefault="00862671" w:rsidP="00801E94">
      <w:pPr>
        <w:pStyle w:val="BodyTextMain"/>
        <w:rPr>
          <w:lang w:val="en-GB"/>
        </w:rPr>
      </w:pPr>
    </w:p>
    <w:p w14:paraId="4EACCDF0" w14:textId="0857F2C9" w:rsidR="00862671" w:rsidRPr="00853F57" w:rsidRDefault="00862671" w:rsidP="003057AD">
      <w:pPr>
        <w:pStyle w:val="Casehead1"/>
        <w:keepNext/>
        <w:rPr>
          <w:lang w:val="en-GB"/>
        </w:rPr>
      </w:pPr>
      <w:r w:rsidRPr="00853F57">
        <w:rPr>
          <w:lang w:val="en-GB"/>
        </w:rPr>
        <w:t>VALUING HPI</w:t>
      </w:r>
    </w:p>
    <w:p w14:paraId="5665581D" w14:textId="77777777" w:rsidR="00862671" w:rsidRPr="00853F57" w:rsidRDefault="00862671" w:rsidP="003057AD">
      <w:pPr>
        <w:pStyle w:val="BodyTextMain"/>
        <w:keepNext/>
        <w:rPr>
          <w:lang w:val="en-GB"/>
        </w:rPr>
      </w:pPr>
    </w:p>
    <w:p w14:paraId="08F227E8" w14:textId="1B910A72" w:rsidR="00862671" w:rsidRPr="00853F57" w:rsidRDefault="00862671" w:rsidP="003057AD">
      <w:pPr>
        <w:pStyle w:val="BodyTextMain"/>
        <w:keepNext/>
        <w:rPr>
          <w:lang w:val="en-GB"/>
        </w:rPr>
      </w:pPr>
      <w:r w:rsidRPr="00853F57">
        <w:rPr>
          <w:lang w:val="en-GB"/>
        </w:rPr>
        <w:t xml:space="preserve">On Friday May 10, 2019, shares of HPI closed at ₱15.30 per share. Saavedra wanted to confirm this value with his own estimates in order to decide whether to (1) sell his shareholdings in HPI at the current market price and take the gain, (2) wait for the yet unpriced mandatory tender offer that SMC was required to launch, or (3) keep his investment in HPI indefinitely. Saavedra was able to get a copy of HPI’s financial statements (see </w:t>
      </w:r>
      <w:r w:rsidRPr="00853F57">
        <w:rPr>
          <w:bCs/>
          <w:lang w:val="en-GB"/>
        </w:rPr>
        <w:t>Exhibits 5 and 6).</w:t>
      </w:r>
      <w:r w:rsidRPr="00853F57">
        <w:rPr>
          <w:lang w:val="en-GB"/>
        </w:rPr>
        <w:t xml:space="preserve"> From this, he thought that he could make income statement, free cash flow, and working capital forecasts. </w:t>
      </w:r>
    </w:p>
    <w:p w14:paraId="4CF19AD0" w14:textId="77777777" w:rsidR="00862671" w:rsidRPr="00853F57" w:rsidRDefault="00862671" w:rsidP="00437109">
      <w:pPr>
        <w:pStyle w:val="BodyTextMain"/>
        <w:rPr>
          <w:lang w:val="en-GB"/>
        </w:rPr>
      </w:pPr>
    </w:p>
    <w:p w14:paraId="6BCD0BDB" w14:textId="05228158" w:rsidR="00862671" w:rsidRPr="00853F57" w:rsidRDefault="00862671" w:rsidP="00437109">
      <w:pPr>
        <w:pStyle w:val="BodyTextMain"/>
        <w:rPr>
          <w:lang w:val="en-GB"/>
        </w:rPr>
      </w:pPr>
      <w:r w:rsidRPr="00853F57">
        <w:rPr>
          <w:lang w:val="en-GB"/>
        </w:rPr>
        <w:t>He wanted to estimate the share price value of HPI as of January 1, 2019, incorporating a full-year 2019 forecast. He planned to run a five-year value growth duration from 2019 to 2023 and a sixth-year normalized free cash flow</w:t>
      </w:r>
      <w:r>
        <w:rPr>
          <w:lang w:val="en-GB"/>
        </w:rPr>
        <w:t xml:space="preserve"> forecast</w:t>
      </w:r>
      <w:r w:rsidRPr="00853F57">
        <w:rPr>
          <w:lang w:val="en-GB"/>
        </w:rPr>
        <w:t xml:space="preserve"> for 2024, which he would use to estimate the terminal value. He projected that revenues would grow at the rate of 10.5 per cent annually over the value growth duration. This was the same nominal growth rate exhibited by the construction industry in the first quarter of 2019.</w:t>
      </w:r>
      <w:r w:rsidRPr="00853F57">
        <w:rPr>
          <w:rStyle w:val="EndnoteReference"/>
          <w:color w:val="000000" w:themeColor="text1"/>
          <w:lang w:val="en-GB"/>
        </w:rPr>
        <w:endnoteReference w:id="88"/>
      </w:r>
      <w:r w:rsidRPr="00853F57">
        <w:rPr>
          <w:lang w:val="en-GB"/>
        </w:rPr>
        <w:t xml:space="preserve"> He also assumed that cost- and expense-to-revenue ratios would be based on the average of the last three years leading up to 2018 (inclusive). </w:t>
      </w:r>
      <w:bookmarkStart w:id="10" w:name="_Hlk50110128"/>
      <w:r w:rsidRPr="00853F57">
        <w:rPr>
          <w:lang w:val="en-GB"/>
        </w:rPr>
        <w:t>He expected that net working capital (namely operating cash, receivables, inventory, and trade payables) would follow 2018 estimates</w:t>
      </w:r>
      <w:bookmarkEnd w:id="10"/>
      <w:r w:rsidRPr="00853F57">
        <w:rPr>
          <w:lang w:val="en-GB"/>
        </w:rPr>
        <w:t xml:space="preserve">, and he assumed that HPI intended to set aside 7 per cent of revenues as operating cash.  </w:t>
      </w:r>
    </w:p>
    <w:p w14:paraId="344CB8C9" w14:textId="77777777" w:rsidR="00862671" w:rsidRPr="00853F57" w:rsidRDefault="00862671" w:rsidP="00437109">
      <w:pPr>
        <w:pStyle w:val="BodyTextMain"/>
        <w:rPr>
          <w:lang w:val="en-GB"/>
        </w:rPr>
      </w:pPr>
    </w:p>
    <w:p w14:paraId="459736CE" w14:textId="3E4AEBAA" w:rsidR="00862671" w:rsidRPr="003057AD" w:rsidRDefault="00862671" w:rsidP="00437109">
      <w:pPr>
        <w:pStyle w:val="BodyTextMain"/>
        <w:rPr>
          <w:spacing w:val="-2"/>
          <w:lang w:val="en-GB"/>
        </w:rPr>
      </w:pPr>
      <w:r w:rsidRPr="003057AD">
        <w:rPr>
          <w:spacing w:val="-2"/>
          <w:lang w:val="en-GB"/>
        </w:rPr>
        <w:lastRenderedPageBreak/>
        <w:t>There was some publicly available information to help forecast capital expenditures. In early 2019, HPI had invested US$54 million (₱2.82 billion) to expand cement production in its La Union plant.</w:t>
      </w:r>
      <w:r w:rsidRPr="003057AD">
        <w:rPr>
          <w:rStyle w:val="EndnoteReference"/>
          <w:color w:val="000000" w:themeColor="text1"/>
          <w:spacing w:val="-2"/>
          <w:lang w:val="en-GB"/>
        </w:rPr>
        <w:endnoteReference w:id="89"/>
      </w:r>
      <w:r w:rsidRPr="003057AD">
        <w:rPr>
          <w:spacing w:val="-2"/>
          <w:lang w:val="en-GB"/>
        </w:rPr>
        <w:t xml:space="preserve"> For simplicity, Saavedra assumed that depreciation would be 5 per cent of revenues and that capital expenditures (CAPEX) would equal depreciation from 2019 to 2023. As things stood, he knew that depreciation was already embedded in the cost-of-sales number. For the 2024 free cash flow estimate for terminal value, he assumed that depreciation would be same percentage of revenues, but that CAPEX would be ₱350 million more than depreciation, based on the 10-year historical difference between these two accounts.</w:t>
      </w:r>
      <w:r w:rsidRPr="003057AD">
        <w:rPr>
          <w:rStyle w:val="EndnoteReference"/>
          <w:spacing w:val="-2"/>
          <w:lang w:val="en-GB"/>
        </w:rPr>
        <w:endnoteReference w:id="90"/>
      </w:r>
      <w:r w:rsidRPr="003057AD">
        <w:rPr>
          <w:spacing w:val="-2"/>
          <w:lang w:val="en-GB"/>
        </w:rPr>
        <w:t xml:space="preserve">  </w:t>
      </w:r>
    </w:p>
    <w:p w14:paraId="08ED0825" w14:textId="77777777" w:rsidR="00862671" w:rsidRPr="00853F57" w:rsidRDefault="00862671" w:rsidP="00437109">
      <w:pPr>
        <w:pStyle w:val="BodyTextMain"/>
        <w:rPr>
          <w:lang w:val="en-GB"/>
        </w:rPr>
      </w:pPr>
    </w:p>
    <w:p w14:paraId="1F775A79" w14:textId="1D0C3936" w:rsidR="00862671" w:rsidRPr="00D04844" w:rsidRDefault="00862671" w:rsidP="00437109">
      <w:pPr>
        <w:pStyle w:val="BodyTextMain"/>
        <w:rPr>
          <w:spacing w:val="-2"/>
          <w:lang w:val="en-GB"/>
        </w:rPr>
      </w:pPr>
      <w:r w:rsidRPr="00D04844">
        <w:rPr>
          <w:spacing w:val="-2"/>
          <w:lang w:val="en-GB"/>
        </w:rPr>
        <w:t>He found out that the market risk premium for the Philippines was 6.33 per cent, which was the long-term equity market return in excess of the 91-day Treasury bill rate.</w:t>
      </w:r>
      <w:r w:rsidRPr="00D04844">
        <w:rPr>
          <w:rStyle w:val="EndnoteReference"/>
          <w:color w:val="000000" w:themeColor="text1"/>
          <w:spacing w:val="-2"/>
          <w:lang w:val="en-GB"/>
        </w:rPr>
        <w:endnoteReference w:id="91"/>
      </w:r>
      <w:r w:rsidRPr="00D04844">
        <w:rPr>
          <w:spacing w:val="-2"/>
          <w:lang w:val="en-GB"/>
        </w:rPr>
        <w:t xml:space="preserve"> For revenue and free-cash-flow growth rate for terminal value, he had a few possible choices: he noted that the World Bank had projected the Philippine inflation rate at 3.5 per cent for 2019;</w:t>
      </w:r>
      <w:r w:rsidRPr="00D04844">
        <w:rPr>
          <w:rStyle w:val="EndnoteReference"/>
          <w:color w:val="000000" w:themeColor="text1"/>
          <w:spacing w:val="-2"/>
          <w:lang w:val="en-GB"/>
        </w:rPr>
        <w:endnoteReference w:id="92"/>
      </w:r>
      <w:r w:rsidRPr="00D04844">
        <w:rPr>
          <w:spacing w:val="-2"/>
          <w:lang w:val="en-GB"/>
        </w:rPr>
        <w:t xml:space="preserve"> he read that the Philippine nominal GDP growth rate for the first quarter of 2019 had been 7.8 per cent;</w:t>
      </w:r>
      <w:r w:rsidRPr="00D04844">
        <w:rPr>
          <w:rStyle w:val="EndnoteReference"/>
          <w:spacing w:val="-2"/>
          <w:lang w:val="en-GB"/>
        </w:rPr>
        <w:endnoteReference w:id="93"/>
      </w:r>
      <w:r w:rsidRPr="00D04844">
        <w:rPr>
          <w:spacing w:val="-2"/>
          <w:lang w:val="en-GB"/>
        </w:rPr>
        <w:t xml:space="preserve"> and he saw from his previous research that the cement industry was expected to produce “an additional 11.50 MTPY until 2025,” from a base of 26.82 MTPY at the end of  2017.</w:t>
      </w:r>
      <w:r w:rsidRPr="00D04844">
        <w:rPr>
          <w:rStyle w:val="EndnoteReference"/>
          <w:spacing w:val="-2"/>
          <w:lang w:val="en-GB"/>
        </w:rPr>
        <w:endnoteReference w:id="94"/>
      </w:r>
      <w:r w:rsidRPr="00D04844">
        <w:rPr>
          <w:spacing w:val="-2"/>
          <w:lang w:val="en-GB"/>
        </w:rPr>
        <w:t xml:space="preserve">  </w:t>
      </w:r>
    </w:p>
    <w:p w14:paraId="03A5E184" w14:textId="77777777" w:rsidR="00862671" w:rsidRPr="00D04844" w:rsidRDefault="00862671" w:rsidP="00437109">
      <w:pPr>
        <w:pStyle w:val="BodyTextMain"/>
        <w:rPr>
          <w:spacing w:val="-2"/>
          <w:lang w:val="en-GB"/>
        </w:rPr>
      </w:pPr>
    </w:p>
    <w:p w14:paraId="7E59C3F8" w14:textId="14A347CC" w:rsidR="00437109" w:rsidRDefault="00862671" w:rsidP="00437109">
      <w:pPr>
        <w:pStyle w:val="BodyTextMain"/>
        <w:rPr>
          <w:spacing w:val="-2"/>
          <w:lang w:val="en-GB"/>
        </w:rPr>
      </w:pPr>
      <w:r w:rsidRPr="003057AD">
        <w:rPr>
          <w:spacing w:val="-2"/>
          <w:lang w:val="en-GB"/>
        </w:rPr>
        <w:t>He decided to estimate beta based on monthly HPI stock prices and PSE index (</w:t>
      </w:r>
      <w:proofErr w:type="spellStart"/>
      <w:r w:rsidRPr="003057AD">
        <w:rPr>
          <w:spacing w:val="-2"/>
          <w:lang w:val="en-GB"/>
        </w:rPr>
        <w:t>PSEi</w:t>
      </w:r>
      <w:proofErr w:type="spellEnd"/>
      <w:r w:rsidRPr="003057AD">
        <w:rPr>
          <w:spacing w:val="-2"/>
          <w:lang w:val="en-GB"/>
        </w:rPr>
        <w:t xml:space="preserve">) values over the last three years </w:t>
      </w:r>
      <w:r w:rsidRPr="003057AD">
        <w:rPr>
          <w:bCs/>
          <w:spacing w:val="-2"/>
          <w:lang w:val="en-GB"/>
        </w:rPr>
        <w:t>(see Exhibit 8).</w:t>
      </w:r>
      <w:r w:rsidRPr="003057AD">
        <w:rPr>
          <w:rStyle w:val="EndnoteReference"/>
          <w:bCs/>
          <w:color w:val="000000" w:themeColor="text1"/>
          <w:spacing w:val="-2"/>
          <w:lang w:val="en-GB"/>
        </w:rPr>
        <w:endnoteReference w:id="95"/>
      </w:r>
      <w:r w:rsidRPr="003057AD">
        <w:rPr>
          <w:spacing w:val="-2"/>
          <w:lang w:val="en-GB"/>
        </w:rPr>
        <w:t xml:space="preserve"> He assumed that SMC would retain HPI’s current capital structure after the acquisition, and that the pre-tax cost of debt would remain at 4.66 per cent.</w:t>
      </w:r>
      <w:r w:rsidRPr="003057AD">
        <w:rPr>
          <w:rStyle w:val="EndnoteReference"/>
          <w:color w:val="000000" w:themeColor="text1"/>
          <w:spacing w:val="-2"/>
          <w:lang w:val="en-GB"/>
        </w:rPr>
        <w:endnoteReference w:id="96"/>
      </w:r>
      <w:r w:rsidRPr="003057AD">
        <w:rPr>
          <w:spacing w:val="-2"/>
          <w:lang w:val="en-GB"/>
        </w:rPr>
        <w:t xml:space="preserve"> </w:t>
      </w:r>
      <w:r w:rsidR="006D4D42" w:rsidRPr="003057AD">
        <w:rPr>
          <w:spacing w:val="-2"/>
          <w:lang w:val="en-GB"/>
        </w:rPr>
        <w:t xml:space="preserve">He thought he would use the current market capitalization for the weight of equity. </w:t>
      </w:r>
      <w:r w:rsidR="004E49BC" w:rsidRPr="003057AD">
        <w:rPr>
          <w:spacing w:val="-2"/>
          <w:lang w:val="en-GB"/>
        </w:rPr>
        <w:t xml:space="preserve">He assumed that the </w:t>
      </w:r>
      <w:r w:rsidR="00B71EB1" w:rsidRPr="003057AD">
        <w:rPr>
          <w:spacing w:val="-2"/>
          <w:lang w:val="en-GB"/>
        </w:rPr>
        <w:t>“</w:t>
      </w:r>
      <w:r w:rsidR="004E49BC" w:rsidRPr="003057AD">
        <w:rPr>
          <w:spacing w:val="-2"/>
          <w:lang w:val="en-GB"/>
        </w:rPr>
        <w:t>Due to Related Parties</w:t>
      </w:r>
      <w:r w:rsidR="00B71EB1" w:rsidRPr="003057AD">
        <w:rPr>
          <w:spacing w:val="-2"/>
          <w:lang w:val="en-GB"/>
        </w:rPr>
        <w:t>”</w:t>
      </w:r>
      <w:r w:rsidR="004E49BC" w:rsidRPr="003057AD">
        <w:rPr>
          <w:spacing w:val="-2"/>
          <w:lang w:val="en-GB"/>
        </w:rPr>
        <w:t xml:space="preserve"> account was non-interest bearing. </w:t>
      </w:r>
      <w:r w:rsidR="00437109" w:rsidRPr="003057AD">
        <w:rPr>
          <w:spacing w:val="-2"/>
          <w:lang w:val="en-GB"/>
        </w:rPr>
        <w:t xml:space="preserve">He also found additional data on the rate of Philippine government securities (see </w:t>
      </w:r>
      <w:r w:rsidR="00437109" w:rsidRPr="003057AD">
        <w:rPr>
          <w:bCs/>
          <w:spacing w:val="-2"/>
          <w:lang w:val="en-GB"/>
        </w:rPr>
        <w:t xml:space="preserve">Exhibit </w:t>
      </w:r>
      <w:r w:rsidR="00251D7E" w:rsidRPr="003057AD">
        <w:rPr>
          <w:bCs/>
          <w:spacing w:val="-2"/>
          <w:lang w:val="en-GB"/>
        </w:rPr>
        <w:t>9</w:t>
      </w:r>
      <w:r w:rsidR="00437109" w:rsidRPr="003057AD">
        <w:rPr>
          <w:spacing w:val="-2"/>
          <w:lang w:val="en-GB"/>
        </w:rPr>
        <w:t xml:space="preserve">). </w:t>
      </w:r>
      <w:r w:rsidR="001E5196" w:rsidRPr="003057AD">
        <w:rPr>
          <w:spacing w:val="-2"/>
          <w:lang w:val="en-GB"/>
        </w:rPr>
        <w:t>He assumed a tax rate of 30</w:t>
      </w:r>
      <w:r w:rsidR="00045661" w:rsidRPr="003057AD">
        <w:rPr>
          <w:spacing w:val="-2"/>
          <w:lang w:val="en-GB"/>
        </w:rPr>
        <w:t xml:space="preserve"> per cent</w:t>
      </w:r>
      <w:r w:rsidR="001E5196" w:rsidRPr="003057AD">
        <w:rPr>
          <w:spacing w:val="-2"/>
          <w:lang w:val="en-GB"/>
        </w:rPr>
        <w:t xml:space="preserve">, </w:t>
      </w:r>
      <w:r w:rsidR="00B71EB1" w:rsidRPr="003057AD">
        <w:rPr>
          <w:spacing w:val="-2"/>
          <w:lang w:val="en-GB"/>
        </w:rPr>
        <w:t xml:space="preserve">which was </w:t>
      </w:r>
      <w:r w:rsidR="001E5196" w:rsidRPr="003057AD">
        <w:rPr>
          <w:spacing w:val="-2"/>
          <w:lang w:val="en-GB"/>
        </w:rPr>
        <w:t xml:space="preserve">consistent with the Philippine corporate tax rate. </w:t>
      </w:r>
      <w:r w:rsidR="00437109" w:rsidRPr="003057AD">
        <w:rPr>
          <w:spacing w:val="-2"/>
          <w:lang w:val="en-GB"/>
        </w:rPr>
        <w:t xml:space="preserve">With all this information on hand, Saavedra proceeded </w:t>
      </w:r>
      <w:r w:rsidR="00B71EB1" w:rsidRPr="003057AD">
        <w:rPr>
          <w:spacing w:val="-2"/>
          <w:lang w:val="en-GB"/>
        </w:rPr>
        <w:t xml:space="preserve">to </w:t>
      </w:r>
      <w:r w:rsidR="00437109" w:rsidRPr="003057AD">
        <w:rPr>
          <w:spacing w:val="-2"/>
          <w:lang w:val="en-GB"/>
        </w:rPr>
        <w:t>run</w:t>
      </w:r>
      <w:r w:rsidR="00B71EB1" w:rsidRPr="003057AD">
        <w:rPr>
          <w:spacing w:val="-2"/>
          <w:lang w:val="en-GB"/>
        </w:rPr>
        <w:t xml:space="preserve"> </w:t>
      </w:r>
      <w:r w:rsidR="00437109" w:rsidRPr="003057AD">
        <w:rPr>
          <w:spacing w:val="-2"/>
          <w:lang w:val="en-GB"/>
        </w:rPr>
        <w:t xml:space="preserve">a discounted cash flow valuation of HPI. </w:t>
      </w:r>
    </w:p>
    <w:p w14:paraId="57061561" w14:textId="77777777" w:rsidR="003057AD" w:rsidRPr="003057AD" w:rsidRDefault="003057AD" w:rsidP="00437109">
      <w:pPr>
        <w:pStyle w:val="BodyTextMain"/>
        <w:rPr>
          <w:spacing w:val="-2"/>
          <w:lang w:val="en-GB"/>
        </w:rPr>
      </w:pPr>
    </w:p>
    <w:p w14:paraId="6260D090" w14:textId="241BA44A" w:rsidR="00437109" w:rsidRPr="003057AD" w:rsidRDefault="00437109" w:rsidP="00437109">
      <w:pPr>
        <w:pStyle w:val="BodyTextMain"/>
        <w:rPr>
          <w:spacing w:val="-2"/>
          <w:lang w:val="en-GB"/>
        </w:rPr>
      </w:pPr>
      <w:r w:rsidRPr="003057AD">
        <w:rPr>
          <w:spacing w:val="-2"/>
          <w:lang w:val="en-GB"/>
        </w:rPr>
        <w:t xml:space="preserve">Saavedra was also able to gather financial ratios </w:t>
      </w:r>
      <w:r w:rsidR="00B71EB1" w:rsidRPr="003057AD">
        <w:rPr>
          <w:spacing w:val="-2"/>
          <w:lang w:val="en-GB"/>
        </w:rPr>
        <w:t xml:space="preserve">for SMC and for </w:t>
      </w:r>
      <w:r w:rsidRPr="003057AD">
        <w:rPr>
          <w:spacing w:val="-2"/>
          <w:lang w:val="en-GB"/>
        </w:rPr>
        <w:t>comparable companies in the construction, infrastructure</w:t>
      </w:r>
      <w:r w:rsidR="00B71EB1" w:rsidRPr="003057AD">
        <w:rPr>
          <w:spacing w:val="-2"/>
          <w:lang w:val="en-GB"/>
        </w:rPr>
        <w:t>,</w:t>
      </w:r>
      <w:r w:rsidRPr="003057AD">
        <w:rPr>
          <w:spacing w:val="-2"/>
          <w:lang w:val="en-GB"/>
        </w:rPr>
        <w:t xml:space="preserve"> and allied services sub-sector of the PSE (see </w:t>
      </w:r>
      <w:r w:rsidRPr="003057AD">
        <w:rPr>
          <w:bCs/>
          <w:spacing w:val="-2"/>
          <w:lang w:val="en-GB"/>
        </w:rPr>
        <w:t xml:space="preserve">Exhibit </w:t>
      </w:r>
      <w:r w:rsidR="00251D7E" w:rsidRPr="003057AD">
        <w:rPr>
          <w:bCs/>
          <w:spacing w:val="-2"/>
          <w:lang w:val="en-GB"/>
        </w:rPr>
        <w:t>10</w:t>
      </w:r>
      <w:r w:rsidRPr="003057AD">
        <w:rPr>
          <w:bCs/>
          <w:spacing w:val="-2"/>
          <w:lang w:val="en-GB"/>
        </w:rPr>
        <w:t>).</w:t>
      </w:r>
      <w:r w:rsidRPr="003057AD">
        <w:rPr>
          <w:spacing w:val="-2"/>
          <w:lang w:val="en-GB"/>
        </w:rPr>
        <w:t xml:space="preserve"> He wondered if the trading multiples of HPI would compare well with </w:t>
      </w:r>
      <w:r w:rsidR="00B71EB1" w:rsidRPr="003057AD">
        <w:rPr>
          <w:spacing w:val="-2"/>
          <w:lang w:val="en-GB"/>
        </w:rPr>
        <w:t xml:space="preserve">those of its </w:t>
      </w:r>
      <w:r w:rsidRPr="003057AD">
        <w:rPr>
          <w:spacing w:val="-2"/>
          <w:lang w:val="en-GB"/>
        </w:rPr>
        <w:t>competitors. Did HPI</w:t>
      </w:r>
      <w:r w:rsidR="00B71EB1" w:rsidRPr="003057AD">
        <w:rPr>
          <w:spacing w:val="-2"/>
          <w:lang w:val="en-GB"/>
        </w:rPr>
        <w:t>’s</w:t>
      </w:r>
      <w:r w:rsidRPr="003057AD">
        <w:rPr>
          <w:spacing w:val="-2"/>
          <w:lang w:val="en-GB"/>
        </w:rPr>
        <w:t xml:space="preserve"> controlling stockholders get a good offer price from SMC? What should Saavedra do, given the prevailing market price of ₱15.30? The tender offer price was unknown, but he expected </w:t>
      </w:r>
      <w:r w:rsidR="00B71EB1" w:rsidRPr="003057AD">
        <w:rPr>
          <w:spacing w:val="-2"/>
          <w:lang w:val="en-GB"/>
        </w:rPr>
        <w:t xml:space="preserve">it </w:t>
      </w:r>
      <w:r w:rsidRPr="003057AD">
        <w:rPr>
          <w:spacing w:val="-2"/>
          <w:lang w:val="en-GB"/>
        </w:rPr>
        <w:t xml:space="preserve">to be the same as </w:t>
      </w:r>
      <w:r w:rsidR="00B71EB1" w:rsidRPr="003057AD">
        <w:rPr>
          <w:spacing w:val="-2"/>
          <w:lang w:val="en-GB"/>
        </w:rPr>
        <w:t xml:space="preserve">that </w:t>
      </w:r>
      <w:r w:rsidRPr="003057AD">
        <w:rPr>
          <w:spacing w:val="-2"/>
          <w:lang w:val="en-GB"/>
        </w:rPr>
        <w:t xml:space="preserve">offered to </w:t>
      </w:r>
      <w:r w:rsidR="00B71EB1" w:rsidRPr="003057AD">
        <w:rPr>
          <w:spacing w:val="-2"/>
          <w:lang w:val="en-GB"/>
        </w:rPr>
        <w:t xml:space="preserve">HPI’s </w:t>
      </w:r>
      <w:r w:rsidRPr="003057AD">
        <w:rPr>
          <w:spacing w:val="-2"/>
          <w:lang w:val="en-GB"/>
        </w:rPr>
        <w:t>controlling stockholders. Should he sell now, should he wait for the tender offer</w:t>
      </w:r>
      <w:r w:rsidR="00B71EB1" w:rsidRPr="003057AD">
        <w:rPr>
          <w:spacing w:val="-2"/>
          <w:lang w:val="en-GB"/>
        </w:rPr>
        <w:t>, o</w:t>
      </w:r>
      <w:r w:rsidRPr="003057AD">
        <w:rPr>
          <w:spacing w:val="-2"/>
          <w:lang w:val="en-GB"/>
        </w:rPr>
        <w:t>r should he do nothing at all and just hold on to his stock?</w:t>
      </w:r>
    </w:p>
    <w:p w14:paraId="1D9F6151" w14:textId="122E183E" w:rsidR="00DF79B0" w:rsidRPr="00853F57" w:rsidRDefault="00DF79B0" w:rsidP="00437109">
      <w:pPr>
        <w:pStyle w:val="BodyTextMain"/>
        <w:rPr>
          <w:lang w:val="en-GB"/>
        </w:rPr>
      </w:pPr>
      <w:r w:rsidRPr="0034044B">
        <w:rPr>
          <w:b/>
          <w:noProof/>
          <w:color w:val="000000" w:themeColor="text1"/>
          <w:lang w:val="en-GB"/>
        </w:rPr>
        <mc:AlternateContent>
          <mc:Choice Requires="wps">
            <w:drawing>
              <wp:anchor distT="45720" distB="45720" distL="114300" distR="114300" simplePos="0" relativeHeight="251659264" behindDoc="0" locked="0" layoutInCell="1" allowOverlap="1" wp14:anchorId="41803A1C" wp14:editId="731047ED">
                <wp:simplePos x="0" y="0"/>
                <wp:positionH relativeFrom="column">
                  <wp:posOffset>38100</wp:posOffset>
                </wp:positionH>
                <wp:positionV relativeFrom="paragraph">
                  <wp:posOffset>307340</wp:posOffset>
                </wp:positionV>
                <wp:extent cx="5905500" cy="501650"/>
                <wp:effectExtent l="0" t="0" r="19050" b="12700"/>
                <wp:wrapSquare wrapText="bothSides"/>
                <wp:docPr id="217" name="Text Box 2" descr="Maria Theresa Mañalac is an associate professor at Asian Institute of Management, Philippines; Yusoph Maute is audit and assurance senior manager at P&amp;A Grant Thornton, Makati, Philippines; and Sandeep Puri is a professor at Asian Institute of Management, Philippin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501650"/>
                        </a:xfrm>
                        <a:prstGeom prst="rect">
                          <a:avLst/>
                        </a:prstGeom>
                        <a:solidFill>
                          <a:srgbClr val="FFFFFF"/>
                        </a:solidFill>
                        <a:ln w="9525">
                          <a:solidFill>
                            <a:srgbClr val="000000"/>
                          </a:solidFill>
                          <a:miter lim="800000"/>
                          <a:headEnd/>
                          <a:tailEnd/>
                        </a:ln>
                      </wps:spPr>
                      <wps:txbx>
                        <w:txbxContent>
                          <w:p w14:paraId="2CF763E6" w14:textId="2DCA169B" w:rsidR="00E30F09" w:rsidRDefault="00E30F09" w:rsidP="0034044B">
                            <w:pPr>
                              <w:pStyle w:val="Footnote"/>
                            </w:pPr>
                            <w:r>
                              <w:t xml:space="preserve">Maria Theresa </w:t>
                            </w:r>
                            <w:r w:rsidR="00002121" w:rsidRPr="001A1654">
                              <w:rPr>
                                <w:color w:val="000000" w:themeColor="text1"/>
                                <w:szCs w:val="16"/>
                                <w:lang w:val="en-GB"/>
                              </w:rPr>
                              <w:t>Mañalac</w:t>
                            </w:r>
                            <w:r>
                              <w:t xml:space="preserve"> is an associate professor at Asian Institute of Management, Philippines; Yusoph Maute is audit and assurance senior manager at P&amp;A Grant Thornton, Makati, Philippines; and Sandeep Puri is a professor at Asian Institute of Management, Philippines.</w:t>
                            </w:r>
                          </w:p>
                          <w:p w14:paraId="68B17C0B" w14:textId="25E7E83C" w:rsidR="00E30F09" w:rsidRDefault="00E30F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803A1C" id="_x0000_t202" coordsize="21600,21600" o:spt="202" path="m,l,21600r21600,l21600,xe">
                <v:stroke joinstyle="miter"/>
                <v:path gradientshapeok="t" o:connecttype="rect"/>
              </v:shapetype>
              <v:shape id="Text Box 2" o:spid="_x0000_s1026" type="#_x0000_t202" alt="Maria Theresa Mañalac is an associate professor at Asian Institute of Management, Philippines; Yusoph Maute is audit and assurance senior manager at P&amp;A Grant Thornton, Makati, Philippines; and Sandeep Puri is a professor at Asian Institute of Management, Philippines." style="position:absolute;left:0;text-align:left;margin-left:3pt;margin-top:24.2pt;width:465pt;height: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">
                <v:textbox>
                  <w:txbxContent>
                    <w:p w14:paraId="2CF763E6" w14:textId="2DCA169B" w:rsidR="00E30F09" w:rsidRDefault="00E30F09" w:rsidP="0034044B">
                      <w:pPr>
                        <w:pStyle w:val="Footnote"/>
                      </w:pPr>
                      <w:r>
                        <w:t xml:space="preserve">Maria Theresa </w:t>
                      </w:r>
                      <w:r w:rsidR="00002121" w:rsidRPr="001A1654">
                        <w:rPr>
                          <w:color w:val="000000" w:themeColor="text1"/>
                          <w:szCs w:val="16"/>
                          <w:lang w:val="en-GB"/>
                        </w:rPr>
                        <w:t>Mañalac</w:t>
                      </w:r>
                      <w:r>
                        <w:t xml:space="preserve"> is an associate professor at Asian Institute of Management, Philippines; Yusoph Maute is audit and assurance senior manager at P&amp;A Grant Thornton, Makati, Philippines; and Sandeep Puri is a professor at Asian Institute of Management, Philippines.</w:t>
                      </w:r>
                    </w:p>
                    <w:p w14:paraId="68B17C0B" w14:textId="25E7E83C" w:rsidR="00E30F09" w:rsidRDefault="00E30F09"/>
                  </w:txbxContent>
                </v:textbox>
                <w10:wrap type="square"/>
              </v:shape>
            </w:pict>
          </mc:Fallback>
        </mc:AlternateContent>
      </w:r>
    </w:p>
    <w:p w14:paraId="29E7C1E7" w14:textId="46932C91" w:rsidR="00437109" w:rsidRPr="00853F57" w:rsidRDefault="00437109" w:rsidP="00437109">
      <w:pPr>
        <w:rPr>
          <w:b/>
          <w:color w:val="000000" w:themeColor="text1"/>
          <w:lang w:val="en-GB"/>
        </w:rPr>
      </w:pPr>
      <w:r w:rsidRPr="00853F57">
        <w:rPr>
          <w:b/>
          <w:color w:val="000000" w:themeColor="text1"/>
          <w:lang w:val="en-GB"/>
        </w:rPr>
        <w:br w:type="page"/>
      </w:r>
    </w:p>
    <w:p w14:paraId="16179D17" w14:textId="2F45102E" w:rsidR="00C3075E" w:rsidRPr="00853F57" w:rsidRDefault="00C3075E" w:rsidP="00C3075E">
      <w:pPr>
        <w:jc w:val="center"/>
        <w:rPr>
          <w:rFonts w:ascii="Arial" w:hAnsi="Arial" w:cs="Arial"/>
          <w:b/>
          <w:caps/>
          <w:color w:val="000000" w:themeColor="text1"/>
          <w:lang w:val="en-GB"/>
        </w:rPr>
      </w:pPr>
      <w:r w:rsidRPr="00853F57">
        <w:rPr>
          <w:rFonts w:ascii="Arial" w:hAnsi="Arial" w:cs="Arial"/>
          <w:b/>
          <w:caps/>
          <w:color w:val="000000" w:themeColor="text1"/>
          <w:lang w:val="en-GB"/>
        </w:rPr>
        <w:lastRenderedPageBreak/>
        <w:t xml:space="preserve">Exhibit 1: Ownership Structure of </w:t>
      </w:r>
      <w:r w:rsidR="00345AA3" w:rsidRPr="00853F57">
        <w:rPr>
          <w:rFonts w:ascii="Arial" w:hAnsi="Arial" w:cs="Arial"/>
          <w:b/>
          <w:caps/>
          <w:color w:val="000000" w:themeColor="text1"/>
          <w:lang w:val="en-GB"/>
        </w:rPr>
        <w:t>Holcim Philippines Inc.</w:t>
      </w:r>
    </w:p>
    <w:p w14:paraId="22F24251" w14:textId="77777777" w:rsidR="00C3075E" w:rsidRPr="00853F57" w:rsidRDefault="00C3075E" w:rsidP="00C3075E">
      <w:pPr>
        <w:rPr>
          <w:b/>
          <w:color w:val="000000" w:themeColor="text1"/>
          <w:lang w:val="en-GB"/>
        </w:rPr>
      </w:pPr>
    </w:p>
    <w:p w14:paraId="42E6D16D" w14:textId="28C38362" w:rsidR="00C3075E" w:rsidRPr="00853F57" w:rsidRDefault="00E77C8C" w:rsidP="00D04844">
      <w:pPr>
        <w:jc w:val="center"/>
        <w:rPr>
          <w:b/>
          <w:color w:val="000000" w:themeColor="text1"/>
          <w:lang w:val="en-GB"/>
        </w:rPr>
      </w:pPr>
      <w:r>
        <w:rPr>
          <w:noProof/>
        </w:rPr>
        <w:drawing>
          <wp:inline distT="0" distB="0" distL="0" distR="0" wp14:anchorId="6B509187" wp14:editId="1E788312">
            <wp:extent cx="5709465" cy="3337841"/>
            <wp:effectExtent l="0" t="0" r="5715" b="0"/>
            <wp:docPr id="1" name="Picture 1" descr="Ownership Structure of Holcim Philippin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99" cy="3358264"/>
                    </a:xfrm>
                    <a:prstGeom prst="rect">
                      <a:avLst/>
                    </a:prstGeom>
                  </pic:spPr>
                </pic:pic>
              </a:graphicData>
            </a:graphic>
          </wp:inline>
        </w:drawing>
      </w:r>
    </w:p>
    <w:p w14:paraId="2BFD1EB0" w14:textId="77777777" w:rsidR="00C3075E" w:rsidRPr="00853F57" w:rsidRDefault="00C3075E" w:rsidP="00C3075E">
      <w:pPr>
        <w:pStyle w:val="Footnote"/>
        <w:rPr>
          <w:lang w:val="en-GB"/>
        </w:rPr>
      </w:pPr>
    </w:p>
    <w:p w14:paraId="52309AFE" w14:textId="1C5CB4BD" w:rsidR="00975667" w:rsidRDefault="00C3075E" w:rsidP="00C3075E">
      <w:pPr>
        <w:pStyle w:val="Footnote"/>
        <w:rPr>
          <w:rStyle w:val="Hyperlink"/>
          <w:color w:val="000000" w:themeColor="text1"/>
          <w:u w:val="none"/>
          <w:lang w:val="en-GB"/>
        </w:rPr>
      </w:pPr>
      <w:r w:rsidRPr="00853F57">
        <w:rPr>
          <w:rFonts w:eastAsia="Calibri"/>
          <w:lang w:val="en-GB"/>
        </w:rPr>
        <w:t>Source</w:t>
      </w:r>
      <w:r w:rsidR="00025177">
        <w:rPr>
          <w:rFonts w:eastAsia="Calibri"/>
          <w:lang w:val="en-GB"/>
        </w:rPr>
        <w:t xml:space="preserve">: </w:t>
      </w:r>
      <w:r w:rsidRPr="00853F57">
        <w:rPr>
          <w:rFonts w:eastAsia="Calibri"/>
          <w:lang w:val="en-GB"/>
        </w:rPr>
        <w:t xml:space="preserve">Holcim Philippines Inc., </w:t>
      </w:r>
      <w:r w:rsidR="00723A6A" w:rsidRPr="00034CB9">
        <w:rPr>
          <w:rFonts w:eastAsia="Calibri"/>
          <w:i/>
          <w:iCs/>
          <w:lang w:val="en-GB"/>
        </w:rPr>
        <w:t xml:space="preserve">2018 </w:t>
      </w:r>
      <w:r w:rsidRPr="00034CB9">
        <w:rPr>
          <w:rFonts w:eastAsia="Calibri"/>
          <w:i/>
          <w:iCs/>
          <w:lang w:val="en-GB"/>
        </w:rPr>
        <w:t>Annual Report</w:t>
      </w:r>
      <w:r w:rsidRPr="00853F57">
        <w:rPr>
          <w:rFonts w:eastAsia="Calibri"/>
          <w:lang w:val="en-GB"/>
        </w:rPr>
        <w:t xml:space="preserve">, </w:t>
      </w:r>
      <w:r w:rsidR="00925494" w:rsidRPr="00025177">
        <w:rPr>
          <w:lang w:val="en-GB"/>
        </w:rPr>
        <w:t>142</w:t>
      </w:r>
      <w:r w:rsidRPr="00853F57">
        <w:rPr>
          <w:rFonts w:eastAsia="Calibri"/>
          <w:lang w:val="en-GB"/>
        </w:rPr>
        <w:t>, February 28, 2019, accessed July 26,2020</w:t>
      </w:r>
      <w:r w:rsidR="00025177">
        <w:rPr>
          <w:rStyle w:val="Hyperlink"/>
          <w:color w:val="000000" w:themeColor="text1"/>
          <w:u w:val="none"/>
          <w:lang w:val="en-GB"/>
        </w:rPr>
        <w:t xml:space="preserve">, </w:t>
      </w:r>
    </w:p>
    <w:p w14:paraId="60016E6C" w14:textId="125C68F3" w:rsidR="00975667" w:rsidRPr="00853F57" w:rsidRDefault="000C785D" w:rsidP="00C3075E">
      <w:pPr>
        <w:pStyle w:val="Footnote"/>
        <w:rPr>
          <w:lang w:val="en-GB"/>
        </w:rPr>
      </w:pPr>
      <w:r w:rsidRPr="00F04121">
        <w:rPr>
          <w:lang w:val="en-GB"/>
        </w:rPr>
        <w:t>https://www.holcim.ph/sites/philippines/files/atoms/files/hpi_2018_annual_report.pdf</w:t>
      </w:r>
      <w:r w:rsidR="00925494">
        <w:rPr>
          <w:lang w:val="en-GB"/>
        </w:rPr>
        <w:t>.</w:t>
      </w:r>
    </w:p>
    <w:p w14:paraId="115EF989" w14:textId="77777777" w:rsidR="00C3075E" w:rsidRPr="00853F57" w:rsidRDefault="00C3075E" w:rsidP="00C3075E">
      <w:pPr>
        <w:pStyle w:val="EndnoteText"/>
        <w:rPr>
          <w:rFonts w:ascii="Arial" w:hAnsi="Arial" w:cs="Arial"/>
          <w:b/>
          <w:color w:val="000000" w:themeColor="text1"/>
          <w:lang w:val="en-GB"/>
        </w:rPr>
      </w:pPr>
    </w:p>
    <w:p w14:paraId="1282D4F3" w14:textId="77777777" w:rsidR="00C3075E" w:rsidRPr="00853F57" w:rsidRDefault="00C3075E" w:rsidP="00437109">
      <w:pPr>
        <w:pStyle w:val="ExhibitHeading"/>
        <w:rPr>
          <w:lang w:val="en-GB"/>
        </w:rPr>
      </w:pPr>
    </w:p>
    <w:p w14:paraId="3B068A91" w14:textId="7E32EB5F" w:rsidR="00437109" w:rsidRPr="00853F57" w:rsidRDefault="00437109" w:rsidP="00437109">
      <w:pPr>
        <w:pStyle w:val="ExhibitHeading"/>
        <w:rPr>
          <w:lang w:val="en-GB"/>
        </w:rPr>
      </w:pPr>
      <w:r w:rsidRPr="00853F57">
        <w:rPr>
          <w:lang w:val="en-GB"/>
        </w:rPr>
        <w:t xml:space="preserve">Exhibit </w:t>
      </w:r>
      <w:r w:rsidR="005B3F2E" w:rsidRPr="00853F57">
        <w:rPr>
          <w:lang w:val="en-GB"/>
        </w:rPr>
        <w:t>2</w:t>
      </w:r>
      <w:r w:rsidRPr="00853F57">
        <w:rPr>
          <w:lang w:val="en-GB"/>
        </w:rPr>
        <w:t xml:space="preserve">: </w:t>
      </w:r>
      <w:r w:rsidR="00345AA3" w:rsidRPr="00853F57">
        <w:rPr>
          <w:lang w:val="en-GB"/>
        </w:rPr>
        <w:t>Holcim Philippines Inc.</w:t>
      </w:r>
      <w:r w:rsidR="00F5746B">
        <w:rPr>
          <w:lang w:val="en-GB"/>
        </w:rPr>
        <w:t xml:space="preserve"> </w:t>
      </w:r>
      <w:r w:rsidRPr="00853F57">
        <w:rPr>
          <w:lang w:val="en-GB"/>
        </w:rPr>
        <w:t>Stock Price History from 2015 to 2019</w:t>
      </w:r>
    </w:p>
    <w:p w14:paraId="04FEB9BE" w14:textId="77777777" w:rsidR="00437109" w:rsidRPr="00853F57" w:rsidRDefault="00437109" w:rsidP="00437109">
      <w:pPr>
        <w:pStyle w:val="Footnote"/>
        <w:rPr>
          <w:lang w:val="en-GB"/>
        </w:rPr>
      </w:pPr>
    </w:p>
    <w:p w14:paraId="3B285211" w14:textId="77777777" w:rsidR="00437109" w:rsidRPr="00853F57" w:rsidRDefault="00437109" w:rsidP="00437109">
      <w:pPr>
        <w:rPr>
          <w:color w:val="000000" w:themeColor="text1"/>
          <w:lang w:val="en-GB"/>
        </w:rPr>
      </w:pPr>
      <w:r w:rsidRPr="00853F57">
        <w:rPr>
          <w:noProof/>
          <w:color w:val="000000" w:themeColor="text1"/>
          <w:lang w:val="en-GB" w:eastAsia="en-CA"/>
        </w:rPr>
        <w:drawing>
          <wp:inline distT="0" distB="0" distL="0" distR="0" wp14:anchorId="177D1A5E" wp14:editId="7D6FE469">
            <wp:extent cx="5985164" cy="2036445"/>
            <wp:effectExtent l="0" t="0" r="0" b="1905"/>
            <wp:docPr id="151" name="Chart 151" descr="Holcim Phillipines Inc. Stock Price History from 2015-2019">
              <a:extLst xmlns:a="http://schemas.openxmlformats.org/drawingml/2006/main">
                <a:ext uri="{FF2B5EF4-FFF2-40B4-BE49-F238E27FC236}">
                  <a16:creationId xmlns:a16="http://schemas.microsoft.com/office/drawing/2014/main" id="{15400D1D-AF2A-4F08-B74C-6FA50884F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E117D1" w14:textId="77777777" w:rsidR="00437109" w:rsidRPr="00853F57" w:rsidRDefault="00437109" w:rsidP="00437109">
      <w:pPr>
        <w:pStyle w:val="Footnote"/>
        <w:rPr>
          <w:lang w:val="en-GB"/>
        </w:rPr>
      </w:pPr>
    </w:p>
    <w:p w14:paraId="1A5B64E6" w14:textId="720CC7C9" w:rsidR="00437109" w:rsidRPr="00853F57" w:rsidRDefault="00437109" w:rsidP="00437109">
      <w:pPr>
        <w:rPr>
          <w:rFonts w:ascii="Arial" w:hAnsi="Arial" w:cs="Arial"/>
          <w:i/>
          <w:color w:val="000000" w:themeColor="text1"/>
          <w:sz w:val="16"/>
          <w:szCs w:val="16"/>
          <w:lang w:val="en-GB"/>
        </w:rPr>
      </w:pPr>
      <w:r w:rsidRPr="00853F57">
        <w:rPr>
          <w:rFonts w:ascii="Arial" w:hAnsi="Arial" w:cs="Arial"/>
          <w:color w:val="000000" w:themeColor="text1"/>
          <w:sz w:val="16"/>
          <w:szCs w:val="16"/>
          <w:lang w:val="en-GB"/>
        </w:rPr>
        <w:t xml:space="preserve">Source: </w:t>
      </w:r>
      <w:r w:rsidR="00E77C8C">
        <w:rPr>
          <w:rFonts w:ascii="Arial" w:hAnsi="Arial" w:cs="Arial"/>
          <w:color w:val="000000" w:themeColor="text1"/>
          <w:sz w:val="16"/>
          <w:szCs w:val="16"/>
          <w:lang w:val="en-GB"/>
        </w:rPr>
        <w:t xml:space="preserve">“Holcim Philippines Quick Chart”, </w:t>
      </w:r>
      <w:r w:rsidRPr="00853F57">
        <w:rPr>
          <w:rFonts w:ascii="Arial" w:hAnsi="Arial" w:cs="Arial"/>
          <w:color w:val="000000" w:themeColor="text1"/>
          <w:sz w:val="16"/>
          <w:szCs w:val="16"/>
          <w:lang w:val="en-GB"/>
        </w:rPr>
        <w:t xml:space="preserve">S&amp;P </w:t>
      </w:r>
      <w:r w:rsidRPr="00853F57">
        <w:rPr>
          <w:rFonts w:ascii="Arial" w:hAnsi="Arial" w:cs="Arial"/>
          <w:iCs/>
          <w:color w:val="000000" w:themeColor="text1"/>
          <w:sz w:val="16"/>
          <w:szCs w:val="16"/>
          <w:lang w:val="en-GB"/>
        </w:rPr>
        <w:t>Capital IQ, accessed</w:t>
      </w:r>
      <w:r w:rsidRPr="00853F57">
        <w:rPr>
          <w:rFonts w:ascii="Arial" w:hAnsi="Arial" w:cs="Arial"/>
          <w:i/>
          <w:color w:val="000000" w:themeColor="text1"/>
          <w:sz w:val="16"/>
          <w:szCs w:val="16"/>
          <w:lang w:val="en-GB"/>
        </w:rPr>
        <w:t xml:space="preserve"> </w:t>
      </w:r>
      <w:r w:rsidRPr="00853F57">
        <w:rPr>
          <w:rFonts w:ascii="Arial" w:hAnsi="Arial" w:cs="Arial"/>
          <w:color w:val="000000" w:themeColor="text1"/>
          <w:sz w:val="16"/>
          <w:szCs w:val="16"/>
          <w:lang w:val="en-GB"/>
        </w:rPr>
        <w:t>July 21, 2019.</w:t>
      </w:r>
      <w:r w:rsidRPr="00853F57">
        <w:rPr>
          <w:rFonts w:ascii="Arial" w:hAnsi="Arial" w:cs="Arial"/>
          <w:i/>
          <w:color w:val="000000" w:themeColor="text1"/>
          <w:sz w:val="16"/>
          <w:szCs w:val="16"/>
          <w:lang w:val="en-GB"/>
        </w:rPr>
        <w:t xml:space="preserve">  </w:t>
      </w:r>
    </w:p>
    <w:p w14:paraId="3F3A9955" w14:textId="06966231" w:rsidR="00C3075E" w:rsidRPr="00853F57" w:rsidRDefault="00C3075E">
      <w:pPr>
        <w:spacing w:after="200" w:line="276" w:lineRule="auto"/>
        <w:rPr>
          <w:rFonts w:ascii="Arial" w:hAnsi="Arial" w:cs="Arial"/>
          <w:sz w:val="17"/>
          <w:szCs w:val="17"/>
          <w:lang w:val="en-GB"/>
        </w:rPr>
      </w:pPr>
      <w:r w:rsidRPr="00853F57">
        <w:rPr>
          <w:lang w:val="en-GB"/>
        </w:rPr>
        <w:br w:type="page"/>
      </w:r>
    </w:p>
    <w:p w14:paraId="4C0E61C7" w14:textId="027C8517" w:rsidR="00437109" w:rsidRPr="00853F57" w:rsidRDefault="00437109" w:rsidP="00437109">
      <w:pPr>
        <w:pStyle w:val="ExhibitHeading"/>
        <w:rPr>
          <w:lang w:val="en-GB"/>
        </w:rPr>
      </w:pPr>
      <w:r w:rsidRPr="00853F57">
        <w:rPr>
          <w:lang w:val="en-GB"/>
        </w:rPr>
        <w:lastRenderedPageBreak/>
        <w:t xml:space="preserve">EXHIBIT </w:t>
      </w:r>
      <w:r w:rsidR="005B3F2E" w:rsidRPr="00853F57">
        <w:rPr>
          <w:lang w:val="en-GB"/>
        </w:rPr>
        <w:t>3</w:t>
      </w:r>
      <w:r w:rsidRPr="00853F57">
        <w:rPr>
          <w:lang w:val="en-GB"/>
        </w:rPr>
        <w:t>: CEMENT PRODUCTION, IMPORTS, AND DEMAND (</w:t>
      </w:r>
      <w:r w:rsidR="00296F68" w:rsidRPr="00853F57">
        <w:rPr>
          <w:lang w:val="en-GB"/>
        </w:rPr>
        <w:t xml:space="preserve">in </w:t>
      </w:r>
      <w:r w:rsidR="00F5746B">
        <w:rPr>
          <w:lang w:val="en-GB"/>
        </w:rPr>
        <w:t>THOUSAND</w:t>
      </w:r>
      <w:r w:rsidR="00A34B79" w:rsidRPr="00853F57">
        <w:rPr>
          <w:lang w:val="en-GB"/>
        </w:rPr>
        <w:t xml:space="preserve"> </w:t>
      </w:r>
      <w:r w:rsidRPr="00853F57">
        <w:rPr>
          <w:lang w:val="en-GB"/>
        </w:rPr>
        <w:t xml:space="preserve">METRIC TONS), </w:t>
      </w:r>
    </w:p>
    <w:p w14:paraId="5EC9EDED" w14:textId="77777777" w:rsidR="00437109" w:rsidRPr="00853F57" w:rsidRDefault="00437109" w:rsidP="00437109">
      <w:pPr>
        <w:pStyle w:val="ExhibitHeading"/>
        <w:rPr>
          <w:lang w:val="en-GB"/>
        </w:rPr>
      </w:pPr>
      <w:r w:rsidRPr="00853F57">
        <w:rPr>
          <w:lang w:val="en-GB"/>
        </w:rPr>
        <w:t>2009–2016</w:t>
      </w:r>
    </w:p>
    <w:p w14:paraId="03B986C0" w14:textId="77777777" w:rsidR="00437109" w:rsidRPr="00853F57" w:rsidRDefault="00437109" w:rsidP="00437109">
      <w:pPr>
        <w:pStyle w:val="Footnote"/>
        <w:rPr>
          <w:lang w:val="en-GB"/>
        </w:rPr>
      </w:pPr>
    </w:p>
    <w:tbl>
      <w:tblPr>
        <w:tblStyle w:val="TableGrid"/>
        <w:tblW w:w="0" w:type="auto"/>
        <w:jc w:val="center"/>
        <w:tblLook w:val="04A0" w:firstRow="1" w:lastRow="0" w:firstColumn="1" w:lastColumn="0" w:noHBand="0" w:noVBand="1"/>
        <w:tblCaption w:val="Exhibit 3"/>
        <w:tblDescription w:val="Cementproduction, imports, and demand (in thousand metric tons), from 2009 to 2016"/>
      </w:tblPr>
      <w:tblGrid>
        <w:gridCol w:w="908"/>
        <w:gridCol w:w="1272"/>
        <w:gridCol w:w="984"/>
        <w:gridCol w:w="2643"/>
        <w:gridCol w:w="2397"/>
      </w:tblGrid>
      <w:tr w:rsidR="00437109" w:rsidRPr="00853F57" w14:paraId="3884ED72" w14:textId="77777777" w:rsidTr="000000A8">
        <w:trPr>
          <w:trHeight w:val="60"/>
          <w:tblHeader/>
          <w:jc w:val="center"/>
        </w:trPr>
        <w:tc>
          <w:tcPr>
            <w:tcW w:w="908" w:type="dxa"/>
          </w:tcPr>
          <w:p w14:paraId="7F732B91"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b/>
                <w:bCs/>
                <w:color w:val="000000" w:themeColor="text1"/>
                <w:sz w:val="18"/>
                <w:szCs w:val="20"/>
                <w:lang w:val="en-GB"/>
              </w:rPr>
              <w:t>Year</w:t>
            </w:r>
          </w:p>
        </w:tc>
        <w:tc>
          <w:tcPr>
            <w:tcW w:w="1272" w:type="dxa"/>
          </w:tcPr>
          <w:p w14:paraId="005B663F"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b/>
                <w:bCs/>
                <w:color w:val="000000" w:themeColor="text1"/>
                <w:sz w:val="18"/>
                <w:szCs w:val="20"/>
                <w:lang w:val="en-GB"/>
              </w:rPr>
              <w:t>Production</w:t>
            </w:r>
          </w:p>
        </w:tc>
        <w:tc>
          <w:tcPr>
            <w:tcW w:w="984" w:type="dxa"/>
          </w:tcPr>
          <w:p w14:paraId="4D6E2912" w14:textId="77777777" w:rsidR="00437109" w:rsidRPr="00853F57" w:rsidRDefault="00437109" w:rsidP="00F6167B">
            <w:pPr>
              <w:pStyle w:val="p2"/>
              <w:spacing w:after="0" w:afterAutospacing="0"/>
              <w:jc w:val="center"/>
              <w:rPr>
                <w:rFonts w:ascii="Arial" w:hAnsi="Arial" w:cs="Arial"/>
                <w:b/>
                <w:bCs/>
                <w:color w:val="000000" w:themeColor="text1"/>
                <w:sz w:val="18"/>
                <w:szCs w:val="20"/>
                <w:lang w:val="en-GB"/>
              </w:rPr>
            </w:pPr>
            <w:r w:rsidRPr="00853F57">
              <w:rPr>
                <w:rFonts w:ascii="Arial" w:hAnsi="Arial" w:cs="Arial"/>
                <w:b/>
                <w:bCs/>
                <w:color w:val="000000" w:themeColor="text1"/>
                <w:sz w:val="18"/>
                <w:szCs w:val="20"/>
                <w:lang w:val="en-GB"/>
              </w:rPr>
              <w:t>Imports</w:t>
            </w:r>
          </w:p>
        </w:tc>
        <w:tc>
          <w:tcPr>
            <w:tcW w:w="2643" w:type="dxa"/>
          </w:tcPr>
          <w:p w14:paraId="162A7B7F" w14:textId="7E0A7448" w:rsidR="00437109" w:rsidRPr="00853F57" w:rsidRDefault="00437109" w:rsidP="00F6167B">
            <w:pPr>
              <w:pStyle w:val="p2"/>
              <w:spacing w:after="0" w:afterAutospacing="0"/>
              <w:contextualSpacing/>
              <w:jc w:val="center"/>
              <w:rPr>
                <w:rFonts w:ascii="Arial" w:eastAsiaTheme="minorHAnsi" w:hAnsi="Arial" w:cs="Arial"/>
                <w:color w:val="000000" w:themeColor="text1"/>
                <w:sz w:val="18"/>
                <w:szCs w:val="20"/>
                <w:lang w:val="en-GB"/>
              </w:rPr>
            </w:pPr>
            <w:r w:rsidRPr="00853F57">
              <w:rPr>
                <w:rFonts w:ascii="Arial" w:hAnsi="Arial" w:cs="Arial"/>
                <w:b/>
                <w:bCs/>
                <w:color w:val="000000" w:themeColor="text1"/>
                <w:sz w:val="18"/>
                <w:szCs w:val="20"/>
                <w:lang w:val="en-GB"/>
              </w:rPr>
              <w:t xml:space="preserve">Demand (Local Sales </w:t>
            </w:r>
            <w:r w:rsidR="00925494">
              <w:rPr>
                <w:rFonts w:ascii="Arial" w:hAnsi="Arial" w:cs="Arial"/>
                <w:b/>
                <w:bCs/>
                <w:color w:val="000000" w:themeColor="text1"/>
                <w:sz w:val="18"/>
                <w:szCs w:val="20"/>
                <w:lang w:val="en-GB"/>
              </w:rPr>
              <w:t>plus</w:t>
            </w:r>
            <w:r w:rsidRPr="00853F57">
              <w:rPr>
                <w:rFonts w:ascii="Arial" w:hAnsi="Arial" w:cs="Arial"/>
                <w:b/>
                <w:bCs/>
                <w:color w:val="000000" w:themeColor="text1"/>
                <w:sz w:val="18"/>
                <w:szCs w:val="20"/>
                <w:lang w:val="en-GB"/>
              </w:rPr>
              <w:t xml:space="preserve"> Imports)</w:t>
            </w:r>
          </w:p>
        </w:tc>
        <w:tc>
          <w:tcPr>
            <w:tcW w:w="2397" w:type="dxa"/>
          </w:tcPr>
          <w:p w14:paraId="76D084D6" w14:textId="4CF325BB"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b/>
                <w:bCs/>
                <w:color w:val="000000" w:themeColor="text1"/>
                <w:sz w:val="18"/>
                <w:szCs w:val="20"/>
                <w:lang w:val="en-GB"/>
              </w:rPr>
              <w:t>Percent</w:t>
            </w:r>
            <w:r w:rsidR="00925494">
              <w:rPr>
                <w:rFonts w:ascii="Arial" w:hAnsi="Arial" w:cs="Arial"/>
                <w:b/>
                <w:bCs/>
                <w:color w:val="000000" w:themeColor="text1"/>
                <w:sz w:val="18"/>
                <w:szCs w:val="20"/>
                <w:lang w:val="en-GB"/>
              </w:rPr>
              <w:t>age</w:t>
            </w:r>
            <w:r w:rsidRPr="00853F57">
              <w:rPr>
                <w:rFonts w:ascii="Arial" w:hAnsi="Arial" w:cs="Arial"/>
                <w:b/>
                <w:bCs/>
                <w:color w:val="000000" w:themeColor="text1"/>
                <w:sz w:val="18"/>
                <w:szCs w:val="20"/>
                <w:lang w:val="en-GB"/>
              </w:rPr>
              <w:t xml:space="preserve"> Change</w:t>
            </w:r>
          </w:p>
        </w:tc>
      </w:tr>
      <w:tr w:rsidR="00437109" w:rsidRPr="00853F57" w14:paraId="7CDDCA5E" w14:textId="77777777" w:rsidTr="000000A8">
        <w:trPr>
          <w:tblHeader/>
          <w:jc w:val="center"/>
        </w:trPr>
        <w:tc>
          <w:tcPr>
            <w:tcW w:w="908" w:type="dxa"/>
          </w:tcPr>
          <w:p w14:paraId="5E95F0E0"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2009</w:t>
            </w:r>
          </w:p>
        </w:tc>
        <w:tc>
          <w:tcPr>
            <w:tcW w:w="1272" w:type="dxa"/>
          </w:tcPr>
          <w:p w14:paraId="39469FA3"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14,865</w:t>
            </w:r>
          </w:p>
        </w:tc>
        <w:tc>
          <w:tcPr>
            <w:tcW w:w="984" w:type="dxa"/>
          </w:tcPr>
          <w:p w14:paraId="6566F705"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1</w:t>
            </w:r>
          </w:p>
        </w:tc>
        <w:tc>
          <w:tcPr>
            <w:tcW w:w="2643" w:type="dxa"/>
          </w:tcPr>
          <w:p w14:paraId="3A1F6D9B"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14,470</w:t>
            </w:r>
          </w:p>
        </w:tc>
        <w:tc>
          <w:tcPr>
            <w:tcW w:w="2397" w:type="dxa"/>
          </w:tcPr>
          <w:p w14:paraId="62BCB7A3"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9.48</w:t>
            </w:r>
          </w:p>
        </w:tc>
      </w:tr>
      <w:tr w:rsidR="00437109" w:rsidRPr="00853F57" w14:paraId="690C8420" w14:textId="77777777" w:rsidTr="000000A8">
        <w:trPr>
          <w:tblHeader/>
          <w:jc w:val="center"/>
        </w:trPr>
        <w:tc>
          <w:tcPr>
            <w:tcW w:w="908" w:type="dxa"/>
          </w:tcPr>
          <w:p w14:paraId="63A97667"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2010</w:t>
            </w:r>
          </w:p>
        </w:tc>
        <w:tc>
          <w:tcPr>
            <w:tcW w:w="1272" w:type="dxa"/>
          </w:tcPr>
          <w:p w14:paraId="773029CD"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15,900</w:t>
            </w:r>
          </w:p>
        </w:tc>
        <w:tc>
          <w:tcPr>
            <w:tcW w:w="984" w:type="dxa"/>
          </w:tcPr>
          <w:p w14:paraId="0DC09C41"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1</w:t>
            </w:r>
          </w:p>
        </w:tc>
        <w:tc>
          <w:tcPr>
            <w:tcW w:w="2643" w:type="dxa"/>
          </w:tcPr>
          <w:p w14:paraId="313729FA"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15,450</w:t>
            </w:r>
          </w:p>
        </w:tc>
        <w:tc>
          <w:tcPr>
            <w:tcW w:w="2397" w:type="dxa"/>
          </w:tcPr>
          <w:p w14:paraId="2C5236C9"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6.77</w:t>
            </w:r>
          </w:p>
        </w:tc>
      </w:tr>
      <w:tr w:rsidR="00437109" w:rsidRPr="00853F57" w14:paraId="26A8DD1E" w14:textId="77777777" w:rsidTr="000000A8">
        <w:trPr>
          <w:tblHeader/>
          <w:jc w:val="center"/>
        </w:trPr>
        <w:tc>
          <w:tcPr>
            <w:tcW w:w="908" w:type="dxa"/>
          </w:tcPr>
          <w:p w14:paraId="2035A7ED"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2011</w:t>
            </w:r>
          </w:p>
        </w:tc>
        <w:tc>
          <w:tcPr>
            <w:tcW w:w="1272" w:type="dxa"/>
          </w:tcPr>
          <w:p w14:paraId="457802F1"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16,063</w:t>
            </w:r>
          </w:p>
        </w:tc>
        <w:tc>
          <w:tcPr>
            <w:tcW w:w="984" w:type="dxa"/>
          </w:tcPr>
          <w:p w14:paraId="2815BB35"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30</w:t>
            </w:r>
          </w:p>
        </w:tc>
        <w:tc>
          <w:tcPr>
            <w:tcW w:w="2643" w:type="dxa"/>
          </w:tcPr>
          <w:p w14:paraId="64BBAA0E"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15,625</w:t>
            </w:r>
          </w:p>
        </w:tc>
        <w:tc>
          <w:tcPr>
            <w:tcW w:w="2397" w:type="dxa"/>
          </w:tcPr>
          <w:p w14:paraId="0E77D812"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1.13</w:t>
            </w:r>
          </w:p>
        </w:tc>
      </w:tr>
      <w:tr w:rsidR="00437109" w:rsidRPr="00853F57" w14:paraId="69CEF4EE" w14:textId="77777777" w:rsidTr="000000A8">
        <w:trPr>
          <w:tblHeader/>
          <w:jc w:val="center"/>
        </w:trPr>
        <w:tc>
          <w:tcPr>
            <w:tcW w:w="908" w:type="dxa"/>
          </w:tcPr>
          <w:p w14:paraId="373792AE"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2012</w:t>
            </w:r>
          </w:p>
        </w:tc>
        <w:tc>
          <w:tcPr>
            <w:tcW w:w="1272" w:type="dxa"/>
          </w:tcPr>
          <w:p w14:paraId="6A02DB53"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18,907</w:t>
            </w:r>
          </w:p>
        </w:tc>
        <w:tc>
          <w:tcPr>
            <w:tcW w:w="984" w:type="dxa"/>
          </w:tcPr>
          <w:p w14:paraId="0AA4EF40"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0</w:t>
            </w:r>
          </w:p>
        </w:tc>
        <w:tc>
          <w:tcPr>
            <w:tcW w:w="2643" w:type="dxa"/>
          </w:tcPr>
          <w:p w14:paraId="747B1388"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18,395</w:t>
            </w:r>
          </w:p>
        </w:tc>
        <w:tc>
          <w:tcPr>
            <w:tcW w:w="2397" w:type="dxa"/>
          </w:tcPr>
          <w:p w14:paraId="30A94BD5"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17.73</w:t>
            </w:r>
          </w:p>
        </w:tc>
      </w:tr>
      <w:tr w:rsidR="00437109" w:rsidRPr="00853F57" w14:paraId="7106D234" w14:textId="77777777" w:rsidTr="000000A8">
        <w:trPr>
          <w:tblHeader/>
          <w:jc w:val="center"/>
        </w:trPr>
        <w:tc>
          <w:tcPr>
            <w:tcW w:w="908" w:type="dxa"/>
          </w:tcPr>
          <w:p w14:paraId="43974466"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2013</w:t>
            </w:r>
          </w:p>
        </w:tc>
        <w:tc>
          <w:tcPr>
            <w:tcW w:w="1272" w:type="dxa"/>
          </w:tcPr>
          <w:p w14:paraId="1D27D326"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20,150</w:t>
            </w:r>
          </w:p>
        </w:tc>
        <w:tc>
          <w:tcPr>
            <w:tcW w:w="984" w:type="dxa"/>
          </w:tcPr>
          <w:p w14:paraId="1BDC2755"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0</w:t>
            </w:r>
          </w:p>
        </w:tc>
        <w:tc>
          <w:tcPr>
            <w:tcW w:w="2643" w:type="dxa"/>
          </w:tcPr>
          <w:p w14:paraId="67DDA924"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19,604</w:t>
            </w:r>
          </w:p>
        </w:tc>
        <w:tc>
          <w:tcPr>
            <w:tcW w:w="2397" w:type="dxa"/>
          </w:tcPr>
          <w:p w14:paraId="3DAEABEF"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 xml:space="preserve"> 6.57</w:t>
            </w:r>
          </w:p>
        </w:tc>
      </w:tr>
      <w:tr w:rsidR="00437109" w:rsidRPr="00853F57" w14:paraId="22761F1C" w14:textId="77777777" w:rsidTr="000000A8">
        <w:trPr>
          <w:tblHeader/>
          <w:jc w:val="center"/>
        </w:trPr>
        <w:tc>
          <w:tcPr>
            <w:tcW w:w="908" w:type="dxa"/>
          </w:tcPr>
          <w:p w14:paraId="2DBB01B0"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2014</w:t>
            </w:r>
          </w:p>
        </w:tc>
        <w:tc>
          <w:tcPr>
            <w:tcW w:w="1272" w:type="dxa"/>
          </w:tcPr>
          <w:p w14:paraId="7A3C8CE2"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21,305</w:t>
            </w:r>
          </w:p>
        </w:tc>
        <w:tc>
          <w:tcPr>
            <w:tcW w:w="984" w:type="dxa"/>
          </w:tcPr>
          <w:p w14:paraId="7FF5B308"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4</w:t>
            </w:r>
          </w:p>
        </w:tc>
        <w:tc>
          <w:tcPr>
            <w:tcW w:w="2643" w:type="dxa"/>
          </w:tcPr>
          <w:p w14:paraId="0FE240B5"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21,305</w:t>
            </w:r>
          </w:p>
        </w:tc>
        <w:tc>
          <w:tcPr>
            <w:tcW w:w="2397" w:type="dxa"/>
          </w:tcPr>
          <w:p w14:paraId="75D90A89"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8.68</w:t>
            </w:r>
          </w:p>
        </w:tc>
      </w:tr>
      <w:tr w:rsidR="00437109" w:rsidRPr="00853F57" w14:paraId="1FE020FB" w14:textId="77777777" w:rsidTr="000000A8">
        <w:trPr>
          <w:tblHeader/>
          <w:jc w:val="center"/>
        </w:trPr>
        <w:tc>
          <w:tcPr>
            <w:tcW w:w="908" w:type="dxa"/>
          </w:tcPr>
          <w:p w14:paraId="28943A08"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2015</w:t>
            </w:r>
          </w:p>
        </w:tc>
        <w:tc>
          <w:tcPr>
            <w:tcW w:w="1272" w:type="dxa"/>
          </w:tcPr>
          <w:p w14:paraId="59831BF9"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24,046</w:t>
            </w:r>
          </w:p>
        </w:tc>
        <w:tc>
          <w:tcPr>
            <w:tcW w:w="984" w:type="dxa"/>
          </w:tcPr>
          <w:p w14:paraId="15D4FBD9"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314</w:t>
            </w:r>
          </w:p>
        </w:tc>
        <w:tc>
          <w:tcPr>
            <w:tcW w:w="2643" w:type="dxa"/>
          </w:tcPr>
          <w:p w14:paraId="26CE65E3"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24,360</w:t>
            </w:r>
          </w:p>
        </w:tc>
        <w:tc>
          <w:tcPr>
            <w:tcW w:w="2397" w:type="dxa"/>
          </w:tcPr>
          <w:p w14:paraId="572775D4"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14.34</w:t>
            </w:r>
          </w:p>
        </w:tc>
      </w:tr>
      <w:tr w:rsidR="00437109" w:rsidRPr="00853F57" w14:paraId="299656F3" w14:textId="77777777" w:rsidTr="000000A8">
        <w:trPr>
          <w:tblHeader/>
          <w:jc w:val="center"/>
        </w:trPr>
        <w:tc>
          <w:tcPr>
            <w:tcW w:w="908" w:type="dxa"/>
          </w:tcPr>
          <w:p w14:paraId="745E044A" w14:textId="77777777" w:rsidR="00437109" w:rsidRPr="00853F57" w:rsidRDefault="00437109" w:rsidP="00F6167B">
            <w:pPr>
              <w:pStyle w:val="p2"/>
              <w:spacing w:after="0" w:afterAutospacing="0"/>
              <w:jc w:val="center"/>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2016</w:t>
            </w:r>
          </w:p>
        </w:tc>
        <w:tc>
          <w:tcPr>
            <w:tcW w:w="1272" w:type="dxa"/>
          </w:tcPr>
          <w:p w14:paraId="55D7732F"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eastAsiaTheme="minorHAnsi" w:hAnsi="Arial" w:cs="Arial"/>
                <w:color w:val="000000" w:themeColor="text1"/>
                <w:sz w:val="18"/>
                <w:szCs w:val="20"/>
                <w:lang w:val="en-GB"/>
              </w:rPr>
              <w:t>24,370</w:t>
            </w:r>
          </w:p>
        </w:tc>
        <w:tc>
          <w:tcPr>
            <w:tcW w:w="984" w:type="dxa"/>
          </w:tcPr>
          <w:p w14:paraId="456AA5EB" w14:textId="77777777" w:rsidR="00437109" w:rsidRPr="00853F57" w:rsidRDefault="00437109" w:rsidP="00034CB9">
            <w:pPr>
              <w:pStyle w:val="p2"/>
              <w:spacing w:after="0" w:afterAutospacing="0"/>
              <w:ind w:right="96"/>
              <w:jc w:val="right"/>
              <w:rPr>
                <w:rFonts w:ascii="Arial" w:hAnsi="Arial" w:cs="Arial"/>
                <w:color w:val="000000" w:themeColor="text1"/>
                <w:sz w:val="18"/>
                <w:szCs w:val="20"/>
                <w:lang w:val="en-GB"/>
              </w:rPr>
            </w:pPr>
            <w:r w:rsidRPr="00853F57">
              <w:rPr>
                <w:rFonts w:ascii="Arial" w:hAnsi="Arial" w:cs="Arial"/>
                <w:color w:val="000000" w:themeColor="text1"/>
                <w:sz w:val="18"/>
                <w:szCs w:val="20"/>
                <w:lang w:val="en-GB"/>
              </w:rPr>
              <w:t>1,590*</w:t>
            </w:r>
          </w:p>
        </w:tc>
        <w:tc>
          <w:tcPr>
            <w:tcW w:w="2643" w:type="dxa"/>
          </w:tcPr>
          <w:p w14:paraId="276C0C07"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25,960*</w:t>
            </w:r>
          </w:p>
        </w:tc>
        <w:tc>
          <w:tcPr>
            <w:tcW w:w="2397" w:type="dxa"/>
          </w:tcPr>
          <w:p w14:paraId="77163258" w14:textId="77777777" w:rsidR="00437109" w:rsidRPr="00853F57" w:rsidRDefault="00437109" w:rsidP="00034CB9">
            <w:pPr>
              <w:pStyle w:val="p2"/>
              <w:spacing w:after="0" w:afterAutospacing="0"/>
              <w:ind w:right="96"/>
              <w:jc w:val="right"/>
              <w:rPr>
                <w:rFonts w:ascii="Arial" w:eastAsiaTheme="minorHAnsi" w:hAnsi="Arial" w:cs="Arial"/>
                <w:color w:val="000000" w:themeColor="text1"/>
                <w:sz w:val="18"/>
                <w:szCs w:val="20"/>
                <w:lang w:val="en-GB"/>
              </w:rPr>
            </w:pPr>
            <w:r w:rsidRPr="00853F57">
              <w:rPr>
                <w:rFonts w:ascii="Arial" w:hAnsi="Arial" w:cs="Arial"/>
                <w:color w:val="000000" w:themeColor="text1"/>
                <w:sz w:val="18"/>
                <w:szCs w:val="20"/>
                <w:lang w:val="en-GB"/>
              </w:rPr>
              <w:t xml:space="preserve"> 6.57</w:t>
            </w:r>
          </w:p>
        </w:tc>
      </w:tr>
    </w:tbl>
    <w:p w14:paraId="07928139" w14:textId="77777777" w:rsidR="00437109" w:rsidRPr="00853F57" w:rsidRDefault="00437109" w:rsidP="00437109">
      <w:pPr>
        <w:pStyle w:val="Footnote"/>
        <w:rPr>
          <w:rFonts w:eastAsiaTheme="minorHAnsi"/>
          <w:lang w:val="en-GB"/>
        </w:rPr>
      </w:pPr>
    </w:p>
    <w:p w14:paraId="1A740C20" w14:textId="3F9D8326" w:rsidR="00437109" w:rsidRPr="00853F57" w:rsidRDefault="00437109" w:rsidP="00437109">
      <w:pPr>
        <w:pStyle w:val="p2"/>
        <w:spacing w:before="0" w:beforeAutospacing="0" w:after="0" w:afterAutospacing="0"/>
        <w:jc w:val="both"/>
        <w:rPr>
          <w:rFonts w:ascii="Arial" w:hAnsi="Arial" w:cs="Arial"/>
          <w:color w:val="000000" w:themeColor="text1"/>
          <w:sz w:val="17"/>
          <w:szCs w:val="17"/>
          <w:lang w:val="en-GB"/>
        </w:rPr>
      </w:pPr>
      <w:r w:rsidRPr="00853F57">
        <w:rPr>
          <w:rFonts w:ascii="Arial" w:eastAsiaTheme="minorHAnsi" w:hAnsi="Arial" w:cs="Arial"/>
          <w:color w:val="000000" w:themeColor="text1"/>
          <w:sz w:val="17"/>
          <w:szCs w:val="17"/>
          <w:lang w:val="en-GB"/>
        </w:rPr>
        <w:t xml:space="preserve">Source: </w:t>
      </w:r>
      <w:bookmarkStart w:id="11" w:name="_Hlk68699638"/>
      <w:r w:rsidR="00D1024E" w:rsidRPr="00853F57">
        <w:rPr>
          <w:rFonts w:ascii="Arial" w:eastAsiaTheme="minorHAnsi" w:hAnsi="Arial" w:cs="Arial"/>
          <w:color w:val="000000" w:themeColor="text1"/>
          <w:sz w:val="17"/>
          <w:szCs w:val="17"/>
          <w:lang w:val="en-GB"/>
        </w:rPr>
        <w:t xml:space="preserve">Created by case authors based on data from </w:t>
      </w:r>
      <w:bookmarkEnd w:id="11"/>
      <w:r w:rsidRPr="00853F57">
        <w:rPr>
          <w:rFonts w:ascii="Arial" w:eastAsiaTheme="minorHAnsi" w:hAnsi="Arial" w:cs="Arial"/>
          <w:color w:val="000000" w:themeColor="text1"/>
          <w:sz w:val="17"/>
          <w:szCs w:val="17"/>
          <w:lang w:val="en-GB"/>
        </w:rPr>
        <w:t xml:space="preserve">Cement Manufacturers’ Association of the Philippines Inc. (CeMAP), </w:t>
      </w:r>
      <w:r w:rsidRPr="00853F57">
        <w:rPr>
          <w:rFonts w:ascii="Arial" w:eastAsiaTheme="minorHAnsi" w:hAnsi="Arial" w:cs="Arial"/>
          <w:i/>
          <w:color w:val="000000" w:themeColor="text1"/>
          <w:sz w:val="17"/>
          <w:szCs w:val="17"/>
          <w:lang w:val="en-GB"/>
        </w:rPr>
        <w:t>2015 Annual Cement Industry Report</w:t>
      </w:r>
      <w:r w:rsidRPr="00853F57">
        <w:rPr>
          <w:rFonts w:ascii="Arial" w:eastAsiaTheme="minorHAnsi" w:hAnsi="Arial" w:cs="Arial"/>
          <w:color w:val="000000" w:themeColor="text1"/>
          <w:sz w:val="17"/>
          <w:szCs w:val="17"/>
          <w:lang w:val="en-GB"/>
        </w:rPr>
        <w:t xml:space="preserve">, 2015, accessed September 22, 2020, http://cemap.org.ph/downloadables/PDF/cemap2015.pdf; </w:t>
      </w:r>
      <w:r w:rsidRPr="00853F57">
        <w:rPr>
          <w:rFonts w:ascii="Arial" w:hAnsi="Arial" w:cs="Arial"/>
          <w:color w:val="000000" w:themeColor="text1"/>
          <w:sz w:val="17"/>
          <w:szCs w:val="17"/>
          <w:lang w:val="en-GB"/>
        </w:rPr>
        <w:t xml:space="preserve">*Philippines News Agency, “Cement Demand to Double by 2021 with Infra Boost,” </w:t>
      </w:r>
      <w:r w:rsidRPr="00853F57">
        <w:rPr>
          <w:rFonts w:ascii="Arial" w:hAnsi="Arial" w:cs="Arial"/>
          <w:i/>
          <w:color w:val="000000" w:themeColor="text1"/>
          <w:sz w:val="17"/>
          <w:szCs w:val="17"/>
          <w:lang w:val="en-GB"/>
        </w:rPr>
        <w:t>Manila Times</w:t>
      </w:r>
      <w:r w:rsidRPr="00853F57">
        <w:rPr>
          <w:rFonts w:ascii="Arial" w:hAnsi="Arial" w:cs="Arial"/>
          <w:color w:val="000000" w:themeColor="text1"/>
          <w:sz w:val="17"/>
          <w:szCs w:val="17"/>
          <w:lang w:val="en-GB"/>
        </w:rPr>
        <w:t xml:space="preserve">, June 20, 2017, accessed </w:t>
      </w:r>
      <w:r w:rsidRPr="00853F57">
        <w:rPr>
          <w:rFonts w:ascii="Arial" w:eastAsiaTheme="minorHAnsi" w:hAnsi="Arial" w:cs="Arial"/>
          <w:color w:val="000000" w:themeColor="text1"/>
          <w:sz w:val="17"/>
          <w:szCs w:val="17"/>
          <w:lang w:val="en-GB"/>
        </w:rPr>
        <w:t>September 22, 2020</w:t>
      </w:r>
      <w:r w:rsidRPr="00853F57">
        <w:rPr>
          <w:rFonts w:ascii="Arial" w:hAnsi="Arial" w:cs="Arial"/>
          <w:color w:val="000000" w:themeColor="text1"/>
          <w:sz w:val="17"/>
          <w:szCs w:val="17"/>
          <w:lang w:val="en-GB"/>
        </w:rPr>
        <w:t>, www.manilatimes.net/cement-demand-double-2021-infra-boost/333791/.</w:t>
      </w:r>
    </w:p>
    <w:p w14:paraId="7101E5BD" w14:textId="77777777" w:rsidR="00437109" w:rsidRPr="00853F57" w:rsidRDefault="00437109" w:rsidP="00437109">
      <w:pPr>
        <w:pStyle w:val="Footnote"/>
        <w:rPr>
          <w:lang w:val="en-GB"/>
        </w:rPr>
      </w:pPr>
    </w:p>
    <w:p w14:paraId="70D773C0" w14:textId="77777777" w:rsidR="00437109" w:rsidRPr="00853F57" w:rsidRDefault="00437109" w:rsidP="00437109">
      <w:pPr>
        <w:pStyle w:val="Footnote"/>
        <w:rPr>
          <w:sz w:val="20"/>
          <w:szCs w:val="20"/>
          <w:lang w:val="en-GB"/>
        </w:rPr>
      </w:pPr>
    </w:p>
    <w:p w14:paraId="148082C4" w14:textId="5E9869DE" w:rsidR="00437109" w:rsidRPr="00853F57" w:rsidRDefault="00437109" w:rsidP="00437109">
      <w:pPr>
        <w:pStyle w:val="ExhibitHeading"/>
        <w:rPr>
          <w:lang w:val="en-GB"/>
        </w:rPr>
      </w:pPr>
      <w:r w:rsidRPr="00853F57">
        <w:rPr>
          <w:lang w:val="en-GB"/>
        </w:rPr>
        <w:t xml:space="preserve">EXHIBIT </w:t>
      </w:r>
      <w:r w:rsidR="005B3F2E" w:rsidRPr="00853F57">
        <w:rPr>
          <w:lang w:val="en-GB"/>
        </w:rPr>
        <w:t>4</w:t>
      </w:r>
      <w:r w:rsidRPr="00853F57">
        <w:rPr>
          <w:lang w:val="en-GB"/>
        </w:rPr>
        <w:t>: PRODUCTION CAPACITY FOR KEY CEMENT MANUFACTURERS</w:t>
      </w:r>
      <w:r w:rsidR="00F5746B">
        <w:rPr>
          <w:lang w:val="en-GB"/>
        </w:rPr>
        <w:br/>
      </w:r>
      <w:r w:rsidR="00F5746B" w:rsidRPr="00853F57">
        <w:rPr>
          <w:lang w:val="en-GB"/>
        </w:rPr>
        <w:t xml:space="preserve">(in </w:t>
      </w:r>
      <w:r w:rsidR="00F5746B">
        <w:rPr>
          <w:lang w:val="en-GB"/>
        </w:rPr>
        <w:t>THOUSAND</w:t>
      </w:r>
      <w:r w:rsidR="00F5746B" w:rsidRPr="00853F57">
        <w:rPr>
          <w:lang w:val="en-GB"/>
        </w:rPr>
        <w:t xml:space="preserve"> METRIC</w:t>
      </w:r>
      <w:r w:rsidR="00F5746B">
        <w:rPr>
          <w:lang w:val="en-GB"/>
        </w:rPr>
        <w:t xml:space="preserve"> </w:t>
      </w:r>
      <w:r w:rsidR="00F5746B" w:rsidRPr="00853F57">
        <w:rPr>
          <w:lang w:val="en-GB"/>
        </w:rPr>
        <w:t>TONS)</w:t>
      </w:r>
    </w:p>
    <w:p w14:paraId="21254FFA" w14:textId="77777777" w:rsidR="00437109" w:rsidRPr="00853F57" w:rsidRDefault="00437109" w:rsidP="00437109">
      <w:pPr>
        <w:pStyle w:val="Footnote"/>
        <w:rPr>
          <w:lang w:val="en-GB"/>
        </w:rPr>
      </w:pPr>
    </w:p>
    <w:tbl>
      <w:tblPr>
        <w:tblStyle w:val="TableGrid"/>
        <w:tblW w:w="0" w:type="auto"/>
        <w:jc w:val="center"/>
        <w:tblLook w:val="04A0" w:firstRow="1" w:lastRow="0" w:firstColumn="1" w:lastColumn="0" w:noHBand="0" w:noVBand="1"/>
        <w:tblCaption w:val="Exhibit 4"/>
        <w:tblDescription w:val="Production capacity for key cement manufacturers (in thousand metric tons)"/>
      </w:tblPr>
      <w:tblGrid>
        <w:gridCol w:w="3890"/>
        <w:gridCol w:w="2025"/>
        <w:gridCol w:w="2025"/>
      </w:tblGrid>
      <w:tr w:rsidR="00437109" w:rsidRPr="00853F57" w14:paraId="1206EEFE" w14:textId="77777777" w:rsidTr="00002121">
        <w:trPr>
          <w:trHeight w:val="256"/>
          <w:tblHeader/>
          <w:jc w:val="center"/>
        </w:trPr>
        <w:tc>
          <w:tcPr>
            <w:tcW w:w="3890" w:type="dxa"/>
            <w:vAlign w:val="bottom"/>
          </w:tcPr>
          <w:p w14:paraId="2F79FB32" w14:textId="77777777" w:rsidR="00437109" w:rsidRPr="00853F57" w:rsidRDefault="00437109" w:rsidP="00F6167B">
            <w:pPr>
              <w:jc w:val="center"/>
              <w:rPr>
                <w:rFonts w:ascii="Arial" w:hAnsi="Arial" w:cs="Arial"/>
                <w:color w:val="000000" w:themeColor="text1"/>
                <w:sz w:val="18"/>
                <w:lang w:val="en-GB"/>
              </w:rPr>
            </w:pPr>
            <w:r w:rsidRPr="00853F57">
              <w:rPr>
                <w:rFonts w:ascii="Arial" w:hAnsi="Arial" w:cs="Arial"/>
                <w:b/>
                <w:bCs/>
                <w:color w:val="000000" w:themeColor="text1"/>
                <w:sz w:val="18"/>
                <w:lang w:val="en-GB"/>
              </w:rPr>
              <w:t>Company</w:t>
            </w:r>
          </w:p>
        </w:tc>
        <w:tc>
          <w:tcPr>
            <w:tcW w:w="2025" w:type="dxa"/>
            <w:vAlign w:val="bottom"/>
          </w:tcPr>
          <w:p w14:paraId="75A66AAD" w14:textId="77777777" w:rsidR="00437109" w:rsidRPr="00853F57" w:rsidRDefault="00437109" w:rsidP="00F6167B">
            <w:pPr>
              <w:jc w:val="center"/>
              <w:rPr>
                <w:rFonts w:ascii="Arial" w:hAnsi="Arial" w:cs="Arial"/>
                <w:color w:val="000000" w:themeColor="text1"/>
                <w:sz w:val="18"/>
                <w:lang w:val="en-GB"/>
              </w:rPr>
            </w:pPr>
            <w:r w:rsidRPr="00853F57">
              <w:rPr>
                <w:rFonts w:ascii="Arial" w:hAnsi="Arial" w:cs="Arial"/>
                <w:b/>
                <w:bCs/>
                <w:color w:val="000000" w:themeColor="text1"/>
                <w:sz w:val="18"/>
                <w:lang w:val="en-GB"/>
              </w:rPr>
              <w:t>2016</w:t>
            </w:r>
          </w:p>
        </w:tc>
        <w:tc>
          <w:tcPr>
            <w:tcW w:w="2025" w:type="dxa"/>
            <w:vAlign w:val="bottom"/>
          </w:tcPr>
          <w:p w14:paraId="0C5773EC" w14:textId="77777777" w:rsidR="00437109" w:rsidRPr="00853F57" w:rsidRDefault="00437109" w:rsidP="00F6167B">
            <w:pPr>
              <w:jc w:val="center"/>
              <w:rPr>
                <w:rFonts w:ascii="Arial" w:hAnsi="Arial" w:cs="Arial"/>
                <w:color w:val="000000" w:themeColor="text1"/>
                <w:sz w:val="18"/>
                <w:lang w:val="en-GB"/>
              </w:rPr>
            </w:pPr>
            <w:r w:rsidRPr="00853F57">
              <w:rPr>
                <w:rFonts w:ascii="Arial" w:hAnsi="Arial" w:cs="Arial"/>
                <w:b/>
                <w:bCs/>
                <w:color w:val="000000" w:themeColor="text1"/>
                <w:sz w:val="18"/>
                <w:lang w:val="en-GB"/>
              </w:rPr>
              <w:t>2020</w:t>
            </w:r>
          </w:p>
        </w:tc>
      </w:tr>
      <w:tr w:rsidR="00437109" w:rsidRPr="00853F57" w14:paraId="29A84CF6" w14:textId="77777777" w:rsidTr="00002121">
        <w:trPr>
          <w:trHeight w:val="241"/>
          <w:tblHeader/>
          <w:jc w:val="center"/>
        </w:trPr>
        <w:tc>
          <w:tcPr>
            <w:tcW w:w="3890" w:type="dxa"/>
            <w:vAlign w:val="bottom"/>
          </w:tcPr>
          <w:p w14:paraId="2F0B39FA" w14:textId="77777777" w:rsidR="00437109" w:rsidRPr="00853F57" w:rsidRDefault="00437109" w:rsidP="00F6167B">
            <w:pPr>
              <w:jc w:val="both"/>
              <w:rPr>
                <w:rFonts w:ascii="Arial" w:hAnsi="Arial" w:cs="Arial"/>
                <w:color w:val="000000" w:themeColor="text1"/>
                <w:sz w:val="18"/>
                <w:lang w:val="en-GB"/>
              </w:rPr>
            </w:pPr>
            <w:r w:rsidRPr="00853F57">
              <w:rPr>
                <w:rFonts w:ascii="Arial" w:hAnsi="Arial" w:cs="Arial"/>
                <w:color w:val="000000" w:themeColor="text1"/>
                <w:sz w:val="18"/>
                <w:lang w:val="en-GB"/>
              </w:rPr>
              <w:t>Holcim Philippines Inc.</w:t>
            </w:r>
          </w:p>
        </w:tc>
        <w:tc>
          <w:tcPr>
            <w:tcW w:w="2025" w:type="dxa"/>
            <w:vAlign w:val="bottom"/>
          </w:tcPr>
          <w:p w14:paraId="5CBBEC08"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8,000</w:t>
            </w:r>
          </w:p>
        </w:tc>
        <w:tc>
          <w:tcPr>
            <w:tcW w:w="2025" w:type="dxa"/>
            <w:vAlign w:val="bottom"/>
          </w:tcPr>
          <w:p w14:paraId="305AE24C"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12,000</w:t>
            </w:r>
          </w:p>
        </w:tc>
      </w:tr>
      <w:tr w:rsidR="00437109" w:rsidRPr="00853F57" w14:paraId="2DDD30EE" w14:textId="77777777" w:rsidTr="00002121">
        <w:trPr>
          <w:trHeight w:val="256"/>
          <w:tblHeader/>
          <w:jc w:val="center"/>
        </w:trPr>
        <w:tc>
          <w:tcPr>
            <w:tcW w:w="3890" w:type="dxa"/>
            <w:vAlign w:val="bottom"/>
          </w:tcPr>
          <w:p w14:paraId="389D3A8E" w14:textId="77777777" w:rsidR="00437109" w:rsidRPr="00853F57" w:rsidRDefault="00437109" w:rsidP="00F6167B">
            <w:pPr>
              <w:jc w:val="both"/>
              <w:rPr>
                <w:rFonts w:ascii="Arial" w:hAnsi="Arial" w:cs="Arial"/>
                <w:color w:val="000000" w:themeColor="text1"/>
                <w:sz w:val="18"/>
                <w:lang w:val="en-GB"/>
              </w:rPr>
            </w:pPr>
            <w:r w:rsidRPr="00853F57">
              <w:rPr>
                <w:rFonts w:ascii="Arial" w:hAnsi="Arial" w:cs="Arial"/>
                <w:color w:val="000000" w:themeColor="text1"/>
                <w:sz w:val="18"/>
                <w:lang w:val="en-GB"/>
              </w:rPr>
              <w:t>Republic Cement Group</w:t>
            </w:r>
          </w:p>
        </w:tc>
        <w:tc>
          <w:tcPr>
            <w:tcW w:w="2025" w:type="dxa"/>
            <w:vAlign w:val="bottom"/>
          </w:tcPr>
          <w:p w14:paraId="02DC347A"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7,000</w:t>
            </w:r>
          </w:p>
        </w:tc>
        <w:tc>
          <w:tcPr>
            <w:tcW w:w="2025" w:type="dxa"/>
            <w:vAlign w:val="bottom"/>
          </w:tcPr>
          <w:p w14:paraId="54D5EC75"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10,000</w:t>
            </w:r>
          </w:p>
        </w:tc>
      </w:tr>
      <w:tr w:rsidR="00437109" w:rsidRPr="00853F57" w14:paraId="20644E4E" w14:textId="77777777" w:rsidTr="00002121">
        <w:trPr>
          <w:trHeight w:val="256"/>
          <w:tblHeader/>
          <w:jc w:val="center"/>
        </w:trPr>
        <w:tc>
          <w:tcPr>
            <w:tcW w:w="3890" w:type="dxa"/>
            <w:vAlign w:val="bottom"/>
          </w:tcPr>
          <w:p w14:paraId="19AADE93" w14:textId="14C6A25D" w:rsidR="00437109" w:rsidRPr="00853F57" w:rsidRDefault="00180572" w:rsidP="00F6167B">
            <w:pPr>
              <w:jc w:val="both"/>
              <w:rPr>
                <w:rFonts w:ascii="Arial" w:hAnsi="Arial" w:cs="Arial"/>
                <w:color w:val="000000" w:themeColor="text1"/>
                <w:sz w:val="18"/>
                <w:lang w:val="en-GB"/>
              </w:rPr>
            </w:pPr>
            <w:r w:rsidRPr="00853F57">
              <w:rPr>
                <w:rFonts w:ascii="Arial" w:hAnsi="Arial" w:cs="Arial"/>
                <w:color w:val="000000" w:themeColor="text1"/>
                <w:sz w:val="18"/>
                <w:lang w:val="en-GB"/>
              </w:rPr>
              <w:t>CEMEX</w:t>
            </w:r>
            <w:r w:rsidR="00437109" w:rsidRPr="00853F57">
              <w:rPr>
                <w:rFonts w:ascii="Arial" w:hAnsi="Arial" w:cs="Arial"/>
                <w:color w:val="000000" w:themeColor="text1"/>
                <w:sz w:val="18"/>
                <w:lang w:val="en-GB"/>
              </w:rPr>
              <w:t xml:space="preserve"> Holdings Philippines Inc.</w:t>
            </w:r>
          </w:p>
        </w:tc>
        <w:tc>
          <w:tcPr>
            <w:tcW w:w="2025" w:type="dxa"/>
            <w:vAlign w:val="bottom"/>
          </w:tcPr>
          <w:p w14:paraId="4B296526"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5,700</w:t>
            </w:r>
          </w:p>
        </w:tc>
        <w:tc>
          <w:tcPr>
            <w:tcW w:w="2025" w:type="dxa"/>
            <w:vAlign w:val="bottom"/>
          </w:tcPr>
          <w:p w14:paraId="0E1A420B"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7,200</w:t>
            </w:r>
          </w:p>
        </w:tc>
      </w:tr>
      <w:tr w:rsidR="00437109" w:rsidRPr="00853F57" w14:paraId="2A181706" w14:textId="77777777" w:rsidTr="00002121">
        <w:trPr>
          <w:trHeight w:val="241"/>
          <w:tblHeader/>
          <w:jc w:val="center"/>
        </w:trPr>
        <w:tc>
          <w:tcPr>
            <w:tcW w:w="3890" w:type="dxa"/>
            <w:vAlign w:val="bottom"/>
          </w:tcPr>
          <w:p w14:paraId="431CC38D" w14:textId="77777777" w:rsidR="00437109" w:rsidRPr="00853F57" w:rsidRDefault="00437109" w:rsidP="00F6167B">
            <w:pPr>
              <w:jc w:val="both"/>
              <w:rPr>
                <w:rFonts w:ascii="Arial" w:hAnsi="Arial" w:cs="Arial"/>
                <w:color w:val="000000" w:themeColor="text1"/>
                <w:sz w:val="18"/>
                <w:lang w:val="en-GB"/>
              </w:rPr>
            </w:pPr>
            <w:r w:rsidRPr="00853F57">
              <w:rPr>
                <w:rFonts w:ascii="Arial" w:hAnsi="Arial" w:cs="Arial"/>
                <w:color w:val="000000" w:themeColor="text1"/>
                <w:sz w:val="18"/>
                <w:lang w:val="en-GB"/>
              </w:rPr>
              <w:t>Eagle Cement Corporation</w:t>
            </w:r>
          </w:p>
        </w:tc>
        <w:tc>
          <w:tcPr>
            <w:tcW w:w="2025" w:type="dxa"/>
            <w:vAlign w:val="bottom"/>
          </w:tcPr>
          <w:p w14:paraId="4186E16C"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5,100</w:t>
            </w:r>
          </w:p>
        </w:tc>
        <w:tc>
          <w:tcPr>
            <w:tcW w:w="2025" w:type="dxa"/>
            <w:vAlign w:val="bottom"/>
          </w:tcPr>
          <w:p w14:paraId="6E82C6F8"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color w:val="000000" w:themeColor="text1"/>
                <w:sz w:val="18"/>
                <w:lang w:val="en-GB"/>
              </w:rPr>
              <w:t>9,100</w:t>
            </w:r>
          </w:p>
        </w:tc>
      </w:tr>
      <w:tr w:rsidR="00437109" w:rsidRPr="00853F57" w14:paraId="1536CBB2" w14:textId="77777777" w:rsidTr="00002121">
        <w:trPr>
          <w:trHeight w:val="256"/>
          <w:tblHeader/>
          <w:jc w:val="center"/>
        </w:trPr>
        <w:tc>
          <w:tcPr>
            <w:tcW w:w="3890" w:type="dxa"/>
            <w:vAlign w:val="bottom"/>
          </w:tcPr>
          <w:p w14:paraId="79380FA0" w14:textId="77777777" w:rsidR="00437109" w:rsidRPr="00853F57" w:rsidRDefault="00437109" w:rsidP="00F6167B">
            <w:pPr>
              <w:jc w:val="both"/>
              <w:rPr>
                <w:rFonts w:ascii="Arial" w:hAnsi="Arial" w:cs="Arial"/>
                <w:color w:val="000000" w:themeColor="text1"/>
                <w:sz w:val="18"/>
                <w:lang w:val="en-GB"/>
              </w:rPr>
            </w:pPr>
            <w:r w:rsidRPr="00853F57">
              <w:rPr>
                <w:rFonts w:ascii="Arial" w:hAnsi="Arial" w:cs="Arial"/>
                <w:b/>
                <w:bCs/>
                <w:color w:val="000000" w:themeColor="text1"/>
                <w:sz w:val="18"/>
                <w:lang w:val="en-GB"/>
              </w:rPr>
              <w:t>Total</w:t>
            </w:r>
          </w:p>
        </w:tc>
        <w:tc>
          <w:tcPr>
            <w:tcW w:w="2025" w:type="dxa"/>
            <w:vAlign w:val="bottom"/>
          </w:tcPr>
          <w:p w14:paraId="76BC7425"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b/>
                <w:bCs/>
                <w:color w:val="000000" w:themeColor="text1"/>
                <w:sz w:val="18"/>
                <w:lang w:val="en-GB"/>
              </w:rPr>
              <w:t>25,800</w:t>
            </w:r>
          </w:p>
        </w:tc>
        <w:tc>
          <w:tcPr>
            <w:tcW w:w="2025" w:type="dxa"/>
            <w:vAlign w:val="bottom"/>
          </w:tcPr>
          <w:p w14:paraId="36C09592" w14:textId="77777777" w:rsidR="00437109" w:rsidRPr="00853F57" w:rsidRDefault="00437109" w:rsidP="00034CB9">
            <w:pPr>
              <w:ind w:right="140"/>
              <w:jc w:val="right"/>
              <w:rPr>
                <w:rFonts w:ascii="Arial" w:hAnsi="Arial" w:cs="Arial"/>
                <w:color w:val="000000" w:themeColor="text1"/>
                <w:sz w:val="18"/>
                <w:lang w:val="en-GB"/>
              </w:rPr>
            </w:pPr>
            <w:r w:rsidRPr="00853F57">
              <w:rPr>
                <w:rFonts w:ascii="Arial" w:hAnsi="Arial" w:cs="Arial"/>
                <w:b/>
                <w:bCs/>
                <w:color w:val="000000" w:themeColor="text1"/>
                <w:sz w:val="18"/>
                <w:lang w:val="en-GB"/>
              </w:rPr>
              <w:t>38,300</w:t>
            </w:r>
          </w:p>
        </w:tc>
      </w:tr>
    </w:tbl>
    <w:p w14:paraId="72313457" w14:textId="77777777" w:rsidR="00437109" w:rsidRPr="00853F57" w:rsidRDefault="00437109" w:rsidP="00437109">
      <w:pPr>
        <w:pStyle w:val="Footnote"/>
        <w:rPr>
          <w:lang w:val="en-GB"/>
        </w:rPr>
      </w:pPr>
    </w:p>
    <w:p w14:paraId="64B1F526" w14:textId="78B7A3CC" w:rsidR="00437109" w:rsidRPr="00853F57" w:rsidRDefault="00437109" w:rsidP="00437109">
      <w:pPr>
        <w:pStyle w:val="Footnote"/>
        <w:rPr>
          <w:color w:val="000000" w:themeColor="text1"/>
          <w:sz w:val="20"/>
          <w:szCs w:val="20"/>
          <w:lang w:val="en-GB"/>
        </w:rPr>
      </w:pPr>
      <w:r w:rsidRPr="00853F57">
        <w:rPr>
          <w:color w:val="000000" w:themeColor="text1"/>
          <w:lang w:val="en-GB"/>
        </w:rPr>
        <w:t xml:space="preserve">Source: </w:t>
      </w:r>
      <w:r w:rsidR="00D1024E" w:rsidRPr="00853F57">
        <w:rPr>
          <w:color w:val="000000" w:themeColor="text1"/>
          <w:lang w:val="en-GB"/>
        </w:rPr>
        <w:t xml:space="preserve">Created by case authors based on data from </w:t>
      </w:r>
      <w:r w:rsidRPr="00853F57">
        <w:rPr>
          <w:color w:val="000000" w:themeColor="text1"/>
          <w:lang w:val="en-GB"/>
        </w:rPr>
        <w:t>Global Cement Staff, “Holcim Philippines to Bring on Extra 2Mt/</w:t>
      </w:r>
      <w:proofErr w:type="spellStart"/>
      <w:r w:rsidRPr="00853F57">
        <w:rPr>
          <w:color w:val="000000" w:themeColor="text1"/>
          <w:lang w:val="en-GB"/>
        </w:rPr>
        <w:t>yr</w:t>
      </w:r>
      <w:proofErr w:type="spellEnd"/>
      <w:r w:rsidRPr="00853F57">
        <w:rPr>
          <w:color w:val="000000" w:themeColor="text1"/>
          <w:lang w:val="en-GB"/>
        </w:rPr>
        <w:t xml:space="preserve"> through Debottlenecking,” </w:t>
      </w:r>
      <w:r w:rsidRPr="00034CB9">
        <w:rPr>
          <w:iCs/>
          <w:color w:val="000000" w:themeColor="text1"/>
          <w:lang w:val="en-GB"/>
        </w:rPr>
        <w:t>Global Cement</w:t>
      </w:r>
      <w:r w:rsidRPr="00853F57">
        <w:rPr>
          <w:iCs/>
          <w:color w:val="000000" w:themeColor="text1"/>
          <w:lang w:val="en-GB"/>
        </w:rPr>
        <w:t>,</w:t>
      </w:r>
      <w:r w:rsidRPr="00853F57">
        <w:rPr>
          <w:color w:val="000000" w:themeColor="text1"/>
          <w:lang w:val="en-GB"/>
        </w:rPr>
        <w:t xml:space="preserve"> May 26, 2017, accessed </w:t>
      </w:r>
      <w:r w:rsidRPr="00853F57">
        <w:rPr>
          <w:rFonts w:eastAsiaTheme="minorHAnsi"/>
          <w:color w:val="000000" w:themeColor="text1"/>
          <w:lang w:val="en-GB"/>
        </w:rPr>
        <w:t>September 22, 2020</w:t>
      </w:r>
      <w:r w:rsidRPr="00853F57">
        <w:rPr>
          <w:color w:val="000000" w:themeColor="text1"/>
          <w:lang w:val="en-GB"/>
        </w:rPr>
        <w:t xml:space="preserve">, www.globalcement.com/news/item/6155-holcim-philippines-to-bring-on-extra-2mt-yr-through-debottlenecking; </w:t>
      </w:r>
      <w:proofErr w:type="spellStart"/>
      <w:r w:rsidRPr="00853F57">
        <w:rPr>
          <w:color w:val="000000" w:themeColor="text1"/>
          <w:lang w:val="en-GB"/>
        </w:rPr>
        <w:t>Danessa</w:t>
      </w:r>
      <w:proofErr w:type="spellEnd"/>
      <w:r w:rsidRPr="00853F57">
        <w:rPr>
          <w:color w:val="000000" w:themeColor="text1"/>
          <w:lang w:val="en-GB"/>
        </w:rPr>
        <w:t xml:space="preserve"> Rivera, “Republic Cement to Raise Capacity,” </w:t>
      </w:r>
      <w:r w:rsidRPr="00853F57">
        <w:rPr>
          <w:i/>
          <w:color w:val="000000" w:themeColor="text1"/>
          <w:lang w:val="en-GB"/>
        </w:rPr>
        <w:t>Philippine Star</w:t>
      </w:r>
      <w:r w:rsidRPr="00853F57">
        <w:rPr>
          <w:color w:val="000000" w:themeColor="text1"/>
          <w:lang w:val="en-GB"/>
        </w:rPr>
        <w:t xml:space="preserve">, September 18, 2017, accessed </w:t>
      </w:r>
      <w:r w:rsidRPr="00853F57">
        <w:rPr>
          <w:rFonts w:eastAsiaTheme="minorHAnsi"/>
          <w:color w:val="000000" w:themeColor="text1"/>
          <w:lang w:val="en-GB"/>
        </w:rPr>
        <w:t>September 22, 2020</w:t>
      </w:r>
      <w:r w:rsidRPr="00853F57">
        <w:rPr>
          <w:color w:val="000000" w:themeColor="text1"/>
          <w:lang w:val="en-GB"/>
        </w:rPr>
        <w:t xml:space="preserve">, www.philstar.com/business/2017/09/19/1740381/republic-cement-raise-capacity; Iris Gonzales, “Cemex Plans Additional Capacity in Philippines by 2019,” </w:t>
      </w:r>
      <w:r w:rsidRPr="00853F57">
        <w:rPr>
          <w:i/>
          <w:color w:val="000000" w:themeColor="text1"/>
          <w:lang w:val="en-GB"/>
        </w:rPr>
        <w:t>Philippine Star</w:t>
      </w:r>
      <w:r w:rsidRPr="00853F57">
        <w:rPr>
          <w:color w:val="000000" w:themeColor="text1"/>
          <w:lang w:val="en-GB"/>
        </w:rPr>
        <w:t xml:space="preserve">, June 20, 2016, accessed </w:t>
      </w:r>
      <w:r w:rsidRPr="00853F57">
        <w:rPr>
          <w:rFonts w:eastAsiaTheme="minorHAnsi"/>
          <w:color w:val="000000" w:themeColor="text1"/>
          <w:lang w:val="en-GB"/>
        </w:rPr>
        <w:t xml:space="preserve">September 22, 2020, </w:t>
      </w:r>
      <w:r w:rsidRPr="00853F57">
        <w:rPr>
          <w:color w:val="000000" w:themeColor="text1"/>
          <w:lang w:val="en-GB"/>
        </w:rPr>
        <w:t xml:space="preserve">www.philstar.com/business/2016/06/20/1594537/cemex-plans-additional-capacity-philippines-2019; Eagle Cement, “Eagle Cement Breaks Ground on its P12.5-B Integrated Cement Plant in Cebu,” November 22, 2017, accessed </w:t>
      </w:r>
      <w:r w:rsidRPr="00853F57">
        <w:rPr>
          <w:rFonts w:eastAsiaTheme="minorHAnsi"/>
          <w:color w:val="000000" w:themeColor="text1"/>
          <w:lang w:val="en-GB"/>
        </w:rPr>
        <w:t>September 22, 2020</w:t>
      </w:r>
      <w:r w:rsidRPr="00853F57">
        <w:rPr>
          <w:color w:val="000000" w:themeColor="text1"/>
          <w:lang w:val="en-GB"/>
        </w:rPr>
        <w:t>, www.eaglecement.com.ph/article/eagle-cement-breaks-ground-on-its-p12-5-b-integrated-cement-plant-in-cebu/5.</w:t>
      </w:r>
      <w:r w:rsidRPr="00853F57">
        <w:rPr>
          <w:color w:val="000000" w:themeColor="text1"/>
          <w:sz w:val="20"/>
          <w:szCs w:val="20"/>
          <w:lang w:val="en-GB"/>
        </w:rPr>
        <w:t xml:space="preserve"> </w:t>
      </w:r>
      <w:r w:rsidRPr="00853F57">
        <w:rPr>
          <w:color w:val="000000" w:themeColor="text1"/>
          <w:sz w:val="20"/>
          <w:szCs w:val="20"/>
          <w:lang w:val="en-GB"/>
        </w:rPr>
        <w:br w:type="page"/>
      </w:r>
    </w:p>
    <w:p w14:paraId="4941F062" w14:textId="498FC624" w:rsidR="00437109" w:rsidRPr="00853F57" w:rsidRDefault="00437109" w:rsidP="00437109">
      <w:pPr>
        <w:jc w:val="center"/>
        <w:rPr>
          <w:rFonts w:ascii="Arial" w:hAnsi="Arial" w:cs="Arial"/>
          <w:b/>
          <w:caps/>
          <w:color w:val="000000" w:themeColor="text1"/>
          <w:lang w:val="en-GB"/>
        </w:rPr>
      </w:pPr>
      <w:r w:rsidRPr="00853F57">
        <w:rPr>
          <w:rFonts w:ascii="Arial" w:hAnsi="Arial" w:cs="Arial"/>
          <w:b/>
          <w:caps/>
          <w:color w:val="000000" w:themeColor="text1"/>
          <w:lang w:val="en-GB"/>
        </w:rPr>
        <w:lastRenderedPageBreak/>
        <w:t xml:space="preserve">Exhibit </w:t>
      </w:r>
      <w:r w:rsidR="00251D7E" w:rsidRPr="00853F57">
        <w:rPr>
          <w:rFonts w:ascii="Arial" w:hAnsi="Arial" w:cs="Arial"/>
          <w:b/>
          <w:caps/>
          <w:color w:val="000000" w:themeColor="text1"/>
          <w:lang w:val="en-GB"/>
        </w:rPr>
        <w:t>5</w:t>
      </w:r>
      <w:r w:rsidRPr="00853F57">
        <w:rPr>
          <w:rFonts w:ascii="Arial" w:hAnsi="Arial" w:cs="Arial"/>
          <w:b/>
          <w:caps/>
          <w:color w:val="000000" w:themeColor="text1"/>
          <w:lang w:val="en-GB"/>
        </w:rPr>
        <w:t xml:space="preserve">: </w:t>
      </w:r>
      <w:r w:rsidR="00345AA3" w:rsidRPr="00853F57">
        <w:rPr>
          <w:rFonts w:ascii="Arial" w:hAnsi="Arial" w:cs="Arial"/>
          <w:b/>
          <w:caps/>
          <w:color w:val="000000" w:themeColor="text1"/>
          <w:lang w:val="en-GB"/>
        </w:rPr>
        <w:t>Holcim Philippines Inc.</w:t>
      </w:r>
      <w:r w:rsidR="00FA17FB">
        <w:rPr>
          <w:rFonts w:ascii="Arial" w:hAnsi="Arial" w:cs="Arial"/>
          <w:b/>
          <w:caps/>
          <w:color w:val="000000" w:themeColor="text1"/>
          <w:lang w:val="en-GB"/>
        </w:rPr>
        <w:t xml:space="preserve"> </w:t>
      </w:r>
      <w:r w:rsidRPr="00853F57">
        <w:rPr>
          <w:rFonts w:ascii="Arial" w:hAnsi="Arial" w:cs="Arial"/>
          <w:b/>
          <w:caps/>
          <w:color w:val="000000" w:themeColor="text1"/>
          <w:lang w:val="en-GB"/>
        </w:rPr>
        <w:t xml:space="preserve">Income Statement for Year Ending December 31 (In </w:t>
      </w:r>
      <w:r w:rsidRPr="00853F57">
        <w:rPr>
          <w:rFonts w:ascii="Arial" w:hAnsi="Arial" w:cs="Arial"/>
          <w:b/>
          <w:bCs/>
          <w:color w:val="000000" w:themeColor="text1"/>
          <w:lang w:val="en-GB"/>
        </w:rPr>
        <w:t xml:space="preserve">₱ </w:t>
      </w:r>
      <w:r w:rsidR="00FA17FB">
        <w:rPr>
          <w:rFonts w:ascii="Arial" w:hAnsi="Arial" w:cs="Arial"/>
          <w:b/>
          <w:bCs/>
          <w:color w:val="000000" w:themeColor="text1"/>
          <w:lang w:val="en-GB"/>
        </w:rPr>
        <w:t>THOUSAND</w:t>
      </w:r>
      <w:r w:rsidRPr="00853F57">
        <w:rPr>
          <w:rFonts w:ascii="Arial" w:hAnsi="Arial" w:cs="Arial"/>
          <w:b/>
          <w:bCs/>
          <w:color w:val="000000" w:themeColor="text1"/>
          <w:lang w:val="en-GB"/>
        </w:rPr>
        <w:t>)</w:t>
      </w:r>
    </w:p>
    <w:p w14:paraId="01AFC67B" w14:textId="77777777" w:rsidR="00437109" w:rsidRPr="00853F57" w:rsidRDefault="00437109" w:rsidP="00437109">
      <w:pPr>
        <w:rPr>
          <w:rFonts w:ascii="Arial" w:hAnsi="Arial" w:cs="Arial"/>
          <w:b/>
          <w:caps/>
          <w:color w:val="000000" w:themeColor="text1"/>
          <w:lang w:val="en-GB"/>
        </w:rPr>
      </w:pPr>
    </w:p>
    <w:tbl>
      <w:tblPr>
        <w:tblW w:w="9431" w:type="dxa"/>
        <w:tblLook w:val="04A0" w:firstRow="1" w:lastRow="0" w:firstColumn="1" w:lastColumn="0" w:noHBand="0" w:noVBand="1"/>
        <w:tblCaption w:val="Exhibit 5"/>
        <w:tblDescription w:val="Holcim Phillipines Inc. income statement for year ending December 31"/>
      </w:tblPr>
      <w:tblGrid>
        <w:gridCol w:w="3211"/>
        <w:gridCol w:w="1289"/>
        <w:gridCol w:w="1237"/>
        <w:gridCol w:w="1237"/>
        <w:gridCol w:w="1310"/>
        <w:gridCol w:w="1237"/>
      </w:tblGrid>
      <w:tr w:rsidR="00437109" w:rsidRPr="00853F57" w14:paraId="009E1195" w14:textId="77777777" w:rsidTr="00E30F09">
        <w:trPr>
          <w:trHeight w:val="198"/>
          <w:tblHeader/>
        </w:trPr>
        <w:tc>
          <w:tcPr>
            <w:tcW w:w="3211" w:type="dxa"/>
            <w:tcBorders>
              <w:top w:val="single" w:sz="4" w:space="0" w:color="auto"/>
              <w:left w:val="nil"/>
              <w:bottom w:val="single" w:sz="4" w:space="0" w:color="auto"/>
              <w:right w:val="nil"/>
            </w:tcBorders>
            <w:shd w:val="clear" w:color="auto" w:fill="auto"/>
            <w:noWrap/>
            <w:vAlign w:val="bottom"/>
            <w:hideMark/>
          </w:tcPr>
          <w:p w14:paraId="4F5E1F38" w14:textId="77777777" w:rsidR="00437109" w:rsidRPr="00853F57" w:rsidRDefault="00437109" w:rsidP="00F6167B">
            <w:pPr>
              <w:jc w:val="center"/>
              <w:rPr>
                <w:rFonts w:ascii="Arial" w:hAnsi="Arial" w:cs="Arial"/>
                <w:color w:val="000000" w:themeColor="text1"/>
                <w:sz w:val="18"/>
                <w:szCs w:val="16"/>
                <w:lang w:val="en-GB"/>
              </w:rPr>
            </w:pPr>
          </w:p>
        </w:tc>
        <w:tc>
          <w:tcPr>
            <w:tcW w:w="1289" w:type="dxa"/>
            <w:tcBorders>
              <w:top w:val="single" w:sz="4" w:space="0" w:color="auto"/>
              <w:left w:val="nil"/>
              <w:bottom w:val="single" w:sz="4" w:space="0" w:color="auto"/>
              <w:right w:val="nil"/>
            </w:tcBorders>
            <w:shd w:val="clear" w:color="auto" w:fill="auto"/>
            <w:noWrap/>
            <w:vAlign w:val="bottom"/>
            <w:hideMark/>
          </w:tcPr>
          <w:p w14:paraId="68E08C92" w14:textId="77777777" w:rsidR="00437109" w:rsidRPr="00853F57" w:rsidRDefault="00437109" w:rsidP="00F6167B">
            <w:pPr>
              <w:jc w:val="cente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2014</w:t>
            </w:r>
          </w:p>
        </w:tc>
        <w:tc>
          <w:tcPr>
            <w:tcW w:w="1207" w:type="dxa"/>
            <w:tcBorders>
              <w:top w:val="single" w:sz="4" w:space="0" w:color="auto"/>
              <w:left w:val="nil"/>
              <w:bottom w:val="single" w:sz="4" w:space="0" w:color="auto"/>
              <w:right w:val="nil"/>
            </w:tcBorders>
            <w:shd w:val="clear" w:color="auto" w:fill="auto"/>
            <w:noWrap/>
            <w:vAlign w:val="bottom"/>
            <w:hideMark/>
          </w:tcPr>
          <w:p w14:paraId="097DBD18" w14:textId="77777777" w:rsidR="00437109" w:rsidRPr="00853F57" w:rsidRDefault="00437109" w:rsidP="00F6167B">
            <w:pPr>
              <w:jc w:val="cente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2015</w:t>
            </w:r>
          </w:p>
        </w:tc>
        <w:tc>
          <w:tcPr>
            <w:tcW w:w="1207" w:type="dxa"/>
            <w:tcBorders>
              <w:top w:val="single" w:sz="4" w:space="0" w:color="auto"/>
              <w:left w:val="nil"/>
              <w:bottom w:val="single" w:sz="4" w:space="0" w:color="auto"/>
              <w:right w:val="nil"/>
            </w:tcBorders>
            <w:shd w:val="clear" w:color="auto" w:fill="auto"/>
            <w:noWrap/>
            <w:vAlign w:val="bottom"/>
            <w:hideMark/>
          </w:tcPr>
          <w:p w14:paraId="37CC0574" w14:textId="77777777" w:rsidR="00437109" w:rsidRPr="00853F57" w:rsidRDefault="00437109" w:rsidP="00F6167B">
            <w:pPr>
              <w:jc w:val="cente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2016</w:t>
            </w:r>
          </w:p>
        </w:tc>
        <w:tc>
          <w:tcPr>
            <w:tcW w:w="1310" w:type="dxa"/>
            <w:tcBorders>
              <w:top w:val="single" w:sz="4" w:space="0" w:color="auto"/>
              <w:left w:val="nil"/>
              <w:bottom w:val="single" w:sz="4" w:space="0" w:color="auto"/>
              <w:right w:val="nil"/>
            </w:tcBorders>
            <w:shd w:val="clear" w:color="auto" w:fill="auto"/>
            <w:noWrap/>
            <w:vAlign w:val="bottom"/>
            <w:hideMark/>
          </w:tcPr>
          <w:p w14:paraId="28FA14C6" w14:textId="77777777" w:rsidR="00437109" w:rsidRPr="00853F57" w:rsidRDefault="00437109" w:rsidP="00F6167B">
            <w:pPr>
              <w:jc w:val="cente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2017</w:t>
            </w:r>
          </w:p>
        </w:tc>
        <w:tc>
          <w:tcPr>
            <w:tcW w:w="1207" w:type="dxa"/>
            <w:tcBorders>
              <w:top w:val="single" w:sz="4" w:space="0" w:color="auto"/>
              <w:left w:val="nil"/>
              <w:bottom w:val="single" w:sz="4" w:space="0" w:color="auto"/>
              <w:right w:val="nil"/>
            </w:tcBorders>
            <w:shd w:val="clear" w:color="auto" w:fill="auto"/>
            <w:noWrap/>
            <w:vAlign w:val="bottom"/>
            <w:hideMark/>
          </w:tcPr>
          <w:p w14:paraId="1CFBBD68" w14:textId="77777777" w:rsidR="00437109" w:rsidRPr="00853F57" w:rsidRDefault="00437109" w:rsidP="00F6167B">
            <w:pPr>
              <w:jc w:val="cente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2018</w:t>
            </w:r>
          </w:p>
        </w:tc>
      </w:tr>
      <w:tr w:rsidR="00437109" w:rsidRPr="00853F57" w14:paraId="5D607C22" w14:textId="77777777" w:rsidTr="00E30F09">
        <w:trPr>
          <w:trHeight w:val="198"/>
          <w:tblHeader/>
        </w:trPr>
        <w:tc>
          <w:tcPr>
            <w:tcW w:w="3211" w:type="dxa"/>
            <w:tcBorders>
              <w:top w:val="nil"/>
              <w:left w:val="nil"/>
              <w:bottom w:val="nil"/>
              <w:right w:val="nil"/>
            </w:tcBorders>
            <w:shd w:val="clear" w:color="auto" w:fill="auto"/>
            <w:noWrap/>
            <w:vAlign w:val="bottom"/>
            <w:hideMark/>
          </w:tcPr>
          <w:p w14:paraId="4B152997" w14:textId="77777777"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Revenues</w:t>
            </w:r>
          </w:p>
        </w:tc>
        <w:tc>
          <w:tcPr>
            <w:tcW w:w="1289" w:type="dxa"/>
            <w:tcBorders>
              <w:top w:val="nil"/>
              <w:left w:val="nil"/>
              <w:bottom w:val="nil"/>
              <w:right w:val="nil"/>
            </w:tcBorders>
            <w:shd w:val="clear" w:color="auto" w:fill="auto"/>
            <w:noWrap/>
            <w:vAlign w:val="bottom"/>
            <w:hideMark/>
          </w:tcPr>
          <w:p w14:paraId="05E962FF"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32,648,659</w:t>
            </w:r>
          </w:p>
        </w:tc>
        <w:tc>
          <w:tcPr>
            <w:tcW w:w="1207" w:type="dxa"/>
            <w:tcBorders>
              <w:top w:val="nil"/>
              <w:left w:val="nil"/>
              <w:bottom w:val="nil"/>
              <w:right w:val="nil"/>
            </w:tcBorders>
            <w:shd w:val="clear" w:color="auto" w:fill="auto"/>
            <w:noWrap/>
            <w:vAlign w:val="bottom"/>
            <w:hideMark/>
          </w:tcPr>
          <w:p w14:paraId="6587871C"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37,526,055</w:t>
            </w:r>
          </w:p>
        </w:tc>
        <w:tc>
          <w:tcPr>
            <w:tcW w:w="1207" w:type="dxa"/>
            <w:tcBorders>
              <w:top w:val="nil"/>
              <w:left w:val="nil"/>
              <w:bottom w:val="nil"/>
              <w:right w:val="nil"/>
            </w:tcBorders>
            <w:shd w:val="clear" w:color="auto" w:fill="auto"/>
            <w:noWrap/>
            <w:vAlign w:val="bottom"/>
            <w:hideMark/>
          </w:tcPr>
          <w:p w14:paraId="1B57190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40,335,808</w:t>
            </w:r>
          </w:p>
        </w:tc>
        <w:tc>
          <w:tcPr>
            <w:tcW w:w="1310" w:type="dxa"/>
            <w:tcBorders>
              <w:top w:val="nil"/>
              <w:left w:val="nil"/>
              <w:bottom w:val="nil"/>
              <w:right w:val="nil"/>
            </w:tcBorders>
            <w:shd w:val="clear" w:color="auto" w:fill="auto"/>
            <w:noWrap/>
            <w:vAlign w:val="bottom"/>
            <w:hideMark/>
          </w:tcPr>
          <w:p w14:paraId="77683C44"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34,740,761</w:t>
            </w:r>
          </w:p>
        </w:tc>
        <w:tc>
          <w:tcPr>
            <w:tcW w:w="1207" w:type="dxa"/>
            <w:tcBorders>
              <w:top w:val="nil"/>
              <w:left w:val="nil"/>
              <w:bottom w:val="nil"/>
              <w:right w:val="nil"/>
            </w:tcBorders>
            <w:shd w:val="clear" w:color="auto" w:fill="auto"/>
            <w:noWrap/>
            <w:vAlign w:val="bottom"/>
            <w:hideMark/>
          </w:tcPr>
          <w:p w14:paraId="74DD004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35,623,113</w:t>
            </w:r>
          </w:p>
        </w:tc>
      </w:tr>
      <w:tr w:rsidR="00437109" w:rsidRPr="00853F57" w14:paraId="2A7AB764" w14:textId="77777777" w:rsidTr="00E30F09">
        <w:trPr>
          <w:trHeight w:val="198"/>
          <w:tblHeader/>
        </w:trPr>
        <w:tc>
          <w:tcPr>
            <w:tcW w:w="3211" w:type="dxa"/>
            <w:tcBorders>
              <w:top w:val="nil"/>
              <w:left w:val="nil"/>
              <w:bottom w:val="single" w:sz="4" w:space="0" w:color="auto"/>
              <w:right w:val="nil"/>
            </w:tcBorders>
            <w:shd w:val="clear" w:color="auto" w:fill="auto"/>
            <w:noWrap/>
            <w:vAlign w:val="bottom"/>
            <w:hideMark/>
          </w:tcPr>
          <w:p w14:paraId="5987042F" w14:textId="0E6B44D1"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Cost of </w:t>
            </w:r>
            <w:r w:rsidR="00DC6188" w:rsidRPr="00853F57">
              <w:rPr>
                <w:rFonts w:ascii="Arial" w:hAnsi="Arial" w:cs="Arial"/>
                <w:color w:val="000000" w:themeColor="text1"/>
                <w:sz w:val="18"/>
                <w:szCs w:val="16"/>
                <w:lang w:val="en-GB"/>
              </w:rPr>
              <w:t>Sales</w:t>
            </w:r>
          </w:p>
        </w:tc>
        <w:tc>
          <w:tcPr>
            <w:tcW w:w="1289" w:type="dxa"/>
            <w:tcBorders>
              <w:top w:val="nil"/>
              <w:left w:val="nil"/>
              <w:bottom w:val="single" w:sz="4" w:space="0" w:color="auto"/>
              <w:right w:val="nil"/>
            </w:tcBorders>
            <w:shd w:val="clear" w:color="auto" w:fill="auto"/>
            <w:noWrap/>
            <w:vAlign w:val="bottom"/>
            <w:hideMark/>
          </w:tcPr>
          <w:p w14:paraId="2BB86521"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(23,597,880)</w:t>
            </w:r>
          </w:p>
        </w:tc>
        <w:tc>
          <w:tcPr>
            <w:tcW w:w="1207" w:type="dxa"/>
            <w:tcBorders>
              <w:top w:val="nil"/>
              <w:left w:val="nil"/>
              <w:bottom w:val="single" w:sz="4" w:space="0" w:color="auto"/>
              <w:right w:val="nil"/>
            </w:tcBorders>
            <w:shd w:val="clear" w:color="auto" w:fill="auto"/>
            <w:noWrap/>
            <w:vAlign w:val="bottom"/>
            <w:hideMark/>
          </w:tcPr>
          <w:p w14:paraId="5C0C659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(27,248,041)</w:t>
            </w:r>
          </w:p>
        </w:tc>
        <w:tc>
          <w:tcPr>
            <w:tcW w:w="1207" w:type="dxa"/>
            <w:tcBorders>
              <w:top w:val="nil"/>
              <w:left w:val="nil"/>
              <w:bottom w:val="single" w:sz="4" w:space="0" w:color="auto"/>
              <w:right w:val="nil"/>
            </w:tcBorders>
            <w:shd w:val="clear" w:color="auto" w:fill="auto"/>
            <w:noWrap/>
            <w:vAlign w:val="bottom"/>
            <w:hideMark/>
          </w:tcPr>
          <w:p w14:paraId="62A28AC7"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(28,504,537)</w:t>
            </w:r>
          </w:p>
        </w:tc>
        <w:tc>
          <w:tcPr>
            <w:tcW w:w="1310" w:type="dxa"/>
            <w:tcBorders>
              <w:top w:val="nil"/>
              <w:left w:val="nil"/>
              <w:bottom w:val="single" w:sz="4" w:space="0" w:color="auto"/>
              <w:right w:val="nil"/>
            </w:tcBorders>
            <w:shd w:val="clear" w:color="auto" w:fill="auto"/>
            <w:noWrap/>
            <w:vAlign w:val="bottom"/>
            <w:hideMark/>
          </w:tcPr>
          <w:p w14:paraId="10B2D93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(28,494,422)</w:t>
            </w:r>
          </w:p>
        </w:tc>
        <w:tc>
          <w:tcPr>
            <w:tcW w:w="1207" w:type="dxa"/>
            <w:tcBorders>
              <w:top w:val="nil"/>
              <w:left w:val="nil"/>
              <w:bottom w:val="single" w:sz="4" w:space="0" w:color="auto"/>
              <w:right w:val="nil"/>
            </w:tcBorders>
            <w:shd w:val="clear" w:color="auto" w:fill="auto"/>
            <w:noWrap/>
            <w:vAlign w:val="bottom"/>
            <w:hideMark/>
          </w:tcPr>
          <w:p w14:paraId="38442CE2"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(29,850,205)</w:t>
            </w:r>
          </w:p>
        </w:tc>
      </w:tr>
      <w:tr w:rsidR="00437109" w:rsidRPr="00853F57" w14:paraId="41D961A3" w14:textId="77777777" w:rsidTr="00E30F09">
        <w:trPr>
          <w:trHeight w:val="198"/>
          <w:tblHeader/>
        </w:trPr>
        <w:tc>
          <w:tcPr>
            <w:tcW w:w="3211" w:type="dxa"/>
            <w:tcBorders>
              <w:top w:val="nil"/>
              <w:left w:val="nil"/>
              <w:bottom w:val="nil"/>
              <w:right w:val="nil"/>
            </w:tcBorders>
            <w:shd w:val="clear" w:color="auto" w:fill="auto"/>
            <w:noWrap/>
            <w:vAlign w:val="bottom"/>
            <w:hideMark/>
          </w:tcPr>
          <w:p w14:paraId="40DA3046" w14:textId="35203BED"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Gross </w:t>
            </w:r>
            <w:r w:rsidR="00DC6188" w:rsidRPr="00853F57">
              <w:rPr>
                <w:rFonts w:ascii="Arial" w:hAnsi="Arial" w:cs="Arial"/>
                <w:color w:val="000000" w:themeColor="text1"/>
                <w:sz w:val="18"/>
                <w:szCs w:val="16"/>
                <w:lang w:val="en-GB"/>
              </w:rPr>
              <w:t>Profit</w:t>
            </w:r>
          </w:p>
        </w:tc>
        <w:tc>
          <w:tcPr>
            <w:tcW w:w="1289" w:type="dxa"/>
            <w:tcBorders>
              <w:top w:val="nil"/>
              <w:left w:val="nil"/>
              <w:bottom w:val="nil"/>
              <w:right w:val="nil"/>
            </w:tcBorders>
            <w:shd w:val="clear" w:color="auto" w:fill="auto"/>
            <w:noWrap/>
            <w:vAlign w:val="bottom"/>
            <w:hideMark/>
          </w:tcPr>
          <w:p w14:paraId="0D7AC912"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9,050,779</w:t>
            </w:r>
          </w:p>
        </w:tc>
        <w:tc>
          <w:tcPr>
            <w:tcW w:w="1207" w:type="dxa"/>
            <w:tcBorders>
              <w:top w:val="nil"/>
              <w:left w:val="nil"/>
              <w:bottom w:val="nil"/>
              <w:right w:val="nil"/>
            </w:tcBorders>
            <w:shd w:val="clear" w:color="auto" w:fill="auto"/>
            <w:noWrap/>
            <w:vAlign w:val="bottom"/>
            <w:hideMark/>
          </w:tcPr>
          <w:p w14:paraId="3A8070A3"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10,278,014</w:t>
            </w:r>
          </w:p>
        </w:tc>
        <w:tc>
          <w:tcPr>
            <w:tcW w:w="1207" w:type="dxa"/>
            <w:tcBorders>
              <w:top w:val="nil"/>
              <w:left w:val="nil"/>
              <w:bottom w:val="nil"/>
              <w:right w:val="nil"/>
            </w:tcBorders>
            <w:shd w:val="clear" w:color="auto" w:fill="auto"/>
            <w:noWrap/>
            <w:vAlign w:val="bottom"/>
            <w:hideMark/>
          </w:tcPr>
          <w:p w14:paraId="6C6DE06C"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11,831,271</w:t>
            </w:r>
          </w:p>
        </w:tc>
        <w:tc>
          <w:tcPr>
            <w:tcW w:w="1310" w:type="dxa"/>
            <w:tcBorders>
              <w:top w:val="nil"/>
              <w:left w:val="nil"/>
              <w:bottom w:val="nil"/>
              <w:right w:val="nil"/>
            </w:tcBorders>
            <w:shd w:val="clear" w:color="auto" w:fill="auto"/>
            <w:noWrap/>
            <w:vAlign w:val="bottom"/>
            <w:hideMark/>
          </w:tcPr>
          <w:p w14:paraId="4E478CD0"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6,246,339</w:t>
            </w:r>
          </w:p>
        </w:tc>
        <w:tc>
          <w:tcPr>
            <w:tcW w:w="1207" w:type="dxa"/>
            <w:tcBorders>
              <w:top w:val="nil"/>
              <w:left w:val="nil"/>
              <w:bottom w:val="nil"/>
              <w:right w:val="nil"/>
            </w:tcBorders>
            <w:shd w:val="clear" w:color="auto" w:fill="auto"/>
            <w:noWrap/>
            <w:vAlign w:val="bottom"/>
            <w:hideMark/>
          </w:tcPr>
          <w:p w14:paraId="29F1F1E3"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5,772,908</w:t>
            </w:r>
          </w:p>
        </w:tc>
      </w:tr>
      <w:tr w:rsidR="00437109" w:rsidRPr="00853F57" w14:paraId="0789BD82" w14:textId="77777777" w:rsidTr="00E30F09">
        <w:trPr>
          <w:trHeight w:val="198"/>
          <w:tblHeader/>
        </w:trPr>
        <w:tc>
          <w:tcPr>
            <w:tcW w:w="3211" w:type="dxa"/>
            <w:tcBorders>
              <w:top w:val="nil"/>
              <w:left w:val="nil"/>
              <w:bottom w:val="nil"/>
              <w:right w:val="nil"/>
            </w:tcBorders>
            <w:shd w:val="clear" w:color="auto" w:fill="auto"/>
            <w:noWrap/>
            <w:vAlign w:val="bottom"/>
            <w:hideMark/>
          </w:tcPr>
          <w:p w14:paraId="4B8391B1" w14:textId="0592176D"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General </w:t>
            </w:r>
            <w:r w:rsidR="00DC6188" w:rsidRPr="00853F57">
              <w:rPr>
                <w:rFonts w:ascii="Arial" w:hAnsi="Arial" w:cs="Arial"/>
                <w:color w:val="000000" w:themeColor="text1"/>
                <w:sz w:val="18"/>
                <w:szCs w:val="16"/>
                <w:lang w:val="en-GB"/>
              </w:rPr>
              <w:t>and Administrative Expenses</w:t>
            </w:r>
          </w:p>
        </w:tc>
        <w:tc>
          <w:tcPr>
            <w:tcW w:w="1289" w:type="dxa"/>
            <w:tcBorders>
              <w:top w:val="nil"/>
              <w:left w:val="nil"/>
              <w:bottom w:val="nil"/>
              <w:right w:val="nil"/>
            </w:tcBorders>
            <w:shd w:val="clear" w:color="auto" w:fill="auto"/>
            <w:noWrap/>
            <w:vAlign w:val="bottom"/>
            <w:hideMark/>
          </w:tcPr>
          <w:p w14:paraId="1179073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(1,326,503)</w:t>
            </w:r>
          </w:p>
        </w:tc>
        <w:tc>
          <w:tcPr>
            <w:tcW w:w="1207" w:type="dxa"/>
            <w:tcBorders>
              <w:top w:val="nil"/>
              <w:left w:val="nil"/>
              <w:bottom w:val="nil"/>
              <w:right w:val="nil"/>
            </w:tcBorders>
            <w:shd w:val="clear" w:color="auto" w:fill="auto"/>
            <w:noWrap/>
            <w:vAlign w:val="bottom"/>
            <w:hideMark/>
          </w:tcPr>
          <w:p w14:paraId="6B16D9F7"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(2,105,567)</w:t>
            </w:r>
          </w:p>
        </w:tc>
        <w:tc>
          <w:tcPr>
            <w:tcW w:w="1207" w:type="dxa"/>
            <w:tcBorders>
              <w:top w:val="nil"/>
              <w:left w:val="nil"/>
              <w:bottom w:val="nil"/>
              <w:right w:val="nil"/>
            </w:tcBorders>
            <w:shd w:val="clear" w:color="auto" w:fill="auto"/>
            <w:noWrap/>
            <w:vAlign w:val="bottom"/>
            <w:hideMark/>
          </w:tcPr>
          <w:p w14:paraId="66B4C4C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(1,753,095)</w:t>
            </w:r>
          </w:p>
        </w:tc>
        <w:tc>
          <w:tcPr>
            <w:tcW w:w="1310" w:type="dxa"/>
            <w:tcBorders>
              <w:top w:val="nil"/>
              <w:left w:val="nil"/>
              <w:bottom w:val="nil"/>
              <w:right w:val="nil"/>
            </w:tcBorders>
            <w:shd w:val="clear" w:color="auto" w:fill="auto"/>
            <w:noWrap/>
            <w:vAlign w:val="bottom"/>
            <w:hideMark/>
          </w:tcPr>
          <w:p w14:paraId="3FEDDD6F"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(1,260,864)</w:t>
            </w:r>
          </w:p>
        </w:tc>
        <w:tc>
          <w:tcPr>
            <w:tcW w:w="1207" w:type="dxa"/>
            <w:tcBorders>
              <w:top w:val="nil"/>
              <w:left w:val="nil"/>
              <w:bottom w:val="nil"/>
              <w:right w:val="nil"/>
            </w:tcBorders>
            <w:shd w:val="clear" w:color="auto" w:fill="auto"/>
            <w:noWrap/>
            <w:vAlign w:val="bottom"/>
            <w:hideMark/>
          </w:tcPr>
          <w:p w14:paraId="2354CEAE"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(1,235,721)</w:t>
            </w:r>
          </w:p>
        </w:tc>
      </w:tr>
      <w:tr w:rsidR="00437109" w:rsidRPr="00853F57" w14:paraId="6466343C" w14:textId="77777777" w:rsidTr="00E30F09">
        <w:trPr>
          <w:trHeight w:val="198"/>
          <w:tblHeader/>
        </w:trPr>
        <w:tc>
          <w:tcPr>
            <w:tcW w:w="3211" w:type="dxa"/>
            <w:tcBorders>
              <w:top w:val="nil"/>
              <w:left w:val="nil"/>
              <w:bottom w:val="nil"/>
              <w:right w:val="nil"/>
            </w:tcBorders>
            <w:shd w:val="clear" w:color="auto" w:fill="auto"/>
            <w:noWrap/>
            <w:vAlign w:val="bottom"/>
            <w:hideMark/>
          </w:tcPr>
          <w:p w14:paraId="4A37E4F7" w14:textId="235F203B"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Selling </w:t>
            </w:r>
            <w:r w:rsidR="00DC6188" w:rsidRPr="00853F57">
              <w:rPr>
                <w:rFonts w:ascii="Arial" w:hAnsi="Arial" w:cs="Arial"/>
                <w:color w:val="000000" w:themeColor="text1"/>
                <w:sz w:val="18"/>
                <w:szCs w:val="16"/>
                <w:lang w:val="en-GB"/>
              </w:rPr>
              <w:t>Expenses</w:t>
            </w:r>
          </w:p>
        </w:tc>
        <w:tc>
          <w:tcPr>
            <w:tcW w:w="1289" w:type="dxa"/>
            <w:tcBorders>
              <w:top w:val="nil"/>
              <w:left w:val="nil"/>
              <w:bottom w:val="nil"/>
              <w:right w:val="nil"/>
            </w:tcBorders>
            <w:shd w:val="clear" w:color="auto" w:fill="auto"/>
            <w:noWrap/>
            <w:vAlign w:val="bottom"/>
            <w:hideMark/>
          </w:tcPr>
          <w:p w14:paraId="5D57AF2C"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(501,542)</w:t>
            </w:r>
          </w:p>
        </w:tc>
        <w:tc>
          <w:tcPr>
            <w:tcW w:w="1207" w:type="dxa"/>
            <w:tcBorders>
              <w:top w:val="nil"/>
              <w:left w:val="nil"/>
              <w:bottom w:val="nil"/>
              <w:right w:val="nil"/>
            </w:tcBorders>
            <w:shd w:val="clear" w:color="auto" w:fill="auto"/>
            <w:noWrap/>
            <w:vAlign w:val="bottom"/>
            <w:hideMark/>
          </w:tcPr>
          <w:p w14:paraId="07E803DA"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(583,740)</w:t>
            </w:r>
          </w:p>
        </w:tc>
        <w:tc>
          <w:tcPr>
            <w:tcW w:w="1207" w:type="dxa"/>
            <w:tcBorders>
              <w:top w:val="nil"/>
              <w:left w:val="nil"/>
              <w:bottom w:val="nil"/>
              <w:right w:val="nil"/>
            </w:tcBorders>
            <w:shd w:val="clear" w:color="auto" w:fill="auto"/>
            <w:noWrap/>
            <w:vAlign w:val="bottom"/>
            <w:hideMark/>
          </w:tcPr>
          <w:p w14:paraId="6AE88601"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(591,496)</w:t>
            </w:r>
          </w:p>
        </w:tc>
        <w:tc>
          <w:tcPr>
            <w:tcW w:w="1310" w:type="dxa"/>
            <w:tcBorders>
              <w:top w:val="nil"/>
              <w:left w:val="nil"/>
              <w:bottom w:val="nil"/>
              <w:right w:val="nil"/>
            </w:tcBorders>
            <w:shd w:val="clear" w:color="auto" w:fill="auto"/>
            <w:noWrap/>
            <w:vAlign w:val="bottom"/>
            <w:hideMark/>
          </w:tcPr>
          <w:p w14:paraId="7569BCF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(911,505)</w:t>
            </w:r>
          </w:p>
        </w:tc>
        <w:tc>
          <w:tcPr>
            <w:tcW w:w="1207" w:type="dxa"/>
            <w:tcBorders>
              <w:top w:val="nil"/>
              <w:left w:val="nil"/>
              <w:bottom w:val="nil"/>
              <w:right w:val="nil"/>
            </w:tcBorders>
            <w:shd w:val="clear" w:color="auto" w:fill="auto"/>
            <w:noWrap/>
            <w:vAlign w:val="bottom"/>
            <w:hideMark/>
          </w:tcPr>
          <w:p w14:paraId="74831915"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(815,597)</w:t>
            </w:r>
          </w:p>
        </w:tc>
      </w:tr>
      <w:tr w:rsidR="00437109" w:rsidRPr="00853F57" w14:paraId="57AC0ACC" w14:textId="77777777" w:rsidTr="00E30F09">
        <w:trPr>
          <w:trHeight w:val="198"/>
          <w:tblHeader/>
        </w:trPr>
        <w:tc>
          <w:tcPr>
            <w:tcW w:w="3211" w:type="dxa"/>
            <w:tcBorders>
              <w:top w:val="nil"/>
              <w:left w:val="nil"/>
              <w:bottom w:val="nil"/>
              <w:right w:val="nil"/>
            </w:tcBorders>
            <w:shd w:val="clear" w:color="auto" w:fill="auto"/>
            <w:noWrap/>
            <w:vAlign w:val="bottom"/>
            <w:hideMark/>
          </w:tcPr>
          <w:p w14:paraId="3FEEDA82" w14:textId="0417FC68"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Interest </w:t>
            </w:r>
            <w:r w:rsidR="00DC6188" w:rsidRPr="00853F57">
              <w:rPr>
                <w:rFonts w:ascii="Arial" w:hAnsi="Arial" w:cs="Arial"/>
                <w:color w:val="000000" w:themeColor="text1"/>
                <w:sz w:val="18"/>
                <w:szCs w:val="16"/>
                <w:lang w:val="en-GB"/>
              </w:rPr>
              <w:t>and Other Financial Income</w:t>
            </w:r>
          </w:p>
        </w:tc>
        <w:tc>
          <w:tcPr>
            <w:tcW w:w="1289" w:type="dxa"/>
            <w:tcBorders>
              <w:top w:val="nil"/>
              <w:left w:val="nil"/>
              <w:bottom w:val="nil"/>
              <w:right w:val="nil"/>
            </w:tcBorders>
            <w:shd w:val="clear" w:color="auto" w:fill="auto"/>
            <w:noWrap/>
            <w:vAlign w:val="bottom"/>
            <w:hideMark/>
          </w:tcPr>
          <w:p w14:paraId="4941789B"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13,029</w:t>
            </w:r>
          </w:p>
        </w:tc>
        <w:tc>
          <w:tcPr>
            <w:tcW w:w="1207" w:type="dxa"/>
            <w:tcBorders>
              <w:top w:val="nil"/>
              <w:left w:val="nil"/>
              <w:bottom w:val="nil"/>
              <w:right w:val="nil"/>
            </w:tcBorders>
            <w:shd w:val="clear" w:color="auto" w:fill="auto"/>
            <w:noWrap/>
            <w:vAlign w:val="bottom"/>
            <w:hideMark/>
          </w:tcPr>
          <w:p w14:paraId="6FBCA1CE"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20,013</w:t>
            </w:r>
          </w:p>
        </w:tc>
        <w:tc>
          <w:tcPr>
            <w:tcW w:w="1207" w:type="dxa"/>
            <w:tcBorders>
              <w:top w:val="nil"/>
              <w:left w:val="nil"/>
              <w:bottom w:val="nil"/>
              <w:right w:val="nil"/>
            </w:tcBorders>
            <w:shd w:val="clear" w:color="auto" w:fill="auto"/>
            <w:noWrap/>
            <w:vAlign w:val="bottom"/>
            <w:hideMark/>
          </w:tcPr>
          <w:p w14:paraId="32985153"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19,529</w:t>
            </w:r>
          </w:p>
        </w:tc>
        <w:tc>
          <w:tcPr>
            <w:tcW w:w="1310" w:type="dxa"/>
            <w:tcBorders>
              <w:top w:val="nil"/>
              <w:left w:val="nil"/>
              <w:bottom w:val="nil"/>
              <w:right w:val="nil"/>
            </w:tcBorders>
            <w:shd w:val="clear" w:color="auto" w:fill="auto"/>
            <w:noWrap/>
            <w:vAlign w:val="bottom"/>
            <w:hideMark/>
          </w:tcPr>
          <w:p w14:paraId="1874AFCD"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21,707</w:t>
            </w:r>
          </w:p>
        </w:tc>
        <w:tc>
          <w:tcPr>
            <w:tcW w:w="1207" w:type="dxa"/>
            <w:tcBorders>
              <w:top w:val="nil"/>
              <w:left w:val="nil"/>
              <w:bottom w:val="nil"/>
              <w:right w:val="nil"/>
            </w:tcBorders>
            <w:shd w:val="clear" w:color="auto" w:fill="auto"/>
            <w:noWrap/>
            <w:vAlign w:val="bottom"/>
            <w:hideMark/>
          </w:tcPr>
          <w:p w14:paraId="4F890C5C"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33,128</w:t>
            </w:r>
          </w:p>
        </w:tc>
      </w:tr>
      <w:tr w:rsidR="00437109" w:rsidRPr="00853F57" w14:paraId="05ED7C37" w14:textId="77777777" w:rsidTr="00E30F09">
        <w:trPr>
          <w:trHeight w:val="198"/>
          <w:tblHeader/>
        </w:trPr>
        <w:tc>
          <w:tcPr>
            <w:tcW w:w="3211" w:type="dxa"/>
            <w:tcBorders>
              <w:top w:val="nil"/>
              <w:left w:val="nil"/>
              <w:bottom w:val="nil"/>
              <w:right w:val="nil"/>
            </w:tcBorders>
            <w:shd w:val="clear" w:color="auto" w:fill="auto"/>
            <w:noWrap/>
            <w:vAlign w:val="bottom"/>
            <w:hideMark/>
          </w:tcPr>
          <w:p w14:paraId="7E272B18" w14:textId="1366F497"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Interest </w:t>
            </w:r>
            <w:r w:rsidR="00DC6188" w:rsidRPr="00853F57">
              <w:rPr>
                <w:rFonts w:ascii="Arial" w:hAnsi="Arial" w:cs="Arial"/>
                <w:color w:val="000000" w:themeColor="text1"/>
                <w:sz w:val="18"/>
                <w:szCs w:val="16"/>
                <w:lang w:val="en-GB"/>
              </w:rPr>
              <w:t>and Financial Charges (Net)</w:t>
            </w:r>
          </w:p>
        </w:tc>
        <w:tc>
          <w:tcPr>
            <w:tcW w:w="1289" w:type="dxa"/>
            <w:tcBorders>
              <w:top w:val="nil"/>
              <w:left w:val="nil"/>
              <w:bottom w:val="nil"/>
              <w:right w:val="nil"/>
            </w:tcBorders>
            <w:shd w:val="clear" w:color="auto" w:fill="auto"/>
            <w:noWrap/>
            <w:vAlign w:val="bottom"/>
            <w:hideMark/>
          </w:tcPr>
          <w:p w14:paraId="3FAD22A4"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(43,670)</w:t>
            </w:r>
          </w:p>
        </w:tc>
        <w:tc>
          <w:tcPr>
            <w:tcW w:w="1207" w:type="dxa"/>
            <w:tcBorders>
              <w:top w:val="nil"/>
              <w:left w:val="nil"/>
              <w:bottom w:val="nil"/>
              <w:right w:val="nil"/>
            </w:tcBorders>
            <w:shd w:val="clear" w:color="auto" w:fill="auto"/>
            <w:noWrap/>
            <w:vAlign w:val="bottom"/>
            <w:hideMark/>
          </w:tcPr>
          <w:p w14:paraId="7016CF35"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(78,752)</w:t>
            </w:r>
          </w:p>
        </w:tc>
        <w:tc>
          <w:tcPr>
            <w:tcW w:w="1207" w:type="dxa"/>
            <w:tcBorders>
              <w:top w:val="nil"/>
              <w:left w:val="nil"/>
              <w:bottom w:val="nil"/>
              <w:right w:val="nil"/>
            </w:tcBorders>
            <w:shd w:val="clear" w:color="auto" w:fill="auto"/>
            <w:noWrap/>
            <w:vAlign w:val="bottom"/>
            <w:hideMark/>
          </w:tcPr>
          <w:p w14:paraId="36181818"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(41,754)</w:t>
            </w:r>
          </w:p>
        </w:tc>
        <w:tc>
          <w:tcPr>
            <w:tcW w:w="1310" w:type="dxa"/>
            <w:tcBorders>
              <w:top w:val="nil"/>
              <w:left w:val="nil"/>
              <w:bottom w:val="nil"/>
              <w:right w:val="nil"/>
            </w:tcBorders>
            <w:shd w:val="clear" w:color="auto" w:fill="auto"/>
            <w:noWrap/>
            <w:vAlign w:val="bottom"/>
            <w:hideMark/>
          </w:tcPr>
          <w:p w14:paraId="556123AA"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(107,428)</w:t>
            </w:r>
          </w:p>
        </w:tc>
        <w:tc>
          <w:tcPr>
            <w:tcW w:w="1207" w:type="dxa"/>
            <w:tcBorders>
              <w:top w:val="nil"/>
              <w:left w:val="nil"/>
              <w:bottom w:val="nil"/>
              <w:right w:val="nil"/>
            </w:tcBorders>
            <w:shd w:val="clear" w:color="auto" w:fill="auto"/>
            <w:noWrap/>
            <w:vAlign w:val="bottom"/>
            <w:hideMark/>
          </w:tcPr>
          <w:p w14:paraId="0AA20D8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(327,804)</w:t>
            </w:r>
          </w:p>
        </w:tc>
      </w:tr>
      <w:tr w:rsidR="00437109" w:rsidRPr="00853F57" w14:paraId="1A899910" w14:textId="77777777" w:rsidTr="00E30F09">
        <w:trPr>
          <w:trHeight w:val="605"/>
          <w:tblHeader/>
        </w:trPr>
        <w:tc>
          <w:tcPr>
            <w:tcW w:w="3211" w:type="dxa"/>
            <w:tcBorders>
              <w:top w:val="nil"/>
              <w:left w:val="nil"/>
              <w:bottom w:val="nil"/>
              <w:right w:val="nil"/>
            </w:tcBorders>
            <w:shd w:val="clear" w:color="auto" w:fill="auto"/>
            <w:vAlign w:val="bottom"/>
            <w:hideMark/>
          </w:tcPr>
          <w:p w14:paraId="02C2F5BE" w14:textId="08ACAA3E"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Gain </w:t>
            </w:r>
            <w:r w:rsidR="00DC6188" w:rsidRPr="00853F57">
              <w:rPr>
                <w:rFonts w:ascii="Arial" w:hAnsi="Arial" w:cs="Arial"/>
                <w:color w:val="000000" w:themeColor="text1"/>
                <w:sz w:val="18"/>
                <w:szCs w:val="16"/>
                <w:lang w:val="en-GB"/>
              </w:rPr>
              <w:t xml:space="preserve">on </w:t>
            </w:r>
            <w:r w:rsidRPr="00853F57">
              <w:rPr>
                <w:rFonts w:ascii="Arial" w:hAnsi="Arial" w:cs="Arial"/>
                <w:color w:val="000000" w:themeColor="text1"/>
                <w:sz w:val="18"/>
                <w:szCs w:val="16"/>
                <w:lang w:val="en-GB"/>
              </w:rPr>
              <w:t xml:space="preserve">Remeasurement </w:t>
            </w:r>
            <w:r w:rsidR="00DC6188" w:rsidRPr="00853F57">
              <w:rPr>
                <w:rFonts w:ascii="Arial" w:hAnsi="Arial" w:cs="Arial"/>
                <w:color w:val="000000" w:themeColor="text1"/>
                <w:sz w:val="18"/>
                <w:szCs w:val="16"/>
                <w:lang w:val="en-GB"/>
              </w:rPr>
              <w:t xml:space="preserve">of </w:t>
            </w:r>
            <w:r w:rsidRPr="00853F57">
              <w:rPr>
                <w:rFonts w:ascii="Arial" w:hAnsi="Arial" w:cs="Arial"/>
                <w:color w:val="000000" w:themeColor="text1"/>
                <w:sz w:val="18"/>
                <w:szCs w:val="16"/>
                <w:lang w:val="en-GB"/>
              </w:rPr>
              <w:t>Retained Equity Former Subsidiary</w:t>
            </w:r>
          </w:p>
        </w:tc>
        <w:tc>
          <w:tcPr>
            <w:tcW w:w="1289" w:type="dxa"/>
            <w:tcBorders>
              <w:top w:val="nil"/>
              <w:left w:val="nil"/>
              <w:bottom w:val="nil"/>
              <w:right w:val="nil"/>
            </w:tcBorders>
            <w:shd w:val="clear" w:color="auto" w:fill="auto"/>
            <w:noWrap/>
            <w:vAlign w:val="bottom"/>
            <w:hideMark/>
          </w:tcPr>
          <w:p w14:paraId="0C5A3080"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2,635,755</w:t>
            </w:r>
          </w:p>
        </w:tc>
        <w:tc>
          <w:tcPr>
            <w:tcW w:w="1207" w:type="dxa"/>
            <w:tcBorders>
              <w:top w:val="nil"/>
              <w:left w:val="nil"/>
              <w:bottom w:val="nil"/>
              <w:right w:val="nil"/>
            </w:tcBorders>
            <w:shd w:val="clear" w:color="auto" w:fill="auto"/>
            <w:noWrap/>
            <w:vAlign w:val="bottom"/>
            <w:hideMark/>
          </w:tcPr>
          <w:p w14:paraId="7B0353FF"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w:t>
            </w:r>
          </w:p>
        </w:tc>
        <w:tc>
          <w:tcPr>
            <w:tcW w:w="1207" w:type="dxa"/>
            <w:tcBorders>
              <w:top w:val="nil"/>
              <w:left w:val="nil"/>
              <w:bottom w:val="nil"/>
              <w:right w:val="nil"/>
            </w:tcBorders>
            <w:shd w:val="clear" w:color="auto" w:fill="auto"/>
            <w:noWrap/>
            <w:vAlign w:val="bottom"/>
            <w:hideMark/>
          </w:tcPr>
          <w:p w14:paraId="49BA68FE"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w:t>
            </w:r>
          </w:p>
        </w:tc>
        <w:tc>
          <w:tcPr>
            <w:tcW w:w="1310" w:type="dxa"/>
            <w:tcBorders>
              <w:top w:val="nil"/>
              <w:left w:val="nil"/>
              <w:bottom w:val="nil"/>
              <w:right w:val="nil"/>
            </w:tcBorders>
            <w:shd w:val="clear" w:color="auto" w:fill="auto"/>
            <w:noWrap/>
            <w:vAlign w:val="bottom"/>
            <w:hideMark/>
          </w:tcPr>
          <w:p w14:paraId="0F5AC3A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w:t>
            </w:r>
          </w:p>
        </w:tc>
        <w:tc>
          <w:tcPr>
            <w:tcW w:w="1207" w:type="dxa"/>
            <w:tcBorders>
              <w:top w:val="nil"/>
              <w:left w:val="nil"/>
              <w:bottom w:val="nil"/>
              <w:right w:val="nil"/>
            </w:tcBorders>
            <w:shd w:val="clear" w:color="auto" w:fill="auto"/>
            <w:noWrap/>
            <w:vAlign w:val="bottom"/>
            <w:hideMark/>
          </w:tcPr>
          <w:p w14:paraId="281075F2"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w:t>
            </w:r>
          </w:p>
        </w:tc>
      </w:tr>
      <w:tr w:rsidR="00437109" w:rsidRPr="00853F57" w14:paraId="00108317" w14:textId="77777777" w:rsidTr="00E30F09">
        <w:trPr>
          <w:trHeight w:val="198"/>
          <w:tblHeader/>
        </w:trPr>
        <w:tc>
          <w:tcPr>
            <w:tcW w:w="3211" w:type="dxa"/>
            <w:tcBorders>
              <w:top w:val="nil"/>
              <w:left w:val="nil"/>
              <w:bottom w:val="single" w:sz="4" w:space="0" w:color="auto"/>
              <w:right w:val="nil"/>
            </w:tcBorders>
            <w:shd w:val="clear" w:color="auto" w:fill="auto"/>
            <w:noWrap/>
            <w:vAlign w:val="bottom"/>
            <w:hideMark/>
          </w:tcPr>
          <w:p w14:paraId="2BC1AD9E" w14:textId="2E5D85B5"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Other </w:t>
            </w:r>
            <w:r w:rsidR="00DC6188" w:rsidRPr="00853F57">
              <w:rPr>
                <w:rFonts w:ascii="Arial" w:hAnsi="Arial" w:cs="Arial"/>
                <w:color w:val="000000" w:themeColor="text1"/>
                <w:sz w:val="18"/>
                <w:szCs w:val="16"/>
                <w:lang w:val="en-GB"/>
              </w:rPr>
              <w:t>Income-Net</w:t>
            </w:r>
          </w:p>
        </w:tc>
        <w:tc>
          <w:tcPr>
            <w:tcW w:w="1289" w:type="dxa"/>
            <w:tcBorders>
              <w:top w:val="nil"/>
              <w:left w:val="nil"/>
              <w:bottom w:val="single" w:sz="4" w:space="0" w:color="auto"/>
              <w:right w:val="nil"/>
            </w:tcBorders>
            <w:shd w:val="clear" w:color="auto" w:fill="auto"/>
            <w:noWrap/>
            <w:vAlign w:val="bottom"/>
            <w:hideMark/>
          </w:tcPr>
          <w:p w14:paraId="402E3FB8"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107,133</w:t>
            </w:r>
          </w:p>
        </w:tc>
        <w:tc>
          <w:tcPr>
            <w:tcW w:w="1207" w:type="dxa"/>
            <w:tcBorders>
              <w:top w:val="nil"/>
              <w:left w:val="nil"/>
              <w:bottom w:val="single" w:sz="4" w:space="0" w:color="auto"/>
              <w:right w:val="nil"/>
            </w:tcBorders>
            <w:shd w:val="clear" w:color="auto" w:fill="auto"/>
            <w:noWrap/>
            <w:vAlign w:val="bottom"/>
            <w:hideMark/>
          </w:tcPr>
          <w:p w14:paraId="494F4DF6"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199,962</w:t>
            </w:r>
          </w:p>
        </w:tc>
        <w:tc>
          <w:tcPr>
            <w:tcW w:w="1207" w:type="dxa"/>
            <w:tcBorders>
              <w:top w:val="nil"/>
              <w:left w:val="nil"/>
              <w:bottom w:val="single" w:sz="4" w:space="0" w:color="auto"/>
              <w:right w:val="nil"/>
            </w:tcBorders>
            <w:shd w:val="clear" w:color="auto" w:fill="auto"/>
            <w:noWrap/>
            <w:vAlign w:val="bottom"/>
            <w:hideMark/>
          </w:tcPr>
          <w:p w14:paraId="026EA13A"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162,490</w:t>
            </w:r>
          </w:p>
        </w:tc>
        <w:tc>
          <w:tcPr>
            <w:tcW w:w="1310" w:type="dxa"/>
            <w:tcBorders>
              <w:top w:val="nil"/>
              <w:left w:val="nil"/>
              <w:bottom w:val="single" w:sz="4" w:space="0" w:color="auto"/>
              <w:right w:val="nil"/>
            </w:tcBorders>
            <w:shd w:val="clear" w:color="auto" w:fill="auto"/>
            <w:noWrap/>
            <w:vAlign w:val="bottom"/>
            <w:hideMark/>
          </w:tcPr>
          <w:p w14:paraId="692BCCCA"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278,166</w:t>
            </w:r>
          </w:p>
        </w:tc>
        <w:tc>
          <w:tcPr>
            <w:tcW w:w="1207" w:type="dxa"/>
            <w:tcBorders>
              <w:top w:val="nil"/>
              <w:left w:val="nil"/>
              <w:bottom w:val="single" w:sz="4" w:space="0" w:color="auto"/>
              <w:right w:val="nil"/>
            </w:tcBorders>
            <w:shd w:val="clear" w:color="auto" w:fill="auto"/>
            <w:noWrap/>
            <w:vAlign w:val="bottom"/>
            <w:hideMark/>
          </w:tcPr>
          <w:p w14:paraId="505C4D5B"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124,344</w:t>
            </w:r>
          </w:p>
        </w:tc>
      </w:tr>
      <w:tr w:rsidR="00437109" w:rsidRPr="00853F57" w14:paraId="2AA0F4B1" w14:textId="77777777" w:rsidTr="00E30F09">
        <w:trPr>
          <w:trHeight w:val="198"/>
          <w:tblHeader/>
        </w:trPr>
        <w:tc>
          <w:tcPr>
            <w:tcW w:w="3211" w:type="dxa"/>
            <w:tcBorders>
              <w:top w:val="nil"/>
              <w:left w:val="nil"/>
              <w:bottom w:val="single" w:sz="4" w:space="0" w:color="auto"/>
              <w:right w:val="nil"/>
            </w:tcBorders>
            <w:shd w:val="clear" w:color="auto" w:fill="auto"/>
            <w:noWrap/>
            <w:vAlign w:val="bottom"/>
            <w:hideMark/>
          </w:tcPr>
          <w:p w14:paraId="1481B378" w14:textId="1245004F" w:rsidR="00437109" w:rsidRPr="00853F57" w:rsidRDefault="00437109" w:rsidP="00F6167B">
            <w:pP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 xml:space="preserve">Profit </w:t>
            </w:r>
            <w:r w:rsidR="00DC6188" w:rsidRPr="00853F57">
              <w:rPr>
                <w:rFonts w:ascii="Arial" w:hAnsi="Arial" w:cs="Arial"/>
                <w:b/>
                <w:bCs/>
                <w:color w:val="000000" w:themeColor="text1"/>
                <w:sz w:val="18"/>
                <w:szCs w:val="16"/>
                <w:lang w:val="en-GB"/>
              </w:rPr>
              <w:t>Before Income Tax</w:t>
            </w:r>
          </w:p>
        </w:tc>
        <w:tc>
          <w:tcPr>
            <w:tcW w:w="1289" w:type="dxa"/>
            <w:tcBorders>
              <w:top w:val="nil"/>
              <w:left w:val="nil"/>
              <w:bottom w:val="single" w:sz="4" w:space="0" w:color="auto"/>
              <w:right w:val="nil"/>
            </w:tcBorders>
            <w:shd w:val="clear" w:color="auto" w:fill="auto"/>
            <w:noWrap/>
            <w:vAlign w:val="bottom"/>
            <w:hideMark/>
          </w:tcPr>
          <w:p w14:paraId="4ECEB938"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9,934,981</w:t>
            </w:r>
          </w:p>
        </w:tc>
        <w:tc>
          <w:tcPr>
            <w:tcW w:w="1207" w:type="dxa"/>
            <w:tcBorders>
              <w:top w:val="nil"/>
              <w:left w:val="nil"/>
              <w:bottom w:val="single" w:sz="4" w:space="0" w:color="auto"/>
              <w:right w:val="nil"/>
            </w:tcBorders>
            <w:shd w:val="clear" w:color="auto" w:fill="auto"/>
            <w:noWrap/>
            <w:vAlign w:val="bottom"/>
            <w:hideMark/>
          </w:tcPr>
          <w:p w14:paraId="6BA46A6F"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7,729,930</w:t>
            </w:r>
          </w:p>
        </w:tc>
        <w:tc>
          <w:tcPr>
            <w:tcW w:w="1207" w:type="dxa"/>
            <w:tcBorders>
              <w:top w:val="nil"/>
              <w:left w:val="nil"/>
              <w:bottom w:val="single" w:sz="4" w:space="0" w:color="auto"/>
              <w:right w:val="nil"/>
            </w:tcBorders>
            <w:shd w:val="clear" w:color="auto" w:fill="auto"/>
            <w:noWrap/>
            <w:vAlign w:val="bottom"/>
            <w:hideMark/>
          </w:tcPr>
          <w:p w14:paraId="1D940AD4"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9,626,945</w:t>
            </w:r>
          </w:p>
        </w:tc>
        <w:tc>
          <w:tcPr>
            <w:tcW w:w="1310" w:type="dxa"/>
            <w:tcBorders>
              <w:top w:val="nil"/>
              <w:left w:val="nil"/>
              <w:bottom w:val="single" w:sz="4" w:space="0" w:color="auto"/>
              <w:right w:val="nil"/>
            </w:tcBorders>
            <w:shd w:val="clear" w:color="auto" w:fill="auto"/>
            <w:noWrap/>
            <w:vAlign w:val="bottom"/>
            <w:hideMark/>
          </w:tcPr>
          <w:p w14:paraId="53702D13"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4,266,415</w:t>
            </w:r>
          </w:p>
        </w:tc>
        <w:tc>
          <w:tcPr>
            <w:tcW w:w="1207" w:type="dxa"/>
            <w:tcBorders>
              <w:top w:val="nil"/>
              <w:left w:val="nil"/>
              <w:bottom w:val="single" w:sz="4" w:space="0" w:color="auto"/>
              <w:right w:val="nil"/>
            </w:tcBorders>
            <w:shd w:val="clear" w:color="auto" w:fill="auto"/>
            <w:noWrap/>
            <w:vAlign w:val="bottom"/>
            <w:hideMark/>
          </w:tcPr>
          <w:p w14:paraId="117E0560"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3,551,258</w:t>
            </w:r>
          </w:p>
        </w:tc>
      </w:tr>
      <w:tr w:rsidR="00437109" w:rsidRPr="00853F57" w14:paraId="4F0F0178" w14:textId="77777777" w:rsidTr="00E30F09">
        <w:trPr>
          <w:trHeight w:val="198"/>
          <w:tblHeader/>
        </w:trPr>
        <w:tc>
          <w:tcPr>
            <w:tcW w:w="3211" w:type="dxa"/>
            <w:tcBorders>
              <w:top w:val="nil"/>
              <w:left w:val="nil"/>
              <w:bottom w:val="nil"/>
              <w:right w:val="nil"/>
            </w:tcBorders>
            <w:shd w:val="clear" w:color="auto" w:fill="auto"/>
            <w:noWrap/>
            <w:vAlign w:val="bottom"/>
            <w:hideMark/>
          </w:tcPr>
          <w:p w14:paraId="7BD7E258" w14:textId="77777777" w:rsidR="00437109" w:rsidRPr="00853F57" w:rsidRDefault="00437109" w:rsidP="00F6167B">
            <w:pPr>
              <w:rPr>
                <w:rFonts w:ascii="Arial" w:hAnsi="Arial" w:cs="Arial"/>
                <w:b/>
                <w:bCs/>
                <w:color w:val="000000" w:themeColor="text1"/>
                <w:sz w:val="18"/>
                <w:szCs w:val="16"/>
                <w:lang w:val="en-GB"/>
              </w:rPr>
            </w:pPr>
          </w:p>
        </w:tc>
        <w:tc>
          <w:tcPr>
            <w:tcW w:w="1289" w:type="dxa"/>
            <w:tcBorders>
              <w:top w:val="nil"/>
              <w:left w:val="nil"/>
              <w:bottom w:val="nil"/>
              <w:right w:val="nil"/>
            </w:tcBorders>
            <w:shd w:val="clear" w:color="auto" w:fill="auto"/>
            <w:noWrap/>
            <w:vAlign w:val="bottom"/>
            <w:hideMark/>
          </w:tcPr>
          <w:p w14:paraId="24134514"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124DD487"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4EDF04BA" w14:textId="77777777" w:rsidR="00437109" w:rsidRPr="00853F57" w:rsidRDefault="00437109" w:rsidP="00034CB9">
            <w:pPr>
              <w:jc w:val="right"/>
              <w:rPr>
                <w:rFonts w:ascii="Arial" w:hAnsi="Arial" w:cs="Arial"/>
                <w:color w:val="000000" w:themeColor="text1"/>
                <w:sz w:val="18"/>
                <w:szCs w:val="16"/>
                <w:lang w:val="en-GB"/>
              </w:rPr>
            </w:pPr>
          </w:p>
        </w:tc>
        <w:tc>
          <w:tcPr>
            <w:tcW w:w="1310" w:type="dxa"/>
            <w:tcBorders>
              <w:top w:val="nil"/>
              <w:left w:val="nil"/>
              <w:bottom w:val="nil"/>
              <w:right w:val="nil"/>
            </w:tcBorders>
            <w:shd w:val="clear" w:color="auto" w:fill="auto"/>
            <w:noWrap/>
            <w:vAlign w:val="bottom"/>
            <w:hideMark/>
          </w:tcPr>
          <w:p w14:paraId="5CC52A90"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12FEABBC" w14:textId="77777777" w:rsidR="00437109" w:rsidRPr="00853F57" w:rsidRDefault="00437109" w:rsidP="00034CB9">
            <w:pPr>
              <w:jc w:val="right"/>
              <w:rPr>
                <w:rFonts w:ascii="Arial" w:hAnsi="Arial" w:cs="Arial"/>
                <w:color w:val="000000" w:themeColor="text1"/>
                <w:sz w:val="18"/>
                <w:szCs w:val="16"/>
                <w:lang w:val="en-GB"/>
              </w:rPr>
            </w:pPr>
          </w:p>
        </w:tc>
      </w:tr>
      <w:tr w:rsidR="00437109" w:rsidRPr="00853F57" w14:paraId="1E043EA0" w14:textId="77777777" w:rsidTr="00E30F09">
        <w:trPr>
          <w:trHeight w:val="198"/>
          <w:tblHeader/>
        </w:trPr>
        <w:tc>
          <w:tcPr>
            <w:tcW w:w="3211" w:type="dxa"/>
            <w:tcBorders>
              <w:top w:val="single" w:sz="4" w:space="0" w:color="auto"/>
              <w:left w:val="nil"/>
              <w:bottom w:val="single" w:sz="4" w:space="0" w:color="auto"/>
              <w:right w:val="nil"/>
            </w:tcBorders>
            <w:shd w:val="clear" w:color="auto" w:fill="auto"/>
            <w:noWrap/>
            <w:vAlign w:val="bottom"/>
            <w:hideMark/>
          </w:tcPr>
          <w:p w14:paraId="0DB83EF3" w14:textId="2B81EDF7"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Income </w:t>
            </w:r>
            <w:r w:rsidR="00DC6188" w:rsidRPr="00853F57">
              <w:rPr>
                <w:rFonts w:ascii="Arial" w:hAnsi="Arial" w:cs="Arial"/>
                <w:color w:val="000000" w:themeColor="text1"/>
                <w:sz w:val="18"/>
                <w:szCs w:val="16"/>
                <w:lang w:val="en-GB"/>
              </w:rPr>
              <w:t>Tax Expense</w:t>
            </w:r>
          </w:p>
        </w:tc>
        <w:tc>
          <w:tcPr>
            <w:tcW w:w="1289" w:type="dxa"/>
            <w:tcBorders>
              <w:top w:val="single" w:sz="4" w:space="0" w:color="auto"/>
              <w:left w:val="nil"/>
              <w:bottom w:val="single" w:sz="4" w:space="0" w:color="auto"/>
              <w:right w:val="nil"/>
            </w:tcBorders>
            <w:shd w:val="clear" w:color="auto" w:fill="auto"/>
            <w:noWrap/>
            <w:vAlign w:val="bottom"/>
            <w:hideMark/>
          </w:tcPr>
          <w:p w14:paraId="7053A865"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(2,152,723)</w:t>
            </w:r>
          </w:p>
        </w:tc>
        <w:tc>
          <w:tcPr>
            <w:tcW w:w="1207" w:type="dxa"/>
            <w:tcBorders>
              <w:top w:val="single" w:sz="4" w:space="0" w:color="auto"/>
              <w:left w:val="nil"/>
              <w:bottom w:val="single" w:sz="4" w:space="0" w:color="auto"/>
              <w:right w:val="nil"/>
            </w:tcBorders>
            <w:shd w:val="clear" w:color="auto" w:fill="auto"/>
            <w:noWrap/>
            <w:vAlign w:val="bottom"/>
            <w:hideMark/>
          </w:tcPr>
          <w:p w14:paraId="54702CC4"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(2,216,117)</w:t>
            </w:r>
          </w:p>
        </w:tc>
        <w:tc>
          <w:tcPr>
            <w:tcW w:w="1207" w:type="dxa"/>
            <w:tcBorders>
              <w:top w:val="single" w:sz="4" w:space="0" w:color="auto"/>
              <w:left w:val="nil"/>
              <w:bottom w:val="single" w:sz="4" w:space="0" w:color="auto"/>
              <w:right w:val="nil"/>
            </w:tcBorders>
            <w:shd w:val="clear" w:color="auto" w:fill="auto"/>
            <w:noWrap/>
            <w:vAlign w:val="bottom"/>
            <w:hideMark/>
          </w:tcPr>
          <w:p w14:paraId="6E7241A1"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(2,779,832)</w:t>
            </w:r>
          </w:p>
        </w:tc>
        <w:tc>
          <w:tcPr>
            <w:tcW w:w="1310" w:type="dxa"/>
            <w:tcBorders>
              <w:top w:val="single" w:sz="4" w:space="0" w:color="auto"/>
              <w:left w:val="nil"/>
              <w:bottom w:val="single" w:sz="4" w:space="0" w:color="auto"/>
              <w:right w:val="nil"/>
            </w:tcBorders>
            <w:shd w:val="clear" w:color="auto" w:fill="auto"/>
            <w:noWrap/>
            <w:vAlign w:val="bottom"/>
            <w:hideMark/>
          </w:tcPr>
          <w:p w14:paraId="304CA2F1"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(1,576,617)</w:t>
            </w:r>
          </w:p>
        </w:tc>
        <w:tc>
          <w:tcPr>
            <w:tcW w:w="1207" w:type="dxa"/>
            <w:tcBorders>
              <w:top w:val="single" w:sz="4" w:space="0" w:color="auto"/>
              <w:left w:val="nil"/>
              <w:bottom w:val="single" w:sz="4" w:space="0" w:color="auto"/>
              <w:right w:val="nil"/>
            </w:tcBorders>
            <w:shd w:val="clear" w:color="auto" w:fill="auto"/>
            <w:noWrap/>
            <w:vAlign w:val="bottom"/>
            <w:hideMark/>
          </w:tcPr>
          <w:p w14:paraId="0713CF4C"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(1,005,865)</w:t>
            </w:r>
          </w:p>
        </w:tc>
      </w:tr>
      <w:tr w:rsidR="00437109" w:rsidRPr="00853F57" w14:paraId="57C8B1F9" w14:textId="77777777" w:rsidTr="00E30F09">
        <w:trPr>
          <w:trHeight w:val="198"/>
          <w:tblHeader/>
        </w:trPr>
        <w:tc>
          <w:tcPr>
            <w:tcW w:w="3211" w:type="dxa"/>
            <w:tcBorders>
              <w:top w:val="nil"/>
              <w:left w:val="nil"/>
              <w:bottom w:val="nil"/>
              <w:right w:val="nil"/>
            </w:tcBorders>
            <w:shd w:val="clear" w:color="auto" w:fill="auto"/>
            <w:noWrap/>
            <w:vAlign w:val="bottom"/>
            <w:hideMark/>
          </w:tcPr>
          <w:p w14:paraId="23E33374" w14:textId="77777777" w:rsidR="00437109" w:rsidRPr="00853F57" w:rsidRDefault="00437109" w:rsidP="00F6167B">
            <w:pPr>
              <w:rPr>
                <w:rFonts w:ascii="Arial" w:hAnsi="Arial" w:cs="Arial"/>
                <w:color w:val="000000" w:themeColor="text1"/>
                <w:sz w:val="18"/>
                <w:szCs w:val="16"/>
                <w:lang w:val="en-GB"/>
              </w:rPr>
            </w:pPr>
          </w:p>
        </w:tc>
        <w:tc>
          <w:tcPr>
            <w:tcW w:w="1289" w:type="dxa"/>
            <w:tcBorders>
              <w:top w:val="nil"/>
              <w:left w:val="nil"/>
              <w:bottom w:val="nil"/>
              <w:right w:val="nil"/>
            </w:tcBorders>
            <w:shd w:val="clear" w:color="auto" w:fill="auto"/>
            <w:noWrap/>
            <w:vAlign w:val="bottom"/>
            <w:hideMark/>
          </w:tcPr>
          <w:p w14:paraId="5E39ACE0"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65A9EF01"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4342ED34" w14:textId="77777777" w:rsidR="00437109" w:rsidRPr="00853F57" w:rsidRDefault="00437109" w:rsidP="00034CB9">
            <w:pPr>
              <w:jc w:val="right"/>
              <w:rPr>
                <w:rFonts w:ascii="Arial" w:hAnsi="Arial" w:cs="Arial"/>
                <w:color w:val="000000" w:themeColor="text1"/>
                <w:sz w:val="18"/>
                <w:szCs w:val="16"/>
                <w:lang w:val="en-GB"/>
              </w:rPr>
            </w:pPr>
          </w:p>
        </w:tc>
        <w:tc>
          <w:tcPr>
            <w:tcW w:w="1310" w:type="dxa"/>
            <w:tcBorders>
              <w:top w:val="nil"/>
              <w:left w:val="nil"/>
              <w:bottom w:val="nil"/>
              <w:right w:val="nil"/>
            </w:tcBorders>
            <w:shd w:val="clear" w:color="auto" w:fill="auto"/>
            <w:noWrap/>
            <w:vAlign w:val="bottom"/>
            <w:hideMark/>
          </w:tcPr>
          <w:p w14:paraId="7992B6AF" w14:textId="77777777" w:rsidR="00437109" w:rsidRPr="00853F57" w:rsidRDefault="00437109" w:rsidP="00034CB9">
            <w:pPr>
              <w:jc w:val="right"/>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0C774CC4" w14:textId="77777777" w:rsidR="00437109" w:rsidRPr="00853F57" w:rsidRDefault="00437109" w:rsidP="00034CB9">
            <w:pPr>
              <w:jc w:val="right"/>
              <w:rPr>
                <w:rFonts w:ascii="Arial" w:hAnsi="Arial" w:cs="Arial"/>
                <w:color w:val="000000" w:themeColor="text1"/>
                <w:sz w:val="18"/>
                <w:szCs w:val="16"/>
                <w:lang w:val="en-GB"/>
              </w:rPr>
            </w:pPr>
          </w:p>
        </w:tc>
      </w:tr>
      <w:tr w:rsidR="00437109" w:rsidRPr="00853F57" w14:paraId="16FFEC4C" w14:textId="77777777" w:rsidTr="00E30F09">
        <w:trPr>
          <w:trHeight w:val="209"/>
          <w:tblHeader/>
        </w:trPr>
        <w:tc>
          <w:tcPr>
            <w:tcW w:w="3211" w:type="dxa"/>
            <w:tcBorders>
              <w:top w:val="single" w:sz="4" w:space="0" w:color="auto"/>
              <w:left w:val="nil"/>
              <w:bottom w:val="double" w:sz="6" w:space="0" w:color="auto"/>
              <w:right w:val="nil"/>
            </w:tcBorders>
            <w:shd w:val="clear" w:color="auto" w:fill="auto"/>
            <w:noWrap/>
            <w:vAlign w:val="bottom"/>
            <w:hideMark/>
          </w:tcPr>
          <w:p w14:paraId="49609531" w14:textId="2E85E585" w:rsidR="00437109" w:rsidRPr="00853F57" w:rsidRDefault="00437109" w:rsidP="00F6167B">
            <w:pP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 xml:space="preserve">Profit </w:t>
            </w:r>
            <w:r w:rsidR="00DC6188" w:rsidRPr="00853F57">
              <w:rPr>
                <w:rFonts w:ascii="Arial" w:hAnsi="Arial" w:cs="Arial"/>
                <w:b/>
                <w:bCs/>
                <w:color w:val="000000" w:themeColor="text1"/>
                <w:sz w:val="18"/>
                <w:szCs w:val="16"/>
                <w:lang w:val="en-GB"/>
              </w:rPr>
              <w:t>for the Year</w:t>
            </w:r>
          </w:p>
        </w:tc>
        <w:tc>
          <w:tcPr>
            <w:tcW w:w="1289" w:type="dxa"/>
            <w:tcBorders>
              <w:top w:val="single" w:sz="4" w:space="0" w:color="auto"/>
              <w:left w:val="nil"/>
              <w:bottom w:val="double" w:sz="6" w:space="0" w:color="auto"/>
              <w:right w:val="nil"/>
            </w:tcBorders>
            <w:shd w:val="clear" w:color="auto" w:fill="auto"/>
            <w:noWrap/>
            <w:vAlign w:val="bottom"/>
            <w:hideMark/>
          </w:tcPr>
          <w:p w14:paraId="19485CAF"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7,782,258</w:t>
            </w:r>
          </w:p>
        </w:tc>
        <w:tc>
          <w:tcPr>
            <w:tcW w:w="1207" w:type="dxa"/>
            <w:tcBorders>
              <w:top w:val="single" w:sz="4" w:space="0" w:color="auto"/>
              <w:left w:val="nil"/>
              <w:bottom w:val="double" w:sz="6" w:space="0" w:color="auto"/>
              <w:right w:val="nil"/>
            </w:tcBorders>
            <w:shd w:val="clear" w:color="auto" w:fill="auto"/>
            <w:noWrap/>
            <w:vAlign w:val="bottom"/>
            <w:hideMark/>
          </w:tcPr>
          <w:p w14:paraId="08185DED"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5,513,813</w:t>
            </w:r>
          </w:p>
        </w:tc>
        <w:tc>
          <w:tcPr>
            <w:tcW w:w="1207" w:type="dxa"/>
            <w:tcBorders>
              <w:top w:val="single" w:sz="4" w:space="0" w:color="auto"/>
              <w:left w:val="nil"/>
              <w:bottom w:val="double" w:sz="6" w:space="0" w:color="auto"/>
              <w:right w:val="nil"/>
            </w:tcBorders>
            <w:shd w:val="clear" w:color="auto" w:fill="auto"/>
            <w:noWrap/>
            <w:vAlign w:val="bottom"/>
            <w:hideMark/>
          </w:tcPr>
          <w:p w14:paraId="29D7F0FD"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6,847,113</w:t>
            </w:r>
          </w:p>
        </w:tc>
        <w:tc>
          <w:tcPr>
            <w:tcW w:w="1310" w:type="dxa"/>
            <w:tcBorders>
              <w:top w:val="single" w:sz="4" w:space="0" w:color="auto"/>
              <w:left w:val="nil"/>
              <w:bottom w:val="double" w:sz="6" w:space="0" w:color="auto"/>
              <w:right w:val="nil"/>
            </w:tcBorders>
            <w:shd w:val="clear" w:color="auto" w:fill="auto"/>
            <w:noWrap/>
            <w:vAlign w:val="bottom"/>
            <w:hideMark/>
          </w:tcPr>
          <w:p w14:paraId="5C44F3F9"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2,689,798</w:t>
            </w:r>
          </w:p>
        </w:tc>
        <w:tc>
          <w:tcPr>
            <w:tcW w:w="1207" w:type="dxa"/>
            <w:tcBorders>
              <w:top w:val="single" w:sz="4" w:space="0" w:color="auto"/>
              <w:left w:val="nil"/>
              <w:bottom w:val="double" w:sz="6" w:space="0" w:color="auto"/>
              <w:right w:val="nil"/>
            </w:tcBorders>
            <w:shd w:val="clear" w:color="auto" w:fill="auto"/>
            <w:noWrap/>
            <w:vAlign w:val="bottom"/>
            <w:hideMark/>
          </w:tcPr>
          <w:p w14:paraId="5C507E08"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2,545,393</w:t>
            </w:r>
          </w:p>
        </w:tc>
      </w:tr>
      <w:tr w:rsidR="00437109" w:rsidRPr="00853F57" w14:paraId="2E986D97" w14:textId="77777777" w:rsidTr="00E30F09">
        <w:trPr>
          <w:trHeight w:val="209"/>
          <w:tblHeader/>
        </w:trPr>
        <w:tc>
          <w:tcPr>
            <w:tcW w:w="3211" w:type="dxa"/>
            <w:tcBorders>
              <w:top w:val="nil"/>
              <w:left w:val="nil"/>
              <w:bottom w:val="nil"/>
              <w:right w:val="nil"/>
            </w:tcBorders>
            <w:shd w:val="clear" w:color="auto" w:fill="auto"/>
            <w:noWrap/>
            <w:vAlign w:val="bottom"/>
            <w:hideMark/>
          </w:tcPr>
          <w:p w14:paraId="7318EEF5" w14:textId="77777777" w:rsidR="00437109" w:rsidRPr="00853F57" w:rsidRDefault="00437109" w:rsidP="00F6167B">
            <w:pPr>
              <w:rPr>
                <w:rFonts w:ascii="Arial" w:hAnsi="Arial" w:cs="Arial"/>
                <w:b/>
                <w:bCs/>
                <w:color w:val="000000" w:themeColor="text1"/>
                <w:sz w:val="18"/>
                <w:szCs w:val="16"/>
                <w:lang w:val="en-GB"/>
              </w:rPr>
            </w:pPr>
          </w:p>
        </w:tc>
        <w:tc>
          <w:tcPr>
            <w:tcW w:w="1289" w:type="dxa"/>
            <w:tcBorders>
              <w:top w:val="nil"/>
              <w:left w:val="nil"/>
              <w:bottom w:val="nil"/>
              <w:right w:val="nil"/>
            </w:tcBorders>
            <w:shd w:val="clear" w:color="auto" w:fill="auto"/>
            <w:noWrap/>
            <w:vAlign w:val="bottom"/>
            <w:hideMark/>
          </w:tcPr>
          <w:p w14:paraId="1E94148F" w14:textId="77777777" w:rsidR="00437109" w:rsidRPr="00853F57" w:rsidRDefault="00437109" w:rsidP="00F6167B">
            <w:pPr>
              <w:jc w:val="center"/>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31E566A0" w14:textId="77777777" w:rsidR="00437109" w:rsidRPr="00853F57" w:rsidRDefault="00437109" w:rsidP="00F6167B">
            <w:pPr>
              <w:jc w:val="center"/>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489ED633" w14:textId="77777777" w:rsidR="00437109" w:rsidRPr="00853F57" w:rsidRDefault="00437109" w:rsidP="00F6167B">
            <w:pPr>
              <w:jc w:val="center"/>
              <w:rPr>
                <w:rFonts w:ascii="Arial" w:hAnsi="Arial" w:cs="Arial"/>
                <w:color w:val="000000" w:themeColor="text1"/>
                <w:sz w:val="18"/>
                <w:szCs w:val="16"/>
                <w:lang w:val="en-GB"/>
              </w:rPr>
            </w:pPr>
          </w:p>
        </w:tc>
        <w:tc>
          <w:tcPr>
            <w:tcW w:w="1310" w:type="dxa"/>
            <w:tcBorders>
              <w:top w:val="nil"/>
              <w:left w:val="nil"/>
              <w:bottom w:val="nil"/>
              <w:right w:val="nil"/>
            </w:tcBorders>
            <w:shd w:val="clear" w:color="auto" w:fill="auto"/>
            <w:noWrap/>
            <w:vAlign w:val="bottom"/>
            <w:hideMark/>
          </w:tcPr>
          <w:p w14:paraId="108C46B6" w14:textId="77777777" w:rsidR="00437109" w:rsidRPr="00853F57" w:rsidRDefault="00437109" w:rsidP="00F6167B">
            <w:pPr>
              <w:jc w:val="center"/>
              <w:rPr>
                <w:rFonts w:ascii="Arial" w:hAnsi="Arial" w:cs="Arial"/>
                <w:color w:val="000000" w:themeColor="text1"/>
                <w:sz w:val="18"/>
                <w:szCs w:val="16"/>
                <w:lang w:val="en-GB"/>
              </w:rPr>
            </w:pPr>
          </w:p>
        </w:tc>
        <w:tc>
          <w:tcPr>
            <w:tcW w:w="1207" w:type="dxa"/>
            <w:tcBorders>
              <w:top w:val="nil"/>
              <w:left w:val="nil"/>
              <w:bottom w:val="nil"/>
              <w:right w:val="nil"/>
            </w:tcBorders>
            <w:shd w:val="clear" w:color="auto" w:fill="auto"/>
            <w:noWrap/>
            <w:vAlign w:val="bottom"/>
            <w:hideMark/>
          </w:tcPr>
          <w:p w14:paraId="708161F8" w14:textId="77777777" w:rsidR="00437109" w:rsidRPr="00853F57" w:rsidRDefault="00437109" w:rsidP="00F6167B">
            <w:pPr>
              <w:jc w:val="center"/>
              <w:rPr>
                <w:rFonts w:ascii="Arial" w:hAnsi="Arial" w:cs="Arial"/>
                <w:color w:val="000000" w:themeColor="text1"/>
                <w:sz w:val="18"/>
                <w:szCs w:val="16"/>
                <w:lang w:val="en-GB"/>
              </w:rPr>
            </w:pPr>
          </w:p>
        </w:tc>
      </w:tr>
      <w:tr w:rsidR="00437109" w:rsidRPr="00853F57" w14:paraId="72542E8C" w14:textId="77777777" w:rsidTr="00E30F09">
        <w:trPr>
          <w:trHeight w:val="198"/>
          <w:tblHeader/>
        </w:trPr>
        <w:tc>
          <w:tcPr>
            <w:tcW w:w="4500" w:type="dxa"/>
            <w:gridSpan w:val="2"/>
            <w:tcBorders>
              <w:top w:val="single" w:sz="4" w:space="0" w:color="auto"/>
              <w:left w:val="nil"/>
              <w:bottom w:val="nil"/>
              <w:right w:val="nil"/>
            </w:tcBorders>
            <w:shd w:val="clear" w:color="auto" w:fill="auto"/>
            <w:noWrap/>
            <w:vAlign w:val="bottom"/>
            <w:hideMark/>
          </w:tcPr>
          <w:p w14:paraId="28B1157F" w14:textId="730231B1" w:rsidR="00437109" w:rsidRPr="00853F57" w:rsidRDefault="00437109" w:rsidP="00F6167B">
            <w:pPr>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 xml:space="preserve">Profit </w:t>
            </w:r>
            <w:r w:rsidR="00DC6188" w:rsidRPr="00853F57">
              <w:rPr>
                <w:rFonts w:ascii="Arial" w:hAnsi="Arial" w:cs="Arial"/>
                <w:b/>
                <w:bCs/>
                <w:color w:val="000000" w:themeColor="text1"/>
                <w:sz w:val="18"/>
                <w:szCs w:val="16"/>
                <w:lang w:val="en-GB"/>
              </w:rPr>
              <w:t>for the Year Attributable to:</w:t>
            </w:r>
          </w:p>
        </w:tc>
        <w:tc>
          <w:tcPr>
            <w:tcW w:w="1207" w:type="dxa"/>
            <w:tcBorders>
              <w:top w:val="single" w:sz="4" w:space="0" w:color="auto"/>
              <w:left w:val="nil"/>
              <w:bottom w:val="nil"/>
              <w:right w:val="nil"/>
            </w:tcBorders>
            <w:shd w:val="clear" w:color="auto" w:fill="auto"/>
            <w:noWrap/>
            <w:vAlign w:val="bottom"/>
            <w:hideMark/>
          </w:tcPr>
          <w:p w14:paraId="2C92623C" w14:textId="77777777" w:rsidR="00437109" w:rsidRPr="00853F57" w:rsidRDefault="00437109" w:rsidP="00F6167B">
            <w:pPr>
              <w:jc w:val="center"/>
              <w:rPr>
                <w:rFonts w:ascii="Arial" w:hAnsi="Arial" w:cs="Arial"/>
                <w:color w:val="000000" w:themeColor="text1"/>
                <w:sz w:val="18"/>
                <w:szCs w:val="16"/>
                <w:lang w:val="en-GB"/>
              </w:rPr>
            </w:pPr>
          </w:p>
        </w:tc>
        <w:tc>
          <w:tcPr>
            <w:tcW w:w="1207" w:type="dxa"/>
            <w:tcBorders>
              <w:top w:val="single" w:sz="4" w:space="0" w:color="auto"/>
              <w:left w:val="nil"/>
              <w:bottom w:val="nil"/>
              <w:right w:val="nil"/>
            </w:tcBorders>
            <w:shd w:val="clear" w:color="auto" w:fill="auto"/>
            <w:noWrap/>
            <w:vAlign w:val="bottom"/>
            <w:hideMark/>
          </w:tcPr>
          <w:p w14:paraId="06CF5B03" w14:textId="77777777" w:rsidR="00437109" w:rsidRPr="00853F57" w:rsidRDefault="00437109" w:rsidP="00F6167B">
            <w:pPr>
              <w:jc w:val="center"/>
              <w:rPr>
                <w:rFonts w:ascii="Arial" w:hAnsi="Arial" w:cs="Arial"/>
                <w:color w:val="000000" w:themeColor="text1"/>
                <w:sz w:val="18"/>
                <w:szCs w:val="16"/>
                <w:lang w:val="en-GB"/>
              </w:rPr>
            </w:pPr>
          </w:p>
        </w:tc>
        <w:tc>
          <w:tcPr>
            <w:tcW w:w="1310" w:type="dxa"/>
            <w:tcBorders>
              <w:top w:val="single" w:sz="4" w:space="0" w:color="auto"/>
              <w:left w:val="nil"/>
              <w:bottom w:val="nil"/>
              <w:right w:val="nil"/>
            </w:tcBorders>
            <w:shd w:val="clear" w:color="auto" w:fill="auto"/>
            <w:noWrap/>
            <w:vAlign w:val="bottom"/>
            <w:hideMark/>
          </w:tcPr>
          <w:p w14:paraId="5BE332F1" w14:textId="77777777" w:rsidR="00437109" w:rsidRPr="00853F57" w:rsidRDefault="00437109" w:rsidP="00F6167B">
            <w:pPr>
              <w:jc w:val="center"/>
              <w:rPr>
                <w:rFonts w:ascii="Arial" w:hAnsi="Arial" w:cs="Arial"/>
                <w:color w:val="000000" w:themeColor="text1"/>
                <w:sz w:val="18"/>
                <w:szCs w:val="16"/>
                <w:lang w:val="en-GB"/>
              </w:rPr>
            </w:pPr>
          </w:p>
        </w:tc>
        <w:tc>
          <w:tcPr>
            <w:tcW w:w="1207" w:type="dxa"/>
            <w:tcBorders>
              <w:top w:val="single" w:sz="4" w:space="0" w:color="auto"/>
              <w:left w:val="nil"/>
              <w:bottom w:val="nil"/>
              <w:right w:val="nil"/>
            </w:tcBorders>
            <w:shd w:val="clear" w:color="auto" w:fill="auto"/>
            <w:noWrap/>
            <w:vAlign w:val="bottom"/>
            <w:hideMark/>
          </w:tcPr>
          <w:p w14:paraId="362631E0" w14:textId="77777777" w:rsidR="00437109" w:rsidRPr="00853F57" w:rsidRDefault="00437109" w:rsidP="00F6167B">
            <w:pPr>
              <w:jc w:val="center"/>
              <w:rPr>
                <w:rFonts w:ascii="Arial" w:hAnsi="Arial" w:cs="Arial"/>
                <w:color w:val="000000" w:themeColor="text1"/>
                <w:sz w:val="18"/>
                <w:szCs w:val="16"/>
                <w:lang w:val="en-GB"/>
              </w:rPr>
            </w:pPr>
          </w:p>
        </w:tc>
      </w:tr>
      <w:tr w:rsidR="00437109" w:rsidRPr="00853F57" w14:paraId="1831E2BF" w14:textId="77777777" w:rsidTr="00E30F09">
        <w:trPr>
          <w:trHeight w:val="198"/>
          <w:tblHeader/>
        </w:trPr>
        <w:tc>
          <w:tcPr>
            <w:tcW w:w="3211" w:type="dxa"/>
            <w:tcBorders>
              <w:top w:val="nil"/>
              <w:left w:val="nil"/>
              <w:bottom w:val="nil"/>
              <w:right w:val="nil"/>
            </w:tcBorders>
            <w:shd w:val="clear" w:color="auto" w:fill="auto"/>
            <w:noWrap/>
            <w:vAlign w:val="bottom"/>
            <w:hideMark/>
          </w:tcPr>
          <w:p w14:paraId="228A9856" w14:textId="3CE96243"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xml:space="preserve">Equity </w:t>
            </w:r>
            <w:r w:rsidR="00DC6188" w:rsidRPr="00853F57">
              <w:rPr>
                <w:rFonts w:ascii="Arial" w:hAnsi="Arial" w:cs="Arial"/>
                <w:color w:val="000000" w:themeColor="text1"/>
                <w:sz w:val="18"/>
                <w:szCs w:val="16"/>
                <w:lang w:val="en-GB"/>
              </w:rPr>
              <w:t>Holders of the Parent Company</w:t>
            </w:r>
          </w:p>
        </w:tc>
        <w:tc>
          <w:tcPr>
            <w:tcW w:w="1289" w:type="dxa"/>
            <w:tcBorders>
              <w:top w:val="nil"/>
              <w:left w:val="nil"/>
              <w:bottom w:val="nil"/>
              <w:right w:val="nil"/>
            </w:tcBorders>
            <w:shd w:val="clear" w:color="auto" w:fill="auto"/>
            <w:noWrap/>
            <w:vAlign w:val="bottom"/>
            <w:hideMark/>
          </w:tcPr>
          <w:p w14:paraId="3A02EF3D"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7,780,933</w:t>
            </w:r>
          </w:p>
        </w:tc>
        <w:tc>
          <w:tcPr>
            <w:tcW w:w="1207" w:type="dxa"/>
            <w:tcBorders>
              <w:top w:val="nil"/>
              <w:left w:val="nil"/>
              <w:bottom w:val="nil"/>
              <w:right w:val="nil"/>
            </w:tcBorders>
            <w:shd w:val="clear" w:color="auto" w:fill="auto"/>
            <w:noWrap/>
            <w:vAlign w:val="bottom"/>
            <w:hideMark/>
          </w:tcPr>
          <w:p w14:paraId="1DA0C264"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5,512,316</w:t>
            </w:r>
          </w:p>
        </w:tc>
        <w:tc>
          <w:tcPr>
            <w:tcW w:w="1207" w:type="dxa"/>
            <w:tcBorders>
              <w:top w:val="nil"/>
              <w:left w:val="nil"/>
              <w:bottom w:val="nil"/>
              <w:right w:val="nil"/>
            </w:tcBorders>
            <w:shd w:val="clear" w:color="auto" w:fill="auto"/>
            <w:noWrap/>
            <w:vAlign w:val="bottom"/>
            <w:hideMark/>
          </w:tcPr>
          <w:p w14:paraId="3B4E37E4"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6,845,856</w:t>
            </w:r>
          </w:p>
        </w:tc>
        <w:tc>
          <w:tcPr>
            <w:tcW w:w="1310" w:type="dxa"/>
            <w:tcBorders>
              <w:top w:val="nil"/>
              <w:left w:val="nil"/>
              <w:bottom w:val="nil"/>
              <w:right w:val="nil"/>
            </w:tcBorders>
            <w:shd w:val="clear" w:color="auto" w:fill="auto"/>
            <w:noWrap/>
            <w:vAlign w:val="bottom"/>
            <w:hideMark/>
          </w:tcPr>
          <w:p w14:paraId="42C2FD32"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2,688,485</w:t>
            </w:r>
          </w:p>
        </w:tc>
        <w:tc>
          <w:tcPr>
            <w:tcW w:w="1207" w:type="dxa"/>
            <w:tcBorders>
              <w:top w:val="nil"/>
              <w:left w:val="nil"/>
              <w:bottom w:val="nil"/>
              <w:right w:val="nil"/>
            </w:tcBorders>
            <w:shd w:val="clear" w:color="auto" w:fill="auto"/>
            <w:noWrap/>
            <w:vAlign w:val="bottom"/>
            <w:hideMark/>
          </w:tcPr>
          <w:p w14:paraId="4D78390F"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2,544,411</w:t>
            </w:r>
          </w:p>
        </w:tc>
      </w:tr>
      <w:tr w:rsidR="00437109" w:rsidRPr="00853F57" w14:paraId="3F66577C" w14:textId="77777777" w:rsidTr="00E30F09">
        <w:trPr>
          <w:trHeight w:val="198"/>
          <w:tblHeader/>
        </w:trPr>
        <w:tc>
          <w:tcPr>
            <w:tcW w:w="3211" w:type="dxa"/>
            <w:tcBorders>
              <w:top w:val="nil"/>
              <w:left w:val="nil"/>
              <w:bottom w:val="single" w:sz="4" w:space="0" w:color="auto"/>
              <w:right w:val="nil"/>
            </w:tcBorders>
            <w:shd w:val="clear" w:color="auto" w:fill="auto"/>
            <w:noWrap/>
            <w:vAlign w:val="bottom"/>
            <w:hideMark/>
          </w:tcPr>
          <w:p w14:paraId="4CD47B40" w14:textId="6EBF62B0"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Non</w:t>
            </w:r>
            <w:r w:rsidR="00DC6188" w:rsidRPr="00853F57">
              <w:rPr>
                <w:rFonts w:ascii="Arial" w:hAnsi="Arial" w:cs="Arial"/>
                <w:color w:val="000000" w:themeColor="text1"/>
                <w:sz w:val="18"/>
                <w:szCs w:val="16"/>
                <w:lang w:val="en-GB"/>
              </w:rPr>
              <w:t>-Controlling Interest</w:t>
            </w:r>
          </w:p>
        </w:tc>
        <w:tc>
          <w:tcPr>
            <w:tcW w:w="1289" w:type="dxa"/>
            <w:tcBorders>
              <w:top w:val="nil"/>
              <w:left w:val="nil"/>
              <w:bottom w:val="single" w:sz="4" w:space="0" w:color="auto"/>
              <w:right w:val="nil"/>
            </w:tcBorders>
            <w:shd w:val="clear" w:color="auto" w:fill="auto"/>
            <w:noWrap/>
            <w:vAlign w:val="bottom"/>
            <w:hideMark/>
          </w:tcPr>
          <w:p w14:paraId="0E891321"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1,325</w:t>
            </w:r>
          </w:p>
        </w:tc>
        <w:tc>
          <w:tcPr>
            <w:tcW w:w="1207" w:type="dxa"/>
            <w:tcBorders>
              <w:top w:val="nil"/>
              <w:left w:val="nil"/>
              <w:bottom w:val="single" w:sz="4" w:space="0" w:color="auto"/>
              <w:right w:val="nil"/>
            </w:tcBorders>
            <w:shd w:val="clear" w:color="auto" w:fill="auto"/>
            <w:noWrap/>
            <w:vAlign w:val="bottom"/>
            <w:hideMark/>
          </w:tcPr>
          <w:p w14:paraId="3BAF9A67"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1,497</w:t>
            </w:r>
          </w:p>
        </w:tc>
        <w:tc>
          <w:tcPr>
            <w:tcW w:w="1207" w:type="dxa"/>
            <w:tcBorders>
              <w:top w:val="nil"/>
              <w:left w:val="nil"/>
              <w:bottom w:val="single" w:sz="4" w:space="0" w:color="auto"/>
              <w:right w:val="nil"/>
            </w:tcBorders>
            <w:shd w:val="clear" w:color="auto" w:fill="auto"/>
            <w:noWrap/>
            <w:vAlign w:val="bottom"/>
            <w:hideMark/>
          </w:tcPr>
          <w:p w14:paraId="5AC32AD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1,257</w:t>
            </w:r>
          </w:p>
        </w:tc>
        <w:tc>
          <w:tcPr>
            <w:tcW w:w="1310" w:type="dxa"/>
            <w:tcBorders>
              <w:top w:val="nil"/>
              <w:left w:val="nil"/>
              <w:bottom w:val="single" w:sz="4" w:space="0" w:color="auto"/>
              <w:right w:val="nil"/>
            </w:tcBorders>
            <w:shd w:val="clear" w:color="auto" w:fill="auto"/>
            <w:noWrap/>
            <w:vAlign w:val="bottom"/>
            <w:hideMark/>
          </w:tcPr>
          <w:p w14:paraId="0C4FA0F9"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1,313</w:t>
            </w:r>
          </w:p>
        </w:tc>
        <w:tc>
          <w:tcPr>
            <w:tcW w:w="1207" w:type="dxa"/>
            <w:tcBorders>
              <w:top w:val="nil"/>
              <w:left w:val="nil"/>
              <w:bottom w:val="single" w:sz="4" w:space="0" w:color="auto"/>
              <w:right w:val="nil"/>
            </w:tcBorders>
            <w:shd w:val="clear" w:color="auto" w:fill="auto"/>
            <w:noWrap/>
            <w:vAlign w:val="bottom"/>
            <w:hideMark/>
          </w:tcPr>
          <w:p w14:paraId="65DF37A3" w14:textId="77777777" w:rsidR="00437109" w:rsidRPr="00853F57" w:rsidRDefault="00437109" w:rsidP="00034CB9">
            <w:pPr>
              <w:jc w:val="right"/>
              <w:rPr>
                <w:rFonts w:ascii="Arial" w:hAnsi="Arial" w:cs="Arial"/>
                <w:color w:val="000000" w:themeColor="text1"/>
                <w:sz w:val="18"/>
                <w:szCs w:val="16"/>
                <w:lang w:val="en-GB"/>
              </w:rPr>
            </w:pPr>
            <w:r w:rsidRPr="00853F57">
              <w:rPr>
                <w:rFonts w:ascii="Arial" w:hAnsi="Arial" w:cs="Arial"/>
                <w:color w:val="000000" w:themeColor="text1"/>
                <w:sz w:val="18"/>
                <w:szCs w:val="16"/>
                <w:lang w:val="en-GB"/>
              </w:rPr>
              <w:t>982</w:t>
            </w:r>
          </w:p>
        </w:tc>
      </w:tr>
      <w:tr w:rsidR="00437109" w:rsidRPr="00853F57" w14:paraId="3C391AA3" w14:textId="77777777" w:rsidTr="00E30F09">
        <w:trPr>
          <w:trHeight w:val="209"/>
          <w:tblHeader/>
        </w:trPr>
        <w:tc>
          <w:tcPr>
            <w:tcW w:w="3211" w:type="dxa"/>
            <w:tcBorders>
              <w:top w:val="nil"/>
              <w:left w:val="nil"/>
              <w:bottom w:val="double" w:sz="6" w:space="0" w:color="auto"/>
              <w:right w:val="nil"/>
            </w:tcBorders>
            <w:shd w:val="clear" w:color="auto" w:fill="auto"/>
            <w:noWrap/>
            <w:vAlign w:val="bottom"/>
            <w:hideMark/>
          </w:tcPr>
          <w:p w14:paraId="5436FFC5" w14:textId="77777777" w:rsidR="00437109" w:rsidRPr="00853F57" w:rsidRDefault="00437109" w:rsidP="00F6167B">
            <w:pPr>
              <w:rPr>
                <w:rFonts w:ascii="Arial" w:hAnsi="Arial" w:cs="Arial"/>
                <w:color w:val="000000" w:themeColor="text1"/>
                <w:sz w:val="18"/>
                <w:szCs w:val="16"/>
                <w:lang w:val="en-GB"/>
              </w:rPr>
            </w:pPr>
            <w:r w:rsidRPr="00853F57">
              <w:rPr>
                <w:rFonts w:ascii="Arial" w:hAnsi="Arial" w:cs="Arial"/>
                <w:color w:val="000000" w:themeColor="text1"/>
                <w:sz w:val="18"/>
                <w:szCs w:val="16"/>
                <w:lang w:val="en-GB"/>
              </w:rPr>
              <w:t> </w:t>
            </w:r>
          </w:p>
        </w:tc>
        <w:tc>
          <w:tcPr>
            <w:tcW w:w="1289" w:type="dxa"/>
            <w:tcBorders>
              <w:top w:val="nil"/>
              <w:left w:val="nil"/>
              <w:bottom w:val="double" w:sz="6" w:space="0" w:color="auto"/>
              <w:right w:val="nil"/>
            </w:tcBorders>
            <w:shd w:val="clear" w:color="auto" w:fill="auto"/>
            <w:noWrap/>
            <w:vAlign w:val="bottom"/>
            <w:hideMark/>
          </w:tcPr>
          <w:p w14:paraId="5CFF0C98"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7,782,258</w:t>
            </w:r>
          </w:p>
        </w:tc>
        <w:tc>
          <w:tcPr>
            <w:tcW w:w="1207" w:type="dxa"/>
            <w:tcBorders>
              <w:top w:val="nil"/>
              <w:left w:val="nil"/>
              <w:bottom w:val="double" w:sz="6" w:space="0" w:color="auto"/>
              <w:right w:val="nil"/>
            </w:tcBorders>
            <w:shd w:val="clear" w:color="auto" w:fill="auto"/>
            <w:noWrap/>
            <w:vAlign w:val="bottom"/>
            <w:hideMark/>
          </w:tcPr>
          <w:p w14:paraId="3F930FDD"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5,513,813</w:t>
            </w:r>
          </w:p>
        </w:tc>
        <w:tc>
          <w:tcPr>
            <w:tcW w:w="1207" w:type="dxa"/>
            <w:tcBorders>
              <w:top w:val="nil"/>
              <w:left w:val="nil"/>
              <w:bottom w:val="double" w:sz="6" w:space="0" w:color="auto"/>
              <w:right w:val="nil"/>
            </w:tcBorders>
            <w:shd w:val="clear" w:color="auto" w:fill="auto"/>
            <w:noWrap/>
            <w:vAlign w:val="bottom"/>
            <w:hideMark/>
          </w:tcPr>
          <w:p w14:paraId="07D479AA"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6,847,113</w:t>
            </w:r>
          </w:p>
        </w:tc>
        <w:tc>
          <w:tcPr>
            <w:tcW w:w="1310" w:type="dxa"/>
            <w:tcBorders>
              <w:top w:val="nil"/>
              <w:left w:val="nil"/>
              <w:bottom w:val="double" w:sz="6" w:space="0" w:color="auto"/>
              <w:right w:val="nil"/>
            </w:tcBorders>
            <w:shd w:val="clear" w:color="auto" w:fill="auto"/>
            <w:noWrap/>
            <w:vAlign w:val="bottom"/>
            <w:hideMark/>
          </w:tcPr>
          <w:p w14:paraId="7D4C2334"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2,689,798</w:t>
            </w:r>
          </w:p>
        </w:tc>
        <w:tc>
          <w:tcPr>
            <w:tcW w:w="1207" w:type="dxa"/>
            <w:tcBorders>
              <w:top w:val="nil"/>
              <w:left w:val="nil"/>
              <w:bottom w:val="double" w:sz="6" w:space="0" w:color="auto"/>
              <w:right w:val="nil"/>
            </w:tcBorders>
            <w:shd w:val="clear" w:color="auto" w:fill="auto"/>
            <w:noWrap/>
            <w:vAlign w:val="bottom"/>
            <w:hideMark/>
          </w:tcPr>
          <w:p w14:paraId="6CEF87C9" w14:textId="77777777" w:rsidR="00437109" w:rsidRPr="00853F57" w:rsidRDefault="00437109" w:rsidP="00034CB9">
            <w:pPr>
              <w:jc w:val="right"/>
              <w:rPr>
                <w:rFonts w:ascii="Arial" w:hAnsi="Arial" w:cs="Arial"/>
                <w:b/>
                <w:bCs/>
                <w:color w:val="000000" w:themeColor="text1"/>
                <w:sz w:val="18"/>
                <w:szCs w:val="16"/>
                <w:lang w:val="en-GB"/>
              </w:rPr>
            </w:pPr>
            <w:r w:rsidRPr="00853F57">
              <w:rPr>
                <w:rFonts w:ascii="Arial" w:hAnsi="Arial" w:cs="Arial"/>
                <w:b/>
                <w:bCs/>
                <w:color w:val="000000" w:themeColor="text1"/>
                <w:sz w:val="18"/>
                <w:szCs w:val="16"/>
                <w:lang w:val="en-GB"/>
              </w:rPr>
              <w:t>2,545,393</w:t>
            </w:r>
          </w:p>
        </w:tc>
      </w:tr>
    </w:tbl>
    <w:p w14:paraId="35B89B42" w14:textId="77777777" w:rsidR="00437109" w:rsidRPr="00853F57" w:rsidRDefault="00437109" w:rsidP="00437109">
      <w:pPr>
        <w:rPr>
          <w:rFonts w:ascii="Arial" w:hAnsi="Arial" w:cs="Arial"/>
          <w:color w:val="000000" w:themeColor="text1"/>
          <w:sz w:val="16"/>
          <w:szCs w:val="16"/>
          <w:lang w:val="en-GB"/>
        </w:rPr>
      </w:pPr>
    </w:p>
    <w:p w14:paraId="75BFB95A" w14:textId="4F79BCDA" w:rsidR="00437109" w:rsidRPr="00853F57" w:rsidRDefault="00437109" w:rsidP="00437109">
      <w:pPr>
        <w:rPr>
          <w:rFonts w:ascii="Arial" w:hAnsi="Arial" w:cs="Arial"/>
          <w:color w:val="000000" w:themeColor="text1"/>
          <w:sz w:val="16"/>
          <w:szCs w:val="16"/>
          <w:lang w:val="en-GB"/>
        </w:rPr>
      </w:pPr>
      <w:r w:rsidRPr="00853F57">
        <w:rPr>
          <w:rFonts w:ascii="Arial" w:hAnsi="Arial" w:cs="Arial"/>
          <w:color w:val="000000" w:themeColor="text1"/>
          <w:sz w:val="16"/>
          <w:szCs w:val="16"/>
          <w:lang w:val="en-GB"/>
        </w:rPr>
        <w:t xml:space="preserve">Source: </w:t>
      </w:r>
      <w:r w:rsidR="00DC6188" w:rsidRPr="00853F57">
        <w:rPr>
          <w:rFonts w:ascii="Arial" w:hAnsi="Arial" w:cs="Arial"/>
          <w:color w:val="000000" w:themeColor="text1"/>
          <w:sz w:val="16"/>
          <w:szCs w:val="16"/>
          <w:lang w:val="en-GB"/>
        </w:rPr>
        <w:t>“</w:t>
      </w:r>
      <w:r w:rsidR="00E77C8C">
        <w:rPr>
          <w:rFonts w:ascii="Arial" w:hAnsi="Arial" w:cs="Arial"/>
          <w:color w:val="000000" w:themeColor="text1"/>
          <w:sz w:val="16"/>
          <w:szCs w:val="16"/>
          <w:lang w:val="en-GB"/>
        </w:rPr>
        <w:t>Holcim Philippines Financials/Valuation - Income Statement</w:t>
      </w:r>
      <w:r w:rsidR="00DC6188" w:rsidRPr="00853F57">
        <w:rPr>
          <w:rFonts w:ascii="Arial" w:hAnsi="Arial" w:cs="Arial"/>
          <w:color w:val="000000" w:themeColor="text1"/>
          <w:sz w:val="16"/>
          <w:szCs w:val="16"/>
          <w:lang w:val="en-GB"/>
        </w:rPr>
        <w:t xml:space="preserve">,” </w:t>
      </w:r>
      <w:r w:rsidRPr="00853F57">
        <w:rPr>
          <w:rFonts w:ascii="Arial" w:hAnsi="Arial" w:cs="Arial"/>
          <w:color w:val="000000" w:themeColor="text1"/>
          <w:sz w:val="16"/>
          <w:szCs w:val="16"/>
          <w:lang w:val="en-GB"/>
        </w:rPr>
        <w:t>S&amp;P Capital IQ, accessed July 26,</w:t>
      </w:r>
      <w:r w:rsidR="00DC6188" w:rsidRPr="00853F57">
        <w:rPr>
          <w:rFonts w:ascii="Arial" w:hAnsi="Arial" w:cs="Arial"/>
          <w:color w:val="000000" w:themeColor="text1"/>
          <w:sz w:val="16"/>
          <w:szCs w:val="16"/>
          <w:lang w:val="en-GB"/>
        </w:rPr>
        <w:t xml:space="preserve"> </w:t>
      </w:r>
      <w:r w:rsidRPr="00853F57">
        <w:rPr>
          <w:rFonts w:ascii="Arial" w:hAnsi="Arial" w:cs="Arial"/>
          <w:color w:val="000000" w:themeColor="text1"/>
          <w:sz w:val="16"/>
          <w:szCs w:val="16"/>
          <w:lang w:val="en-GB"/>
        </w:rPr>
        <w:t>2020.</w:t>
      </w:r>
    </w:p>
    <w:p w14:paraId="57369F3D" w14:textId="46011175" w:rsidR="00437109" w:rsidRPr="00853F57" w:rsidRDefault="00437109" w:rsidP="00437109">
      <w:pPr>
        <w:jc w:val="center"/>
        <w:rPr>
          <w:rFonts w:ascii="Arial" w:hAnsi="Arial" w:cs="Arial"/>
          <w:b/>
          <w:bCs/>
          <w:color w:val="000000" w:themeColor="text1"/>
          <w:lang w:val="en-GB"/>
        </w:rPr>
      </w:pPr>
      <w:r w:rsidRPr="00853F57">
        <w:rPr>
          <w:b/>
          <w:color w:val="000000" w:themeColor="text1"/>
          <w:lang w:val="en-GB"/>
        </w:rPr>
        <w:br w:type="page"/>
      </w:r>
      <w:r w:rsidRPr="00853F57">
        <w:rPr>
          <w:rFonts w:ascii="Arial" w:hAnsi="Arial" w:cs="Arial"/>
          <w:b/>
          <w:caps/>
          <w:color w:val="000000" w:themeColor="text1"/>
          <w:lang w:val="en-GB"/>
        </w:rPr>
        <w:lastRenderedPageBreak/>
        <w:t xml:space="preserve">Exhibit </w:t>
      </w:r>
      <w:r w:rsidR="00251D7E" w:rsidRPr="00853F57">
        <w:rPr>
          <w:rFonts w:ascii="Arial" w:hAnsi="Arial" w:cs="Arial"/>
          <w:b/>
          <w:caps/>
          <w:color w:val="000000" w:themeColor="text1"/>
          <w:lang w:val="en-GB"/>
        </w:rPr>
        <w:t>6</w:t>
      </w:r>
      <w:r w:rsidRPr="00853F57">
        <w:rPr>
          <w:rFonts w:ascii="Arial" w:hAnsi="Arial" w:cs="Arial"/>
          <w:b/>
          <w:caps/>
          <w:color w:val="000000" w:themeColor="text1"/>
          <w:lang w:val="en-GB"/>
        </w:rPr>
        <w:t xml:space="preserve">: </w:t>
      </w:r>
      <w:r w:rsidR="000B5B77" w:rsidRPr="00853F57">
        <w:rPr>
          <w:rFonts w:ascii="Arial" w:hAnsi="Arial" w:cs="Arial"/>
          <w:b/>
          <w:caps/>
          <w:color w:val="000000" w:themeColor="text1"/>
          <w:lang w:val="en-GB"/>
        </w:rPr>
        <w:t>Holcim Philippines Inc.</w:t>
      </w:r>
      <w:r w:rsidR="00FA17FB">
        <w:rPr>
          <w:rFonts w:ascii="Arial" w:hAnsi="Arial" w:cs="Arial"/>
          <w:b/>
          <w:caps/>
          <w:color w:val="000000" w:themeColor="text1"/>
          <w:lang w:val="en-GB"/>
        </w:rPr>
        <w:t xml:space="preserve"> </w:t>
      </w:r>
      <w:r w:rsidRPr="00853F57">
        <w:rPr>
          <w:rFonts w:ascii="Arial" w:hAnsi="Arial" w:cs="Arial"/>
          <w:b/>
          <w:caps/>
          <w:color w:val="000000" w:themeColor="text1"/>
          <w:lang w:val="en-GB"/>
        </w:rPr>
        <w:t xml:space="preserve">Balance Sheet as of December 31 </w:t>
      </w:r>
      <w:bookmarkStart w:id="12" w:name="_Hlk49419465"/>
      <w:r w:rsidRPr="00853F57">
        <w:rPr>
          <w:rFonts w:ascii="Arial" w:hAnsi="Arial" w:cs="Arial"/>
          <w:b/>
          <w:caps/>
          <w:color w:val="000000" w:themeColor="text1"/>
          <w:lang w:val="en-GB"/>
        </w:rPr>
        <w:t xml:space="preserve">(In </w:t>
      </w:r>
      <w:r w:rsidRPr="00853F57">
        <w:rPr>
          <w:rFonts w:ascii="Arial" w:hAnsi="Arial" w:cs="Arial"/>
          <w:b/>
          <w:bCs/>
          <w:color w:val="000000" w:themeColor="text1"/>
          <w:lang w:val="en-GB"/>
        </w:rPr>
        <w:t xml:space="preserve">₱ </w:t>
      </w:r>
      <w:r w:rsidR="00FA17FB">
        <w:rPr>
          <w:rFonts w:ascii="Arial" w:hAnsi="Arial" w:cs="Arial"/>
          <w:b/>
          <w:bCs/>
          <w:color w:val="000000" w:themeColor="text1"/>
          <w:lang w:val="en-GB"/>
        </w:rPr>
        <w:t>THOUSAND</w:t>
      </w:r>
      <w:r w:rsidRPr="00853F57">
        <w:rPr>
          <w:rFonts w:ascii="Arial" w:hAnsi="Arial" w:cs="Arial"/>
          <w:b/>
          <w:bCs/>
          <w:color w:val="000000" w:themeColor="text1"/>
          <w:lang w:val="en-GB"/>
        </w:rPr>
        <w:t>)</w:t>
      </w:r>
      <w:bookmarkEnd w:id="12"/>
    </w:p>
    <w:p w14:paraId="6587D694" w14:textId="77777777" w:rsidR="00437109" w:rsidRPr="00853F57" w:rsidRDefault="00437109" w:rsidP="00437109">
      <w:pPr>
        <w:pStyle w:val="Footnote"/>
        <w:rPr>
          <w:lang w:val="en-GB"/>
        </w:rPr>
      </w:pPr>
    </w:p>
    <w:tbl>
      <w:tblPr>
        <w:tblW w:w="9148" w:type="dxa"/>
        <w:jc w:val="center"/>
        <w:tblLook w:val="04A0" w:firstRow="1" w:lastRow="0" w:firstColumn="1" w:lastColumn="0" w:noHBand="0" w:noVBand="1"/>
        <w:tblCaption w:val="Exhibit 6"/>
        <w:tblDescription w:val="Holcim Phillipines Inc. balance sheet as of December 31 "/>
      </w:tblPr>
      <w:tblGrid>
        <w:gridCol w:w="3443"/>
        <w:gridCol w:w="1177"/>
        <w:gridCol w:w="1124"/>
        <w:gridCol w:w="1140"/>
        <w:gridCol w:w="1124"/>
        <w:gridCol w:w="1140"/>
      </w:tblGrid>
      <w:tr w:rsidR="00437109" w:rsidRPr="00853F57" w14:paraId="04448C43" w14:textId="77777777" w:rsidTr="00E30F09">
        <w:trPr>
          <w:trHeight w:val="283"/>
          <w:tblHeader/>
          <w:jc w:val="center"/>
        </w:trPr>
        <w:tc>
          <w:tcPr>
            <w:tcW w:w="3443" w:type="dxa"/>
            <w:tcBorders>
              <w:top w:val="single" w:sz="4" w:space="0" w:color="auto"/>
              <w:left w:val="nil"/>
              <w:bottom w:val="single" w:sz="4" w:space="0" w:color="auto"/>
              <w:right w:val="nil"/>
            </w:tcBorders>
            <w:shd w:val="clear" w:color="auto" w:fill="auto"/>
            <w:noWrap/>
            <w:vAlign w:val="bottom"/>
            <w:hideMark/>
          </w:tcPr>
          <w:p w14:paraId="273FC96E" w14:textId="77777777" w:rsidR="00437109" w:rsidRPr="00853F57" w:rsidRDefault="00437109" w:rsidP="00F6167B">
            <w:pPr>
              <w:jc w:val="center"/>
              <w:rPr>
                <w:rFonts w:ascii="Arial" w:hAnsi="Arial" w:cs="Arial"/>
                <w:color w:val="000000" w:themeColor="text1"/>
                <w:sz w:val="18"/>
                <w:szCs w:val="18"/>
                <w:lang w:val="en-GB"/>
              </w:rPr>
            </w:pPr>
          </w:p>
        </w:tc>
        <w:tc>
          <w:tcPr>
            <w:tcW w:w="1177" w:type="dxa"/>
            <w:tcBorders>
              <w:top w:val="single" w:sz="4" w:space="0" w:color="auto"/>
              <w:left w:val="nil"/>
              <w:bottom w:val="single" w:sz="4" w:space="0" w:color="auto"/>
              <w:right w:val="nil"/>
            </w:tcBorders>
            <w:shd w:val="clear" w:color="auto" w:fill="auto"/>
            <w:noWrap/>
            <w:vAlign w:val="bottom"/>
            <w:hideMark/>
          </w:tcPr>
          <w:p w14:paraId="551F3662" w14:textId="77777777" w:rsidR="00437109" w:rsidRPr="00853F57" w:rsidRDefault="00437109" w:rsidP="00F6167B">
            <w:pPr>
              <w:jc w:val="cente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2014</w:t>
            </w:r>
          </w:p>
        </w:tc>
        <w:tc>
          <w:tcPr>
            <w:tcW w:w="1124" w:type="dxa"/>
            <w:tcBorders>
              <w:top w:val="single" w:sz="4" w:space="0" w:color="auto"/>
              <w:left w:val="nil"/>
              <w:bottom w:val="single" w:sz="4" w:space="0" w:color="auto"/>
              <w:right w:val="nil"/>
            </w:tcBorders>
            <w:shd w:val="clear" w:color="auto" w:fill="auto"/>
            <w:noWrap/>
            <w:vAlign w:val="bottom"/>
            <w:hideMark/>
          </w:tcPr>
          <w:p w14:paraId="29763B00" w14:textId="77777777" w:rsidR="00437109" w:rsidRPr="00853F57" w:rsidRDefault="00437109" w:rsidP="00F6167B">
            <w:pPr>
              <w:jc w:val="cente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2015</w:t>
            </w:r>
          </w:p>
        </w:tc>
        <w:tc>
          <w:tcPr>
            <w:tcW w:w="1140" w:type="dxa"/>
            <w:tcBorders>
              <w:top w:val="single" w:sz="4" w:space="0" w:color="auto"/>
              <w:left w:val="nil"/>
              <w:bottom w:val="single" w:sz="4" w:space="0" w:color="auto"/>
              <w:right w:val="nil"/>
            </w:tcBorders>
            <w:shd w:val="clear" w:color="auto" w:fill="auto"/>
            <w:noWrap/>
            <w:vAlign w:val="bottom"/>
            <w:hideMark/>
          </w:tcPr>
          <w:p w14:paraId="37C229F8" w14:textId="77777777" w:rsidR="00437109" w:rsidRPr="00853F57" w:rsidRDefault="00437109" w:rsidP="00F6167B">
            <w:pPr>
              <w:jc w:val="cente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2016</w:t>
            </w:r>
          </w:p>
        </w:tc>
        <w:tc>
          <w:tcPr>
            <w:tcW w:w="1124" w:type="dxa"/>
            <w:tcBorders>
              <w:top w:val="single" w:sz="4" w:space="0" w:color="auto"/>
              <w:left w:val="nil"/>
              <w:bottom w:val="single" w:sz="4" w:space="0" w:color="auto"/>
              <w:right w:val="nil"/>
            </w:tcBorders>
            <w:shd w:val="clear" w:color="auto" w:fill="auto"/>
            <w:noWrap/>
            <w:vAlign w:val="bottom"/>
            <w:hideMark/>
          </w:tcPr>
          <w:p w14:paraId="2ED0E710" w14:textId="77777777" w:rsidR="00437109" w:rsidRPr="00853F57" w:rsidRDefault="00437109" w:rsidP="00F6167B">
            <w:pPr>
              <w:jc w:val="cente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2017</w:t>
            </w:r>
          </w:p>
        </w:tc>
        <w:tc>
          <w:tcPr>
            <w:tcW w:w="1140" w:type="dxa"/>
            <w:tcBorders>
              <w:top w:val="single" w:sz="4" w:space="0" w:color="auto"/>
              <w:left w:val="nil"/>
              <w:bottom w:val="single" w:sz="4" w:space="0" w:color="auto"/>
              <w:right w:val="nil"/>
            </w:tcBorders>
            <w:shd w:val="clear" w:color="auto" w:fill="auto"/>
            <w:noWrap/>
            <w:vAlign w:val="bottom"/>
            <w:hideMark/>
          </w:tcPr>
          <w:p w14:paraId="1F3D0DBB" w14:textId="77777777" w:rsidR="00437109" w:rsidRPr="00853F57" w:rsidRDefault="00437109" w:rsidP="00F6167B">
            <w:pPr>
              <w:jc w:val="cente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2018</w:t>
            </w:r>
          </w:p>
        </w:tc>
      </w:tr>
      <w:tr w:rsidR="00437109" w:rsidRPr="00853F57" w14:paraId="007EE15D" w14:textId="77777777" w:rsidTr="00E30F09">
        <w:trPr>
          <w:trHeight w:val="241"/>
          <w:tblHeader/>
          <w:jc w:val="center"/>
        </w:trPr>
        <w:tc>
          <w:tcPr>
            <w:tcW w:w="3443" w:type="dxa"/>
            <w:tcBorders>
              <w:top w:val="nil"/>
              <w:left w:val="nil"/>
              <w:bottom w:val="nil"/>
              <w:right w:val="nil"/>
            </w:tcBorders>
            <w:shd w:val="clear" w:color="auto" w:fill="auto"/>
            <w:noWrap/>
            <w:hideMark/>
          </w:tcPr>
          <w:p w14:paraId="54C5AB33" w14:textId="77777777"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Current Assets</w:t>
            </w:r>
          </w:p>
        </w:tc>
        <w:tc>
          <w:tcPr>
            <w:tcW w:w="1177" w:type="dxa"/>
            <w:tcBorders>
              <w:top w:val="nil"/>
              <w:left w:val="nil"/>
              <w:bottom w:val="nil"/>
              <w:right w:val="nil"/>
            </w:tcBorders>
            <w:shd w:val="clear" w:color="auto" w:fill="auto"/>
            <w:noWrap/>
            <w:hideMark/>
          </w:tcPr>
          <w:p w14:paraId="3E459A98" w14:textId="77777777" w:rsidR="00437109" w:rsidRPr="00853F57" w:rsidRDefault="00437109" w:rsidP="00F6167B">
            <w:pPr>
              <w:jc w:val="center"/>
              <w:rPr>
                <w:rFonts w:ascii="Arial" w:hAnsi="Arial" w:cs="Arial"/>
                <w:b/>
                <w:bCs/>
                <w:color w:val="000000" w:themeColor="text1"/>
                <w:sz w:val="18"/>
                <w:szCs w:val="18"/>
                <w:lang w:val="en-GB"/>
              </w:rPr>
            </w:pPr>
          </w:p>
        </w:tc>
        <w:tc>
          <w:tcPr>
            <w:tcW w:w="1124" w:type="dxa"/>
            <w:tcBorders>
              <w:top w:val="nil"/>
              <w:left w:val="nil"/>
              <w:bottom w:val="nil"/>
              <w:right w:val="nil"/>
            </w:tcBorders>
            <w:shd w:val="clear" w:color="auto" w:fill="auto"/>
            <w:noWrap/>
            <w:hideMark/>
          </w:tcPr>
          <w:p w14:paraId="0F48959C"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6EA033B9" w14:textId="77777777" w:rsidR="00437109" w:rsidRPr="00853F57" w:rsidRDefault="00437109" w:rsidP="00F6167B">
            <w:pPr>
              <w:jc w:val="center"/>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12ED26F0"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2EFB79DD" w14:textId="77777777" w:rsidR="00437109" w:rsidRPr="00853F57" w:rsidRDefault="00437109" w:rsidP="00F6167B">
            <w:pPr>
              <w:jc w:val="center"/>
              <w:rPr>
                <w:rFonts w:ascii="Arial" w:hAnsi="Arial" w:cs="Arial"/>
                <w:color w:val="000000" w:themeColor="text1"/>
                <w:sz w:val="18"/>
                <w:szCs w:val="18"/>
                <w:lang w:val="en-GB"/>
              </w:rPr>
            </w:pPr>
          </w:p>
        </w:tc>
      </w:tr>
      <w:tr w:rsidR="00437109" w:rsidRPr="00853F57" w14:paraId="4E8D9320" w14:textId="77777777" w:rsidTr="00E30F09">
        <w:trPr>
          <w:trHeight w:val="241"/>
          <w:tblHeader/>
          <w:jc w:val="center"/>
        </w:trPr>
        <w:tc>
          <w:tcPr>
            <w:tcW w:w="3443" w:type="dxa"/>
            <w:tcBorders>
              <w:top w:val="nil"/>
              <w:left w:val="nil"/>
              <w:bottom w:val="nil"/>
              <w:right w:val="nil"/>
            </w:tcBorders>
            <w:shd w:val="clear" w:color="auto" w:fill="auto"/>
            <w:noWrap/>
            <w:hideMark/>
          </w:tcPr>
          <w:p w14:paraId="1E986A9A"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Cash and Cash Equivalents</w:t>
            </w:r>
          </w:p>
        </w:tc>
        <w:tc>
          <w:tcPr>
            <w:tcW w:w="1177" w:type="dxa"/>
            <w:tcBorders>
              <w:top w:val="nil"/>
              <w:left w:val="nil"/>
              <w:bottom w:val="nil"/>
              <w:right w:val="nil"/>
            </w:tcBorders>
            <w:shd w:val="clear" w:color="auto" w:fill="auto"/>
            <w:noWrap/>
            <w:vAlign w:val="bottom"/>
            <w:hideMark/>
          </w:tcPr>
          <w:p w14:paraId="583E6A2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2,698,207</w:t>
            </w:r>
          </w:p>
        </w:tc>
        <w:tc>
          <w:tcPr>
            <w:tcW w:w="1124" w:type="dxa"/>
            <w:tcBorders>
              <w:top w:val="nil"/>
              <w:left w:val="nil"/>
              <w:bottom w:val="nil"/>
              <w:right w:val="nil"/>
            </w:tcBorders>
            <w:shd w:val="clear" w:color="auto" w:fill="auto"/>
            <w:noWrap/>
            <w:vAlign w:val="bottom"/>
            <w:hideMark/>
          </w:tcPr>
          <w:p w14:paraId="6D7BB8E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2,540,198</w:t>
            </w:r>
          </w:p>
        </w:tc>
        <w:tc>
          <w:tcPr>
            <w:tcW w:w="1140" w:type="dxa"/>
            <w:tcBorders>
              <w:top w:val="nil"/>
              <w:left w:val="nil"/>
              <w:bottom w:val="nil"/>
              <w:right w:val="nil"/>
            </w:tcBorders>
            <w:shd w:val="clear" w:color="auto" w:fill="auto"/>
            <w:noWrap/>
            <w:vAlign w:val="bottom"/>
            <w:hideMark/>
          </w:tcPr>
          <w:p w14:paraId="3E70ED1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2,125,116</w:t>
            </w:r>
          </w:p>
        </w:tc>
        <w:tc>
          <w:tcPr>
            <w:tcW w:w="1124" w:type="dxa"/>
            <w:tcBorders>
              <w:top w:val="nil"/>
              <w:left w:val="nil"/>
              <w:bottom w:val="nil"/>
              <w:right w:val="nil"/>
            </w:tcBorders>
            <w:shd w:val="clear" w:color="auto" w:fill="auto"/>
            <w:noWrap/>
            <w:vAlign w:val="bottom"/>
            <w:hideMark/>
          </w:tcPr>
          <w:p w14:paraId="0D43E1A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1,945,797</w:t>
            </w:r>
          </w:p>
        </w:tc>
        <w:tc>
          <w:tcPr>
            <w:tcW w:w="1140" w:type="dxa"/>
            <w:tcBorders>
              <w:top w:val="nil"/>
              <w:left w:val="nil"/>
              <w:bottom w:val="nil"/>
              <w:right w:val="nil"/>
            </w:tcBorders>
            <w:shd w:val="clear" w:color="auto" w:fill="auto"/>
            <w:noWrap/>
            <w:vAlign w:val="bottom"/>
            <w:hideMark/>
          </w:tcPr>
          <w:p w14:paraId="003363F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5,399,853</w:t>
            </w:r>
          </w:p>
        </w:tc>
      </w:tr>
      <w:tr w:rsidR="00437109" w:rsidRPr="00853F57" w14:paraId="00DBA9B7" w14:textId="77777777" w:rsidTr="00E30F09">
        <w:trPr>
          <w:trHeight w:val="241"/>
          <w:tblHeader/>
          <w:jc w:val="center"/>
        </w:trPr>
        <w:tc>
          <w:tcPr>
            <w:tcW w:w="3443" w:type="dxa"/>
            <w:tcBorders>
              <w:top w:val="nil"/>
              <w:left w:val="nil"/>
              <w:bottom w:val="nil"/>
              <w:right w:val="nil"/>
            </w:tcBorders>
            <w:shd w:val="clear" w:color="auto" w:fill="auto"/>
            <w:noWrap/>
            <w:hideMark/>
          </w:tcPr>
          <w:p w14:paraId="28522186"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Trade and </w:t>
            </w:r>
            <w:proofErr w:type="gramStart"/>
            <w:r w:rsidRPr="00853F57">
              <w:rPr>
                <w:rFonts w:ascii="Arial" w:hAnsi="Arial" w:cs="Arial"/>
                <w:color w:val="000000" w:themeColor="text1"/>
                <w:sz w:val="18"/>
                <w:szCs w:val="18"/>
                <w:lang w:val="en-GB"/>
              </w:rPr>
              <w:t>Other</w:t>
            </w:r>
            <w:proofErr w:type="gramEnd"/>
            <w:r w:rsidRPr="00853F57">
              <w:rPr>
                <w:rFonts w:ascii="Arial" w:hAnsi="Arial" w:cs="Arial"/>
                <w:color w:val="000000" w:themeColor="text1"/>
                <w:sz w:val="18"/>
                <w:szCs w:val="18"/>
                <w:lang w:val="en-GB"/>
              </w:rPr>
              <w:t xml:space="preserve"> Receivables Net</w:t>
            </w:r>
          </w:p>
        </w:tc>
        <w:tc>
          <w:tcPr>
            <w:tcW w:w="1177" w:type="dxa"/>
            <w:tcBorders>
              <w:top w:val="nil"/>
              <w:left w:val="nil"/>
              <w:bottom w:val="nil"/>
              <w:right w:val="nil"/>
            </w:tcBorders>
            <w:shd w:val="clear" w:color="auto" w:fill="auto"/>
            <w:hideMark/>
          </w:tcPr>
          <w:p w14:paraId="71DCCCF2"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2,259,205</w:t>
            </w:r>
          </w:p>
        </w:tc>
        <w:tc>
          <w:tcPr>
            <w:tcW w:w="1124" w:type="dxa"/>
            <w:tcBorders>
              <w:top w:val="nil"/>
              <w:left w:val="nil"/>
              <w:bottom w:val="nil"/>
              <w:right w:val="nil"/>
            </w:tcBorders>
            <w:shd w:val="clear" w:color="auto" w:fill="auto"/>
            <w:hideMark/>
          </w:tcPr>
          <w:p w14:paraId="3EAF53C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3,418,211</w:t>
            </w:r>
          </w:p>
        </w:tc>
        <w:tc>
          <w:tcPr>
            <w:tcW w:w="1140" w:type="dxa"/>
            <w:tcBorders>
              <w:top w:val="nil"/>
              <w:left w:val="nil"/>
              <w:bottom w:val="nil"/>
              <w:right w:val="nil"/>
            </w:tcBorders>
            <w:shd w:val="clear" w:color="auto" w:fill="auto"/>
            <w:hideMark/>
          </w:tcPr>
          <w:p w14:paraId="672CE60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3,297,523</w:t>
            </w:r>
          </w:p>
        </w:tc>
        <w:tc>
          <w:tcPr>
            <w:tcW w:w="1124" w:type="dxa"/>
            <w:tcBorders>
              <w:top w:val="nil"/>
              <w:left w:val="nil"/>
              <w:bottom w:val="nil"/>
              <w:right w:val="nil"/>
            </w:tcBorders>
            <w:shd w:val="clear" w:color="auto" w:fill="auto"/>
            <w:hideMark/>
          </w:tcPr>
          <w:p w14:paraId="4082AA3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3,439,049</w:t>
            </w:r>
          </w:p>
        </w:tc>
        <w:tc>
          <w:tcPr>
            <w:tcW w:w="1140" w:type="dxa"/>
            <w:tcBorders>
              <w:top w:val="nil"/>
              <w:left w:val="nil"/>
              <w:bottom w:val="nil"/>
              <w:right w:val="nil"/>
            </w:tcBorders>
            <w:shd w:val="clear" w:color="auto" w:fill="auto"/>
            <w:hideMark/>
          </w:tcPr>
          <w:p w14:paraId="6FC8AE82"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4,005,445</w:t>
            </w:r>
          </w:p>
        </w:tc>
      </w:tr>
      <w:tr w:rsidR="00437109" w:rsidRPr="00853F57" w14:paraId="2B770918" w14:textId="77777777" w:rsidTr="00E30F09">
        <w:trPr>
          <w:trHeight w:val="241"/>
          <w:tblHeader/>
          <w:jc w:val="center"/>
        </w:trPr>
        <w:tc>
          <w:tcPr>
            <w:tcW w:w="3443" w:type="dxa"/>
            <w:tcBorders>
              <w:top w:val="nil"/>
              <w:left w:val="nil"/>
              <w:bottom w:val="nil"/>
              <w:right w:val="nil"/>
            </w:tcBorders>
            <w:shd w:val="clear" w:color="auto" w:fill="auto"/>
            <w:noWrap/>
            <w:hideMark/>
          </w:tcPr>
          <w:p w14:paraId="060A87F5"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Inventories</w:t>
            </w:r>
          </w:p>
        </w:tc>
        <w:tc>
          <w:tcPr>
            <w:tcW w:w="1177" w:type="dxa"/>
            <w:tcBorders>
              <w:top w:val="nil"/>
              <w:left w:val="nil"/>
              <w:bottom w:val="nil"/>
              <w:right w:val="nil"/>
            </w:tcBorders>
            <w:shd w:val="clear" w:color="auto" w:fill="auto"/>
            <w:hideMark/>
          </w:tcPr>
          <w:p w14:paraId="5D0E778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3,757,521</w:t>
            </w:r>
          </w:p>
        </w:tc>
        <w:tc>
          <w:tcPr>
            <w:tcW w:w="1124" w:type="dxa"/>
            <w:tcBorders>
              <w:top w:val="nil"/>
              <w:left w:val="nil"/>
              <w:bottom w:val="nil"/>
              <w:right w:val="nil"/>
            </w:tcBorders>
            <w:shd w:val="clear" w:color="auto" w:fill="auto"/>
            <w:hideMark/>
          </w:tcPr>
          <w:p w14:paraId="0F0B695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3,942,552</w:t>
            </w:r>
          </w:p>
        </w:tc>
        <w:tc>
          <w:tcPr>
            <w:tcW w:w="1140" w:type="dxa"/>
            <w:tcBorders>
              <w:top w:val="nil"/>
              <w:left w:val="nil"/>
              <w:bottom w:val="nil"/>
              <w:right w:val="nil"/>
            </w:tcBorders>
            <w:shd w:val="clear" w:color="auto" w:fill="auto"/>
            <w:hideMark/>
          </w:tcPr>
          <w:p w14:paraId="43D5D2A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3,450,727</w:t>
            </w:r>
          </w:p>
        </w:tc>
        <w:tc>
          <w:tcPr>
            <w:tcW w:w="1124" w:type="dxa"/>
            <w:tcBorders>
              <w:top w:val="nil"/>
              <w:left w:val="nil"/>
              <w:bottom w:val="nil"/>
              <w:right w:val="nil"/>
            </w:tcBorders>
            <w:shd w:val="clear" w:color="auto" w:fill="auto"/>
            <w:hideMark/>
          </w:tcPr>
          <w:p w14:paraId="7D00120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3,800,792</w:t>
            </w:r>
          </w:p>
        </w:tc>
        <w:tc>
          <w:tcPr>
            <w:tcW w:w="1140" w:type="dxa"/>
            <w:tcBorders>
              <w:top w:val="nil"/>
              <w:left w:val="nil"/>
              <w:bottom w:val="nil"/>
              <w:right w:val="nil"/>
            </w:tcBorders>
            <w:shd w:val="clear" w:color="auto" w:fill="auto"/>
            <w:hideMark/>
          </w:tcPr>
          <w:p w14:paraId="06C0BF4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5,127,343</w:t>
            </w:r>
          </w:p>
        </w:tc>
      </w:tr>
      <w:tr w:rsidR="00437109" w:rsidRPr="00853F57" w14:paraId="321366C9" w14:textId="77777777" w:rsidTr="00E30F09">
        <w:trPr>
          <w:trHeight w:val="241"/>
          <w:tblHeader/>
          <w:jc w:val="center"/>
        </w:trPr>
        <w:tc>
          <w:tcPr>
            <w:tcW w:w="3443" w:type="dxa"/>
            <w:tcBorders>
              <w:top w:val="nil"/>
              <w:left w:val="nil"/>
              <w:bottom w:val="nil"/>
              <w:right w:val="nil"/>
            </w:tcBorders>
            <w:shd w:val="clear" w:color="auto" w:fill="auto"/>
            <w:noWrap/>
            <w:hideMark/>
          </w:tcPr>
          <w:p w14:paraId="10A4B2B1"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Other Current Assets</w:t>
            </w:r>
          </w:p>
        </w:tc>
        <w:tc>
          <w:tcPr>
            <w:tcW w:w="1177" w:type="dxa"/>
            <w:tcBorders>
              <w:top w:val="nil"/>
              <w:left w:val="nil"/>
              <w:bottom w:val="nil"/>
              <w:right w:val="nil"/>
            </w:tcBorders>
            <w:shd w:val="clear" w:color="auto" w:fill="auto"/>
            <w:hideMark/>
          </w:tcPr>
          <w:p w14:paraId="1967E30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615,841</w:t>
            </w:r>
          </w:p>
        </w:tc>
        <w:tc>
          <w:tcPr>
            <w:tcW w:w="1124" w:type="dxa"/>
            <w:tcBorders>
              <w:top w:val="nil"/>
              <w:left w:val="nil"/>
              <w:bottom w:val="nil"/>
              <w:right w:val="nil"/>
            </w:tcBorders>
            <w:shd w:val="clear" w:color="auto" w:fill="auto"/>
            <w:hideMark/>
          </w:tcPr>
          <w:p w14:paraId="417D5C42"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644,576</w:t>
            </w:r>
          </w:p>
        </w:tc>
        <w:tc>
          <w:tcPr>
            <w:tcW w:w="1140" w:type="dxa"/>
            <w:tcBorders>
              <w:top w:val="nil"/>
              <w:left w:val="nil"/>
              <w:bottom w:val="nil"/>
              <w:right w:val="nil"/>
            </w:tcBorders>
            <w:shd w:val="clear" w:color="auto" w:fill="auto"/>
            <w:hideMark/>
          </w:tcPr>
          <w:p w14:paraId="01492C3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598,896</w:t>
            </w:r>
          </w:p>
        </w:tc>
        <w:tc>
          <w:tcPr>
            <w:tcW w:w="1124" w:type="dxa"/>
            <w:tcBorders>
              <w:top w:val="nil"/>
              <w:left w:val="nil"/>
              <w:bottom w:val="nil"/>
              <w:right w:val="nil"/>
            </w:tcBorders>
            <w:shd w:val="clear" w:color="auto" w:fill="auto"/>
            <w:hideMark/>
          </w:tcPr>
          <w:p w14:paraId="6F32047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835,558</w:t>
            </w:r>
          </w:p>
        </w:tc>
        <w:tc>
          <w:tcPr>
            <w:tcW w:w="1140" w:type="dxa"/>
            <w:tcBorders>
              <w:top w:val="nil"/>
              <w:left w:val="nil"/>
              <w:bottom w:val="nil"/>
              <w:right w:val="nil"/>
            </w:tcBorders>
            <w:shd w:val="clear" w:color="auto" w:fill="auto"/>
            <w:hideMark/>
          </w:tcPr>
          <w:p w14:paraId="6CE1EB7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830,300</w:t>
            </w:r>
          </w:p>
        </w:tc>
      </w:tr>
      <w:tr w:rsidR="00437109" w:rsidRPr="00853F57" w14:paraId="656C67FD" w14:textId="77777777" w:rsidTr="00E30F09">
        <w:trPr>
          <w:trHeight w:val="241"/>
          <w:tblHeader/>
          <w:jc w:val="center"/>
        </w:trPr>
        <w:tc>
          <w:tcPr>
            <w:tcW w:w="3443" w:type="dxa"/>
            <w:tcBorders>
              <w:top w:val="single" w:sz="4" w:space="0" w:color="auto"/>
              <w:left w:val="nil"/>
              <w:bottom w:val="single" w:sz="4" w:space="0" w:color="auto"/>
              <w:right w:val="nil"/>
            </w:tcBorders>
            <w:shd w:val="clear" w:color="auto" w:fill="auto"/>
            <w:hideMark/>
          </w:tcPr>
          <w:p w14:paraId="2D5B012A" w14:textId="77777777"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Total Current Assets</w:t>
            </w:r>
          </w:p>
        </w:tc>
        <w:tc>
          <w:tcPr>
            <w:tcW w:w="1177" w:type="dxa"/>
            <w:tcBorders>
              <w:top w:val="single" w:sz="4" w:space="0" w:color="auto"/>
              <w:left w:val="nil"/>
              <w:bottom w:val="single" w:sz="4" w:space="0" w:color="auto"/>
              <w:right w:val="nil"/>
            </w:tcBorders>
            <w:shd w:val="clear" w:color="auto" w:fill="auto"/>
            <w:hideMark/>
          </w:tcPr>
          <w:p w14:paraId="1748816D"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9,330,774</w:t>
            </w:r>
          </w:p>
        </w:tc>
        <w:tc>
          <w:tcPr>
            <w:tcW w:w="1124" w:type="dxa"/>
            <w:tcBorders>
              <w:top w:val="single" w:sz="4" w:space="0" w:color="auto"/>
              <w:left w:val="nil"/>
              <w:bottom w:val="single" w:sz="4" w:space="0" w:color="auto"/>
              <w:right w:val="nil"/>
            </w:tcBorders>
            <w:shd w:val="clear" w:color="auto" w:fill="auto"/>
            <w:hideMark/>
          </w:tcPr>
          <w:p w14:paraId="5399EBEB"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10,545,537</w:t>
            </w:r>
          </w:p>
        </w:tc>
        <w:tc>
          <w:tcPr>
            <w:tcW w:w="1140" w:type="dxa"/>
            <w:tcBorders>
              <w:top w:val="single" w:sz="4" w:space="0" w:color="auto"/>
              <w:left w:val="nil"/>
              <w:bottom w:val="single" w:sz="4" w:space="0" w:color="auto"/>
              <w:right w:val="nil"/>
            </w:tcBorders>
            <w:shd w:val="clear" w:color="auto" w:fill="auto"/>
            <w:hideMark/>
          </w:tcPr>
          <w:p w14:paraId="52FC6E7C"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9,472,262</w:t>
            </w:r>
          </w:p>
        </w:tc>
        <w:tc>
          <w:tcPr>
            <w:tcW w:w="1124" w:type="dxa"/>
            <w:tcBorders>
              <w:top w:val="single" w:sz="4" w:space="0" w:color="auto"/>
              <w:left w:val="nil"/>
              <w:bottom w:val="single" w:sz="4" w:space="0" w:color="auto"/>
              <w:right w:val="nil"/>
            </w:tcBorders>
            <w:shd w:val="clear" w:color="auto" w:fill="auto"/>
            <w:hideMark/>
          </w:tcPr>
          <w:p w14:paraId="39277C44"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10,021,196</w:t>
            </w:r>
          </w:p>
        </w:tc>
        <w:tc>
          <w:tcPr>
            <w:tcW w:w="1140" w:type="dxa"/>
            <w:tcBorders>
              <w:top w:val="single" w:sz="4" w:space="0" w:color="auto"/>
              <w:left w:val="nil"/>
              <w:bottom w:val="single" w:sz="4" w:space="0" w:color="auto"/>
              <w:right w:val="nil"/>
            </w:tcBorders>
            <w:shd w:val="clear" w:color="auto" w:fill="auto"/>
            <w:hideMark/>
          </w:tcPr>
          <w:p w14:paraId="3AD701CA"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15,362,941</w:t>
            </w:r>
          </w:p>
        </w:tc>
      </w:tr>
      <w:tr w:rsidR="00437109" w:rsidRPr="00853F57" w14:paraId="392393EB" w14:textId="77777777" w:rsidTr="00E30F09">
        <w:trPr>
          <w:trHeight w:val="241"/>
          <w:tblHeader/>
          <w:jc w:val="center"/>
        </w:trPr>
        <w:tc>
          <w:tcPr>
            <w:tcW w:w="3443" w:type="dxa"/>
            <w:tcBorders>
              <w:top w:val="nil"/>
              <w:left w:val="nil"/>
              <w:bottom w:val="nil"/>
              <w:right w:val="nil"/>
            </w:tcBorders>
            <w:shd w:val="clear" w:color="auto" w:fill="auto"/>
            <w:noWrap/>
            <w:hideMark/>
          </w:tcPr>
          <w:p w14:paraId="0ADE4B4D" w14:textId="77777777" w:rsidR="00437109" w:rsidRPr="00853F57" w:rsidRDefault="00437109" w:rsidP="00F6167B">
            <w:pPr>
              <w:jc w:val="right"/>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noWrap/>
            <w:hideMark/>
          </w:tcPr>
          <w:p w14:paraId="0CFB7C27"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26D699F8"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1DD829B"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79E84108"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5E13D01B"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58E3F2F5" w14:textId="77777777" w:rsidTr="00E30F09">
        <w:trPr>
          <w:trHeight w:val="241"/>
          <w:tblHeader/>
          <w:jc w:val="center"/>
        </w:trPr>
        <w:tc>
          <w:tcPr>
            <w:tcW w:w="3443" w:type="dxa"/>
            <w:tcBorders>
              <w:top w:val="nil"/>
              <w:left w:val="nil"/>
              <w:bottom w:val="nil"/>
              <w:right w:val="nil"/>
            </w:tcBorders>
            <w:shd w:val="clear" w:color="auto" w:fill="auto"/>
            <w:noWrap/>
            <w:hideMark/>
          </w:tcPr>
          <w:p w14:paraId="24EE7EBB" w14:textId="683C2188" w:rsidR="00437109" w:rsidRPr="00853F57" w:rsidRDefault="00DC6188"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Non-</w:t>
            </w:r>
            <w:r w:rsidR="00437109" w:rsidRPr="00853F57">
              <w:rPr>
                <w:rFonts w:ascii="Arial" w:hAnsi="Arial" w:cs="Arial"/>
                <w:b/>
                <w:bCs/>
                <w:color w:val="000000" w:themeColor="text1"/>
                <w:sz w:val="18"/>
                <w:szCs w:val="18"/>
                <w:lang w:val="en-GB"/>
              </w:rPr>
              <w:t>Current Assets</w:t>
            </w:r>
          </w:p>
        </w:tc>
        <w:tc>
          <w:tcPr>
            <w:tcW w:w="1177" w:type="dxa"/>
            <w:tcBorders>
              <w:top w:val="nil"/>
              <w:left w:val="nil"/>
              <w:bottom w:val="nil"/>
              <w:right w:val="nil"/>
            </w:tcBorders>
            <w:shd w:val="clear" w:color="auto" w:fill="auto"/>
            <w:noWrap/>
            <w:hideMark/>
          </w:tcPr>
          <w:p w14:paraId="6C809609" w14:textId="77777777" w:rsidR="00437109" w:rsidRPr="00853F57" w:rsidRDefault="00437109" w:rsidP="00034CB9">
            <w:pPr>
              <w:jc w:val="right"/>
              <w:rPr>
                <w:rFonts w:ascii="Arial" w:hAnsi="Arial" w:cs="Arial"/>
                <w:b/>
                <w:bCs/>
                <w:color w:val="000000" w:themeColor="text1"/>
                <w:sz w:val="18"/>
                <w:szCs w:val="18"/>
                <w:lang w:val="en-GB"/>
              </w:rPr>
            </w:pPr>
          </w:p>
        </w:tc>
        <w:tc>
          <w:tcPr>
            <w:tcW w:w="1124" w:type="dxa"/>
            <w:tcBorders>
              <w:top w:val="nil"/>
              <w:left w:val="nil"/>
              <w:bottom w:val="nil"/>
              <w:right w:val="nil"/>
            </w:tcBorders>
            <w:shd w:val="clear" w:color="auto" w:fill="auto"/>
            <w:noWrap/>
            <w:hideMark/>
          </w:tcPr>
          <w:p w14:paraId="1C08C9C3"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831064C"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2BCB5DE3"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33DDA3DC"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5053D1FB" w14:textId="77777777" w:rsidTr="00E30F09">
        <w:trPr>
          <w:trHeight w:val="241"/>
          <w:tblHeader/>
          <w:jc w:val="center"/>
        </w:trPr>
        <w:tc>
          <w:tcPr>
            <w:tcW w:w="3443" w:type="dxa"/>
            <w:tcBorders>
              <w:top w:val="nil"/>
              <w:left w:val="nil"/>
              <w:bottom w:val="nil"/>
              <w:right w:val="nil"/>
            </w:tcBorders>
            <w:shd w:val="clear" w:color="auto" w:fill="auto"/>
            <w:noWrap/>
            <w:hideMark/>
          </w:tcPr>
          <w:p w14:paraId="3BEC7825"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Property, Plant and Equipment, Net</w:t>
            </w:r>
          </w:p>
        </w:tc>
        <w:tc>
          <w:tcPr>
            <w:tcW w:w="1177" w:type="dxa"/>
            <w:tcBorders>
              <w:top w:val="nil"/>
              <w:left w:val="nil"/>
              <w:bottom w:val="nil"/>
              <w:right w:val="nil"/>
            </w:tcBorders>
            <w:shd w:val="clear" w:color="auto" w:fill="auto"/>
            <w:hideMark/>
          </w:tcPr>
          <w:p w14:paraId="79CA06C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17,604,436</w:t>
            </w:r>
          </w:p>
        </w:tc>
        <w:tc>
          <w:tcPr>
            <w:tcW w:w="1124" w:type="dxa"/>
            <w:tcBorders>
              <w:top w:val="nil"/>
              <w:left w:val="nil"/>
              <w:bottom w:val="nil"/>
              <w:right w:val="nil"/>
            </w:tcBorders>
            <w:shd w:val="clear" w:color="auto" w:fill="auto"/>
            <w:hideMark/>
          </w:tcPr>
          <w:p w14:paraId="5673946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16,018,648</w:t>
            </w:r>
          </w:p>
        </w:tc>
        <w:tc>
          <w:tcPr>
            <w:tcW w:w="1140" w:type="dxa"/>
            <w:tcBorders>
              <w:top w:val="nil"/>
              <w:left w:val="nil"/>
              <w:bottom w:val="nil"/>
              <w:right w:val="nil"/>
            </w:tcBorders>
            <w:shd w:val="clear" w:color="auto" w:fill="auto"/>
            <w:hideMark/>
          </w:tcPr>
          <w:p w14:paraId="2B111A9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16,457,026</w:t>
            </w:r>
          </w:p>
        </w:tc>
        <w:tc>
          <w:tcPr>
            <w:tcW w:w="1124" w:type="dxa"/>
            <w:tcBorders>
              <w:top w:val="nil"/>
              <w:left w:val="nil"/>
              <w:bottom w:val="nil"/>
              <w:right w:val="nil"/>
            </w:tcBorders>
            <w:shd w:val="clear" w:color="auto" w:fill="auto"/>
            <w:hideMark/>
          </w:tcPr>
          <w:p w14:paraId="4A3617A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17,599,838</w:t>
            </w:r>
          </w:p>
        </w:tc>
        <w:tc>
          <w:tcPr>
            <w:tcW w:w="1140" w:type="dxa"/>
            <w:tcBorders>
              <w:top w:val="nil"/>
              <w:left w:val="nil"/>
              <w:bottom w:val="nil"/>
              <w:right w:val="nil"/>
            </w:tcBorders>
            <w:shd w:val="clear" w:color="auto" w:fill="auto"/>
            <w:hideMark/>
          </w:tcPr>
          <w:p w14:paraId="1835503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18,607,371</w:t>
            </w:r>
          </w:p>
        </w:tc>
      </w:tr>
      <w:tr w:rsidR="00437109" w:rsidRPr="00853F57" w14:paraId="051B4401" w14:textId="77777777" w:rsidTr="00E30F09">
        <w:trPr>
          <w:trHeight w:val="241"/>
          <w:tblHeader/>
          <w:jc w:val="center"/>
        </w:trPr>
        <w:tc>
          <w:tcPr>
            <w:tcW w:w="3443" w:type="dxa"/>
            <w:tcBorders>
              <w:top w:val="nil"/>
              <w:left w:val="nil"/>
              <w:bottom w:val="nil"/>
              <w:right w:val="nil"/>
            </w:tcBorders>
            <w:shd w:val="clear" w:color="auto" w:fill="auto"/>
            <w:noWrap/>
            <w:hideMark/>
          </w:tcPr>
          <w:p w14:paraId="3AAB6F43"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Investments</w:t>
            </w:r>
          </w:p>
        </w:tc>
        <w:tc>
          <w:tcPr>
            <w:tcW w:w="1177" w:type="dxa"/>
            <w:tcBorders>
              <w:top w:val="nil"/>
              <w:left w:val="nil"/>
              <w:bottom w:val="nil"/>
              <w:right w:val="nil"/>
            </w:tcBorders>
            <w:shd w:val="clear" w:color="auto" w:fill="auto"/>
            <w:hideMark/>
          </w:tcPr>
          <w:p w14:paraId="5DD83873"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4,559</w:t>
            </w:r>
          </w:p>
        </w:tc>
        <w:tc>
          <w:tcPr>
            <w:tcW w:w="1124" w:type="dxa"/>
            <w:tcBorders>
              <w:top w:val="nil"/>
              <w:left w:val="nil"/>
              <w:bottom w:val="nil"/>
              <w:right w:val="nil"/>
            </w:tcBorders>
            <w:shd w:val="clear" w:color="auto" w:fill="auto"/>
            <w:hideMark/>
          </w:tcPr>
          <w:p w14:paraId="4AFA8F2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4,195,154</w:t>
            </w:r>
          </w:p>
        </w:tc>
        <w:tc>
          <w:tcPr>
            <w:tcW w:w="1140" w:type="dxa"/>
            <w:tcBorders>
              <w:top w:val="nil"/>
              <w:left w:val="nil"/>
              <w:bottom w:val="nil"/>
              <w:right w:val="nil"/>
            </w:tcBorders>
            <w:shd w:val="clear" w:color="auto" w:fill="auto"/>
            <w:hideMark/>
          </w:tcPr>
          <w:p w14:paraId="0953DE23"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4,392,066</w:t>
            </w:r>
          </w:p>
        </w:tc>
        <w:tc>
          <w:tcPr>
            <w:tcW w:w="1124" w:type="dxa"/>
            <w:tcBorders>
              <w:top w:val="nil"/>
              <w:left w:val="nil"/>
              <w:bottom w:val="nil"/>
              <w:right w:val="nil"/>
            </w:tcBorders>
            <w:shd w:val="clear" w:color="auto" w:fill="auto"/>
            <w:hideMark/>
          </w:tcPr>
          <w:p w14:paraId="717D92F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4,468,357</w:t>
            </w:r>
          </w:p>
        </w:tc>
        <w:tc>
          <w:tcPr>
            <w:tcW w:w="1140" w:type="dxa"/>
            <w:tcBorders>
              <w:top w:val="nil"/>
              <w:left w:val="nil"/>
              <w:bottom w:val="nil"/>
              <w:right w:val="nil"/>
            </w:tcBorders>
            <w:shd w:val="clear" w:color="auto" w:fill="auto"/>
            <w:hideMark/>
          </w:tcPr>
          <w:p w14:paraId="797B2A8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4,249,699</w:t>
            </w:r>
          </w:p>
        </w:tc>
      </w:tr>
      <w:tr w:rsidR="00437109" w:rsidRPr="00853F57" w14:paraId="6428C1BA" w14:textId="77777777" w:rsidTr="00E30F09">
        <w:trPr>
          <w:trHeight w:val="241"/>
          <w:tblHeader/>
          <w:jc w:val="center"/>
        </w:trPr>
        <w:tc>
          <w:tcPr>
            <w:tcW w:w="3443" w:type="dxa"/>
            <w:tcBorders>
              <w:top w:val="nil"/>
              <w:left w:val="nil"/>
              <w:bottom w:val="nil"/>
              <w:right w:val="nil"/>
            </w:tcBorders>
            <w:shd w:val="clear" w:color="auto" w:fill="auto"/>
            <w:noWrap/>
            <w:hideMark/>
          </w:tcPr>
          <w:p w14:paraId="020C8E71" w14:textId="60752784"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Deferred Income Tax Assets</w:t>
            </w:r>
            <w:r w:rsidR="00DC6188" w:rsidRPr="00853F57">
              <w:rPr>
                <w:rFonts w:ascii="Arial" w:hAnsi="Arial" w:cs="Arial"/>
                <w:color w:val="000000" w:themeColor="text1"/>
                <w:sz w:val="18"/>
                <w:szCs w:val="18"/>
                <w:lang w:val="en-GB"/>
              </w:rPr>
              <w:t>, Net</w:t>
            </w:r>
          </w:p>
        </w:tc>
        <w:tc>
          <w:tcPr>
            <w:tcW w:w="1177" w:type="dxa"/>
            <w:tcBorders>
              <w:top w:val="nil"/>
              <w:left w:val="nil"/>
              <w:bottom w:val="nil"/>
              <w:right w:val="nil"/>
            </w:tcBorders>
            <w:shd w:val="clear" w:color="auto" w:fill="auto"/>
            <w:hideMark/>
          </w:tcPr>
          <w:p w14:paraId="36C141BE"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271,029</w:t>
            </w:r>
          </w:p>
        </w:tc>
        <w:tc>
          <w:tcPr>
            <w:tcW w:w="1124" w:type="dxa"/>
            <w:tcBorders>
              <w:top w:val="nil"/>
              <w:left w:val="nil"/>
              <w:bottom w:val="nil"/>
              <w:right w:val="nil"/>
            </w:tcBorders>
            <w:shd w:val="clear" w:color="auto" w:fill="auto"/>
            <w:hideMark/>
          </w:tcPr>
          <w:p w14:paraId="2F03F4D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365,113</w:t>
            </w:r>
          </w:p>
        </w:tc>
        <w:tc>
          <w:tcPr>
            <w:tcW w:w="1140" w:type="dxa"/>
            <w:tcBorders>
              <w:top w:val="nil"/>
              <w:left w:val="nil"/>
              <w:bottom w:val="nil"/>
              <w:right w:val="nil"/>
            </w:tcBorders>
            <w:shd w:val="clear" w:color="auto" w:fill="auto"/>
            <w:hideMark/>
          </w:tcPr>
          <w:p w14:paraId="45D3916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349,503</w:t>
            </w:r>
          </w:p>
        </w:tc>
        <w:tc>
          <w:tcPr>
            <w:tcW w:w="1124" w:type="dxa"/>
            <w:tcBorders>
              <w:top w:val="nil"/>
              <w:left w:val="nil"/>
              <w:bottom w:val="nil"/>
              <w:right w:val="nil"/>
            </w:tcBorders>
            <w:shd w:val="clear" w:color="auto" w:fill="auto"/>
            <w:hideMark/>
          </w:tcPr>
          <w:p w14:paraId="607ECF7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455,242</w:t>
            </w:r>
          </w:p>
        </w:tc>
        <w:tc>
          <w:tcPr>
            <w:tcW w:w="1140" w:type="dxa"/>
            <w:tcBorders>
              <w:top w:val="nil"/>
              <w:left w:val="nil"/>
              <w:bottom w:val="nil"/>
              <w:right w:val="nil"/>
            </w:tcBorders>
            <w:shd w:val="clear" w:color="auto" w:fill="auto"/>
            <w:hideMark/>
          </w:tcPr>
          <w:p w14:paraId="7BEA3CB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r>
      <w:tr w:rsidR="00437109" w:rsidRPr="00853F57" w14:paraId="2039491F" w14:textId="77777777" w:rsidTr="00E30F09">
        <w:trPr>
          <w:trHeight w:val="241"/>
          <w:tblHeader/>
          <w:jc w:val="center"/>
        </w:trPr>
        <w:tc>
          <w:tcPr>
            <w:tcW w:w="3443" w:type="dxa"/>
            <w:tcBorders>
              <w:top w:val="nil"/>
              <w:left w:val="nil"/>
              <w:bottom w:val="nil"/>
              <w:right w:val="nil"/>
            </w:tcBorders>
            <w:shd w:val="clear" w:color="auto" w:fill="auto"/>
            <w:noWrap/>
            <w:hideMark/>
          </w:tcPr>
          <w:p w14:paraId="0A9CD6B6"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Goodwill</w:t>
            </w:r>
          </w:p>
        </w:tc>
        <w:tc>
          <w:tcPr>
            <w:tcW w:w="1177" w:type="dxa"/>
            <w:tcBorders>
              <w:top w:val="nil"/>
              <w:left w:val="nil"/>
              <w:bottom w:val="nil"/>
              <w:right w:val="nil"/>
            </w:tcBorders>
            <w:shd w:val="clear" w:color="auto" w:fill="auto"/>
            <w:hideMark/>
          </w:tcPr>
          <w:p w14:paraId="3DE5CB4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2,635,738</w:t>
            </w:r>
          </w:p>
        </w:tc>
        <w:tc>
          <w:tcPr>
            <w:tcW w:w="1124" w:type="dxa"/>
            <w:tcBorders>
              <w:top w:val="nil"/>
              <w:left w:val="nil"/>
              <w:bottom w:val="nil"/>
              <w:right w:val="nil"/>
            </w:tcBorders>
            <w:shd w:val="clear" w:color="auto" w:fill="auto"/>
            <w:hideMark/>
          </w:tcPr>
          <w:p w14:paraId="33B511E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2,635,738</w:t>
            </w:r>
          </w:p>
        </w:tc>
        <w:tc>
          <w:tcPr>
            <w:tcW w:w="1140" w:type="dxa"/>
            <w:tcBorders>
              <w:top w:val="nil"/>
              <w:left w:val="nil"/>
              <w:bottom w:val="nil"/>
              <w:right w:val="nil"/>
            </w:tcBorders>
            <w:shd w:val="clear" w:color="auto" w:fill="auto"/>
            <w:hideMark/>
          </w:tcPr>
          <w:p w14:paraId="447BB47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2,635,738</w:t>
            </w:r>
          </w:p>
        </w:tc>
        <w:tc>
          <w:tcPr>
            <w:tcW w:w="1124" w:type="dxa"/>
            <w:tcBorders>
              <w:top w:val="nil"/>
              <w:left w:val="nil"/>
              <w:bottom w:val="nil"/>
              <w:right w:val="nil"/>
            </w:tcBorders>
            <w:shd w:val="clear" w:color="auto" w:fill="auto"/>
            <w:hideMark/>
          </w:tcPr>
          <w:p w14:paraId="58C6F6E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2,635,738</w:t>
            </w:r>
          </w:p>
        </w:tc>
        <w:tc>
          <w:tcPr>
            <w:tcW w:w="1140" w:type="dxa"/>
            <w:tcBorders>
              <w:top w:val="nil"/>
              <w:left w:val="nil"/>
              <w:bottom w:val="nil"/>
              <w:right w:val="nil"/>
            </w:tcBorders>
            <w:shd w:val="clear" w:color="auto" w:fill="auto"/>
            <w:hideMark/>
          </w:tcPr>
          <w:p w14:paraId="63FA9BD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2,635,738</w:t>
            </w:r>
          </w:p>
        </w:tc>
      </w:tr>
      <w:tr w:rsidR="00437109" w:rsidRPr="00853F57" w14:paraId="1F5D6B9B" w14:textId="77777777" w:rsidTr="00E30F09">
        <w:trPr>
          <w:trHeight w:val="241"/>
          <w:tblHeader/>
          <w:jc w:val="center"/>
        </w:trPr>
        <w:tc>
          <w:tcPr>
            <w:tcW w:w="3443" w:type="dxa"/>
            <w:tcBorders>
              <w:top w:val="nil"/>
              <w:left w:val="nil"/>
              <w:bottom w:val="nil"/>
              <w:right w:val="nil"/>
            </w:tcBorders>
            <w:shd w:val="clear" w:color="auto" w:fill="auto"/>
            <w:noWrap/>
            <w:hideMark/>
          </w:tcPr>
          <w:p w14:paraId="50B6DEB6"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Intangible Assets, Net</w:t>
            </w:r>
          </w:p>
        </w:tc>
        <w:tc>
          <w:tcPr>
            <w:tcW w:w="1177" w:type="dxa"/>
            <w:tcBorders>
              <w:top w:val="nil"/>
              <w:left w:val="nil"/>
              <w:bottom w:val="nil"/>
              <w:right w:val="nil"/>
            </w:tcBorders>
            <w:shd w:val="clear" w:color="auto" w:fill="auto"/>
            <w:hideMark/>
          </w:tcPr>
          <w:p w14:paraId="128ACBA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795,579</w:t>
            </w:r>
          </w:p>
        </w:tc>
        <w:tc>
          <w:tcPr>
            <w:tcW w:w="1124" w:type="dxa"/>
            <w:tcBorders>
              <w:top w:val="nil"/>
              <w:left w:val="nil"/>
              <w:bottom w:val="nil"/>
              <w:right w:val="nil"/>
            </w:tcBorders>
            <w:shd w:val="clear" w:color="auto" w:fill="auto"/>
            <w:hideMark/>
          </w:tcPr>
          <w:p w14:paraId="71B38FD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55,965</w:t>
            </w:r>
          </w:p>
        </w:tc>
        <w:tc>
          <w:tcPr>
            <w:tcW w:w="1140" w:type="dxa"/>
            <w:tcBorders>
              <w:top w:val="nil"/>
              <w:left w:val="nil"/>
              <w:bottom w:val="nil"/>
              <w:right w:val="nil"/>
            </w:tcBorders>
            <w:shd w:val="clear" w:color="auto" w:fill="auto"/>
            <w:hideMark/>
          </w:tcPr>
          <w:p w14:paraId="10A24AEE"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40,806</w:t>
            </w:r>
          </w:p>
        </w:tc>
        <w:tc>
          <w:tcPr>
            <w:tcW w:w="1124" w:type="dxa"/>
            <w:tcBorders>
              <w:top w:val="nil"/>
              <w:left w:val="nil"/>
              <w:bottom w:val="nil"/>
              <w:right w:val="nil"/>
            </w:tcBorders>
            <w:shd w:val="clear" w:color="auto" w:fill="auto"/>
            <w:hideMark/>
          </w:tcPr>
          <w:p w14:paraId="3D2150D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28,714</w:t>
            </w:r>
          </w:p>
        </w:tc>
        <w:tc>
          <w:tcPr>
            <w:tcW w:w="1140" w:type="dxa"/>
            <w:tcBorders>
              <w:top w:val="nil"/>
              <w:left w:val="nil"/>
              <w:bottom w:val="nil"/>
              <w:right w:val="nil"/>
            </w:tcBorders>
            <w:shd w:val="clear" w:color="auto" w:fill="auto"/>
            <w:hideMark/>
          </w:tcPr>
          <w:p w14:paraId="42284EA2"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27,542</w:t>
            </w:r>
          </w:p>
        </w:tc>
      </w:tr>
      <w:tr w:rsidR="00437109" w:rsidRPr="00853F57" w14:paraId="10AB904F" w14:textId="77777777" w:rsidTr="00E30F09">
        <w:trPr>
          <w:trHeight w:val="241"/>
          <w:tblHeader/>
          <w:jc w:val="center"/>
        </w:trPr>
        <w:tc>
          <w:tcPr>
            <w:tcW w:w="3443" w:type="dxa"/>
            <w:tcBorders>
              <w:top w:val="nil"/>
              <w:left w:val="nil"/>
              <w:bottom w:val="nil"/>
              <w:right w:val="nil"/>
            </w:tcBorders>
            <w:shd w:val="clear" w:color="auto" w:fill="auto"/>
            <w:noWrap/>
            <w:hideMark/>
          </w:tcPr>
          <w:p w14:paraId="5DF5C91D"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Other Non-current Assets</w:t>
            </w:r>
          </w:p>
        </w:tc>
        <w:tc>
          <w:tcPr>
            <w:tcW w:w="1177" w:type="dxa"/>
            <w:tcBorders>
              <w:top w:val="nil"/>
              <w:left w:val="nil"/>
              <w:bottom w:val="nil"/>
              <w:right w:val="nil"/>
            </w:tcBorders>
            <w:shd w:val="clear" w:color="auto" w:fill="auto"/>
            <w:hideMark/>
          </w:tcPr>
          <w:p w14:paraId="3931330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264,571</w:t>
            </w:r>
          </w:p>
        </w:tc>
        <w:tc>
          <w:tcPr>
            <w:tcW w:w="1124" w:type="dxa"/>
            <w:tcBorders>
              <w:top w:val="nil"/>
              <w:left w:val="nil"/>
              <w:bottom w:val="nil"/>
              <w:right w:val="nil"/>
            </w:tcBorders>
            <w:shd w:val="clear" w:color="auto" w:fill="auto"/>
            <w:hideMark/>
          </w:tcPr>
          <w:p w14:paraId="2F7F770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263,616</w:t>
            </w:r>
          </w:p>
        </w:tc>
        <w:tc>
          <w:tcPr>
            <w:tcW w:w="1140" w:type="dxa"/>
            <w:tcBorders>
              <w:top w:val="nil"/>
              <w:left w:val="nil"/>
              <w:bottom w:val="nil"/>
              <w:right w:val="nil"/>
            </w:tcBorders>
            <w:shd w:val="clear" w:color="auto" w:fill="auto"/>
            <w:hideMark/>
          </w:tcPr>
          <w:p w14:paraId="4806E99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416,428</w:t>
            </w:r>
          </w:p>
        </w:tc>
        <w:tc>
          <w:tcPr>
            <w:tcW w:w="1124" w:type="dxa"/>
            <w:tcBorders>
              <w:top w:val="nil"/>
              <w:left w:val="nil"/>
              <w:bottom w:val="nil"/>
              <w:right w:val="nil"/>
            </w:tcBorders>
            <w:shd w:val="clear" w:color="auto" w:fill="auto"/>
            <w:hideMark/>
          </w:tcPr>
          <w:p w14:paraId="4C3C24B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378,487</w:t>
            </w:r>
          </w:p>
        </w:tc>
        <w:tc>
          <w:tcPr>
            <w:tcW w:w="1140" w:type="dxa"/>
            <w:tcBorders>
              <w:top w:val="nil"/>
              <w:left w:val="nil"/>
              <w:bottom w:val="nil"/>
              <w:right w:val="nil"/>
            </w:tcBorders>
            <w:shd w:val="clear" w:color="auto" w:fill="auto"/>
            <w:hideMark/>
          </w:tcPr>
          <w:p w14:paraId="3A5958A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2,731,443</w:t>
            </w:r>
          </w:p>
        </w:tc>
      </w:tr>
      <w:tr w:rsidR="00437109" w:rsidRPr="00853F57" w14:paraId="40FAE250" w14:textId="77777777" w:rsidTr="00E30F09">
        <w:trPr>
          <w:trHeight w:val="283"/>
          <w:tblHeader/>
          <w:jc w:val="center"/>
        </w:trPr>
        <w:tc>
          <w:tcPr>
            <w:tcW w:w="3443" w:type="dxa"/>
            <w:tcBorders>
              <w:top w:val="nil"/>
              <w:left w:val="nil"/>
              <w:bottom w:val="nil"/>
              <w:right w:val="nil"/>
            </w:tcBorders>
            <w:shd w:val="clear" w:color="auto" w:fill="auto"/>
            <w:noWrap/>
            <w:hideMark/>
          </w:tcPr>
          <w:p w14:paraId="20CBE7AA"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Retirement Benefit Assets</w:t>
            </w:r>
          </w:p>
        </w:tc>
        <w:tc>
          <w:tcPr>
            <w:tcW w:w="1177" w:type="dxa"/>
            <w:tcBorders>
              <w:top w:val="nil"/>
              <w:left w:val="nil"/>
              <w:bottom w:val="nil"/>
              <w:right w:val="nil"/>
            </w:tcBorders>
            <w:shd w:val="clear" w:color="auto" w:fill="auto"/>
            <w:hideMark/>
          </w:tcPr>
          <w:p w14:paraId="49832ABE" w14:textId="77777777" w:rsidR="00437109" w:rsidRPr="00853F57" w:rsidRDefault="00437109" w:rsidP="00034CB9">
            <w:pPr>
              <w:jc w:val="right"/>
              <w:rPr>
                <w:rFonts w:ascii="Arial" w:hAnsi="Arial" w:cs="Arial"/>
                <w:color w:val="000000" w:themeColor="text1"/>
                <w:sz w:val="18"/>
                <w:szCs w:val="18"/>
                <w:u w:val="single"/>
                <w:lang w:val="en-GB"/>
              </w:rPr>
            </w:pPr>
            <w:r w:rsidRPr="00853F57">
              <w:rPr>
                <w:rFonts w:ascii="Arial" w:hAnsi="Arial" w:cs="Arial"/>
                <w:color w:val="000000" w:themeColor="text1"/>
                <w:sz w:val="18"/>
                <w:szCs w:val="18"/>
                <w:u w:val="single"/>
                <w:lang w:val="en-GB"/>
              </w:rPr>
              <w:t>-</w:t>
            </w:r>
          </w:p>
        </w:tc>
        <w:tc>
          <w:tcPr>
            <w:tcW w:w="1124" w:type="dxa"/>
            <w:tcBorders>
              <w:top w:val="nil"/>
              <w:left w:val="nil"/>
              <w:bottom w:val="nil"/>
              <w:right w:val="nil"/>
            </w:tcBorders>
            <w:shd w:val="clear" w:color="auto" w:fill="auto"/>
            <w:hideMark/>
          </w:tcPr>
          <w:p w14:paraId="480B8786" w14:textId="77777777" w:rsidR="00437109" w:rsidRPr="00853F57" w:rsidRDefault="00437109" w:rsidP="00034CB9">
            <w:pPr>
              <w:jc w:val="right"/>
              <w:rPr>
                <w:rFonts w:ascii="Arial" w:hAnsi="Arial" w:cs="Arial"/>
                <w:color w:val="000000" w:themeColor="text1"/>
                <w:sz w:val="18"/>
                <w:szCs w:val="18"/>
                <w:u w:val="single"/>
                <w:lang w:val="en-GB"/>
              </w:rPr>
            </w:pPr>
            <w:r w:rsidRPr="00853F57">
              <w:rPr>
                <w:rFonts w:ascii="Arial" w:hAnsi="Arial" w:cs="Arial"/>
                <w:color w:val="000000" w:themeColor="text1"/>
                <w:sz w:val="18"/>
                <w:szCs w:val="18"/>
                <w:u w:val="single"/>
                <w:lang w:val="en-GB"/>
              </w:rPr>
              <w:t>-</w:t>
            </w:r>
          </w:p>
        </w:tc>
        <w:tc>
          <w:tcPr>
            <w:tcW w:w="1140" w:type="dxa"/>
            <w:tcBorders>
              <w:top w:val="nil"/>
              <w:left w:val="nil"/>
              <w:bottom w:val="nil"/>
              <w:right w:val="nil"/>
            </w:tcBorders>
            <w:shd w:val="clear" w:color="auto" w:fill="auto"/>
            <w:hideMark/>
          </w:tcPr>
          <w:p w14:paraId="7D5B0AF9" w14:textId="77777777" w:rsidR="00437109" w:rsidRPr="00853F57" w:rsidRDefault="00437109" w:rsidP="00034CB9">
            <w:pPr>
              <w:jc w:val="right"/>
              <w:rPr>
                <w:rFonts w:ascii="Arial" w:hAnsi="Arial" w:cs="Arial"/>
                <w:color w:val="000000" w:themeColor="text1"/>
                <w:sz w:val="18"/>
                <w:szCs w:val="18"/>
                <w:u w:val="single"/>
                <w:lang w:val="en-GB"/>
              </w:rPr>
            </w:pPr>
            <w:r w:rsidRPr="00853F57">
              <w:rPr>
                <w:rFonts w:ascii="Arial" w:hAnsi="Arial" w:cs="Arial"/>
                <w:color w:val="000000" w:themeColor="text1"/>
                <w:sz w:val="18"/>
                <w:szCs w:val="18"/>
                <w:u w:val="single"/>
                <w:lang w:val="en-GB"/>
              </w:rPr>
              <w:t>-</w:t>
            </w:r>
          </w:p>
        </w:tc>
        <w:tc>
          <w:tcPr>
            <w:tcW w:w="1124" w:type="dxa"/>
            <w:tcBorders>
              <w:top w:val="nil"/>
              <w:left w:val="nil"/>
              <w:bottom w:val="nil"/>
              <w:right w:val="nil"/>
            </w:tcBorders>
            <w:shd w:val="clear" w:color="auto" w:fill="auto"/>
            <w:hideMark/>
          </w:tcPr>
          <w:p w14:paraId="28C0F6DB" w14:textId="77777777" w:rsidR="00437109" w:rsidRPr="00853F57" w:rsidRDefault="00437109" w:rsidP="00034CB9">
            <w:pPr>
              <w:jc w:val="right"/>
              <w:rPr>
                <w:rFonts w:ascii="Arial" w:hAnsi="Arial" w:cs="Arial"/>
                <w:color w:val="000000" w:themeColor="text1"/>
                <w:sz w:val="18"/>
                <w:szCs w:val="18"/>
                <w:u w:val="single"/>
                <w:lang w:val="en-GB"/>
              </w:rPr>
            </w:pPr>
            <w:r w:rsidRPr="00853F57">
              <w:rPr>
                <w:rFonts w:ascii="Arial" w:hAnsi="Arial" w:cs="Arial"/>
                <w:color w:val="000000" w:themeColor="text1"/>
                <w:sz w:val="18"/>
                <w:szCs w:val="18"/>
                <w:u w:val="single"/>
                <w:lang w:val="en-GB"/>
              </w:rPr>
              <w:t>-</w:t>
            </w:r>
          </w:p>
        </w:tc>
        <w:tc>
          <w:tcPr>
            <w:tcW w:w="1140" w:type="dxa"/>
            <w:tcBorders>
              <w:top w:val="nil"/>
              <w:left w:val="nil"/>
              <w:bottom w:val="nil"/>
              <w:right w:val="nil"/>
            </w:tcBorders>
            <w:shd w:val="clear" w:color="auto" w:fill="auto"/>
            <w:hideMark/>
          </w:tcPr>
          <w:p w14:paraId="0DCB07E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3,581,507</w:t>
            </w:r>
          </w:p>
        </w:tc>
      </w:tr>
      <w:tr w:rsidR="00437109" w:rsidRPr="00853F57" w14:paraId="137083B6" w14:textId="77777777" w:rsidTr="00E30F09">
        <w:trPr>
          <w:trHeight w:val="241"/>
          <w:tblHeader/>
          <w:jc w:val="center"/>
        </w:trPr>
        <w:tc>
          <w:tcPr>
            <w:tcW w:w="3443" w:type="dxa"/>
            <w:tcBorders>
              <w:top w:val="single" w:sz="4" w:space="0" w:color="auto"/>
              <w:left w:val="nil"/>
              <w:bottom w:val="single" w:sz="4" w:space="0" w:color="auto"/>
              <w:right w:val="nil"/>
            </w:tcBorders>
            <w:shd w:val="clear" w:color="auto" w:fill="auto"/>
            <w:hideMark/>
          </w:tcPr>
          <w:p w14:paraId="73C8F625" w14:textId="6895F7E1"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 xml:space="preserve">Total </w:t>
            </w:r>
            <w:r w:rsidR="00DC6188" w:rsidRPr="00853F57">
              <w:rPr>
                <w:rFonts w:ascii="Arial" w:hAnsi="Arial" w:cs="Arial"/>
                <w:b/>
                <w:bCs/>
                <w:color w:val="000000" w:themeColor="text1"/>
                <w:sz w:val="18"/>
                <w:szCs w:val="18"/>
                <w:lang w:val="en-GB"/>
              </w:rPr>
              <w:t>Non-</w:t>
            </w:r>
            <w:r w:rsidR="00A93B78">
              <w:rPr>
                <w:rFonts w:ascii="Arial" w:hAnsi="Arial" w:cs="Arial"/>
                <w:b/>
                <w:bCs/>
                <w:color w:val="000000" w:themeColor="text1"/>
                <w:sz w:val="18"/>
                <w:szCs w:val="18"/>
                <w:lang w:val="en-GB"/>
              </w:rPr>
              <w:t>C</w:t>
            </w:r>
            <w:r w:rsidR="00DC6188" w:rsidRPr="00853F57">
              <w:rPr>
                <w:rFonts w:ascii="Arial" w:hAnsi="Arial" w:cs="Arial"/>
                <w:b/>
                <w:bCs/>
                <w:color w:val="000000" w:themeColor="text1"/>
                <w:sz w:val="18"/>
                <w:szCs w:val="18"/>
                <w:lang w:val="en-GB"/>
              </w:rPr>
              <w:t xml:space="preserve">urrent </w:t>
            </w:r>
            <w:r w:rsidRPr="00853F57">
              <w:rPr>
                <w:rFonts w:ascii="Arial" w:hAnsi="Arial" w:cs="Arial"/>
                <w:b/>
                <w:bCs/>
                <w:color w:val="000000" w:themeColor="text1"/>
                <w:sz w:val="18"/>
                <w:szCs w:val="18"/>
                <w:lang w:val="en-GB"/>
              </w:rPr>
              <w:t>Assets</w:t>
            </w:r>
          </w:p>
        </w:tc>
        <w:tc>
          <w:tcPr>
            <w:tcW w:w="1177" w:type="dxa"/>
            <w:tcBorders>
              <w:top w:val="single" w:sz="4" w:space="0" w:color="auto"/>
              <w:left w:val="nil"/>
              <w:bottom w:val="single" w:sz="4" w:space="0" w:color="auto"/>
              <w:right w:val="nil"/>
            </w:tcBorders>
            <w:shd w:val="clear" w:color="auto" w:fill="auto"/>
            <w:hideMark/>
          </w:tcPr>
          <w:p w14:paraId="7F97D689"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21,575,912</w:t>
            </w:r>
          </w:p>
        </w:tc>
        <w:tc>
          <w:tcPr>
            <w:tcW w:w="1124" w:type="dxa"/>
            <w:tcBorders>
              <w:top w:val="single" w:sz="4" w:space="0" w:color="auto"/>
              <w:left w:val="nil"/>
              <w:bottom w:val="single" w:sz="4" w:space="0" w:color="auto"/>
              <w:right w:val="nil"/>
            </w:tcBorders>
            <w:shd w:val="clear" w:color="auto" w:fill="auto"/>
            <w:hideMark/>
          </w:tcPr>
          <w:p w14:paraId="7F0E3196"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23,534,234</w:t>
            </w:r>
          </w:p>
        </w:tc>
        <w:tc>
          <w:tcPr>
            <w:tcW w:w="1140" w:type="dxa"/>
            <w:tcBorders>
              <w:top w:val="single" w:sz="4" w:space="0" w:color="auto"/>
              <w:left w:val="nil"/>
              <w:bottom w:val="single" w:sz="4" w:space="0" w:color="auto"/>
              <w:right w:val="nil"/>
            </w:tcBorders>
            <w:shd w:val="clear" w:color="auto" w:fill="auto"/>
            <w:hideMark/>
          </w:tcPr>
          <w:p w14:paraId="5E915661"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24,291,567</w:t>
            </w:r>
          </w:p>
        </w:tc>
        <w:tc>
          <w:tcPr>
            <w:tcW w:w="1124" w:type="dxa"/>
            <w:tcBorders>
              <w:top w:val="single" w:sz="4" w:space="0" w:color="auto"/>
              <w:left w:val="nil"/>
              <w:bottom w:val="single" w:sz="4" w:space="0" w:color="auto"/>
              <w:right w:val="nil"/>
            </w:tcBorders>
            <w:shd w:val="clear" w:color="auto" w:fill="auto"/>
            <w:hideMark/>
          </w:tcPr>
          <w:p w14:paraId="08ABB011"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25,566,376</w:t>
            </w:r>
          </w:p>
        </w:tc>
        <w:tc>
          <w:tcPr>
            <w:tcW w:w="1140" w:type="dxa"/>
            <w:tcBorders>
              <w:top w:val="single" w:sz="4" w:space="0" w:color="auto"/>
              <w:left w:val="nil"/>
              <w:bottom w:val="single" w:sz="4" w:space="0" w:color="auto"/>
              <w:right w:val="nil"/>
            </w:tcBorders>
            <w:shd w:val="clear" w:color="auto" w:fill="auto"/>
            <w:hideMark/>
          </w:tcPr>
          <w:p w14:paraId="3D8E3413"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31,833,300</w:t>
            </w:r>
          </w:p>
        </w:tc>
      </w:tr>
      <w:tr w:rsidR="00437109" w:rsidRPr="00853F57" w14:paraId="0ABC3AEF" w14:textId="77777777" w:rsidTr="00E30F09">
        <w:trPr>
          <w:trHeight w:val="241"/>
          <w:tblHeader/>
          <w:jc w:val="center"/>
        </w:trPr>
        <w:tc>
          <w:tcPr>
            <w:tcW w:w="3443" w:type="dxa"/>
            <w:tcBorders>
              <w:top w:val="nil"/>
              <w:left w:val="nil"/>
              <w:bottom w:val="nil"/>
              <w:right w:val="nil"/>
            </w:tcBorders>
            <w:shd w:val="clear" w:color="auto" w:fill="auto"/>
            <w:noWrap/>
            <w:hideMark/>
          </w:tcPr>
          <w:p w14:paraId="5E79A98B" w14:textId="77777777" w:rsidR="00437109" w:rsidRPr="00853F57" w:rsidRDefault="00437109" w:rsidP="00F6167B">
            <w:pPr>
              <w:jc w:val="right"/>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hideMark/>
          </w:tcPr>
          <w:p w14:paraId="7C6A1DD2"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hideMark/>
          </w:tcPr>
          <w:p w14:paraId="0E0709D0"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hideMark/>
          </w:tcPr>
          <w:p w14:paraId="3F10223E"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hideMark/>
          </w:tcPr>
          <w:p w14:paraId="68FE6868"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hideMark/>
          </w:tcPr>
          <w:p w14:paraId="02F84D5B"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7951334F" w14:textId="77777777" w:rsidTr="00E30F09">
        <w:trPr>
          <w:trHeight w:val="255"/>
          <w:tblHeader/>
          <w:jc w:val="center"/>
        </w:trPr>
        <w:tc>
          <w:tcPr>
            <w:tcW w:w="3443" w:type="dxa"/>
            <w:tcBorders>
              <w:top w:val="single" w:sz="4" w:space="0" w:color="auto"/>
              <w:left w:val="nil"/>
              <w:bottom w:val="double" w:sz="6" w:space="0" w:color="auto"/>
              <w:right w:val="nil"/>
            </w:tcBorders>
            <w:shd w:val="clear" w:color="auto" w:fill="auto"/>
            <w:noWrap/>
            <w:hideMark/>
          </w:tcPr>
          <w:p w14:paraId="722D9001" w14:textId="77777777"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 xml:space="preserve">  Total Assets</w:t>
            </w:r>
          </w:p>
        </w:tc>
        <w:tc>
          <w:tcPr>
            <w:tcW w:w="1177" w:type="dxa"/>
            <w:tcBorders>
              <w:top w:val="single" w:sz="4" w:space="0" w:color="auto"/>
              <w:left w:val="nil"/>
              <w:bottom w:val="double" w:sz="6" w:space="0" w:color="auto"/>
              <w:right w:val="nil"/>
            </w:tcBorders>
            <w:shd w:val="clear" w:color="auto" w:fill="auto"/>
            <w:noWrap/>
            <w:vAlign w:val="bottom"/>
            <w:hideMark/>
          </w:tcPr>
          <w:p w14:paraId="58FA7B80"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30,906,686</w:t>
            </w:r>
          </w:p>
        </w:tc>
        <w:tc>
          <w:tcPr>
            <w:tcW w:w="1124" w:type="dxa"/>
            <w:tcBorders>
              <w:top w:val="single" w:sz="4" w:space="0" w:color="auto"/>
              <w:left w:val="nil"/>
              <w:bottom w:val="double" w:sz="6" w:space="0" w:color="auto"/>
              <w:right w:val="nil"/>
            </w:tcBorders>
            <w:shd w:val="clear" w:color="auto" w:fill="auto"/>
            <w:noWrap/>
            <w:vAlign w:val="bottom"/>
            <w:hideMark/>
          </w:tcPr>
          <w:p w14:paraId="1C60C5E1"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34,079,771</w:t>
            </w:r>
          </w:p>
        </w:tc>
        <w:tc>
          <w:tcPr>
            <w:tcW w:w="1140" w:type="dxa"/>
            <w:tcBorders>
              <w:top w:val="single" w:sz="4" w:space="0" w:color="auto"/>
              <w:left w:val="nil"/>
              <w:bottom w:val="double" w:sz="6" w:space="0" w:color="auto"/>
              <w:right w:val="nil"/>
            </w:tcBorders>
            <w:shd w:val="clear" w:color="auto" w:fill="auto"/>
            <w:noWrap/>
            <w:vAlign w:val="bottom"/>
            <w:hideMark/>
          </w:tcPr>
          <w:p w14:paraId="4793FD30"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33,763,829</w:t>
            </w:r>
          </w:p>
        </w:tc>
        <w:tc>
          <w:tcPr>
            <w:tcW w:w="1124" w:type="dxa"/>
            <w:tcBorders>
              <w:top w:val="single" w:sz="4" w:space="0" w:color="auto"/>
              <w:left w:val="nil"/>
              <w:bottom w:val="double" w:sz="6" w:space="0" w:color="auto"/>
              <w:right w:val="nil"/>
            </w:tcBorders>
            <w:shd w:val="clear" w:color="auto" w:fill="auto"/>
            <w:noWrap/>
            <w:vAlign w:val="bottom"/>
            <w:hideMark/>
          </w:tcPr>
          <w:p w14:paraId="1364F9F9"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35,587,572</w:t>
            </w:r>
          </w:p>
        </w:tc>
        <w:tc>
          <w:tcPr>
            <w:tcW w:w="1140" w:type="dxa"/>
            <w:tcBorders>
              <w:top w:val="single" w:sz="4" w:space="0" w:color="auto"/>
              <w:left w:val="nil"/>
              <w:bottom w:val="double" w:sz="6" w:space="0" w:color="auto"/>
              <w:right w:val="nil"/>
            </w:tcBorders>
            <w:shd w:val="clear" w:color="auto" w:fill="auto"/>
            <w:noWrap/>
            <w:vAlign w:val="bottom"/>
            <w:hideMark/>
          </w:tcPr>
          <w:p w14:paraId="23D68FA3"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47,196,241</w:t>
            </w:r>
          </w:p>
        </w:tc>
      </w:tr>
      <w:tr w:rsidR="00437109" w:rsidRPr="00853F57" w14:paraId="4373EFC6" w14:textId="77777777" w:rsidTr="00E30F09">
        <w:trPr>
          <w:trHeight w:val="255"/>
          <w:tblHeader/>
          <w:jc w:val="center"/>
        </w:trPr>
        <w:tc>
          <w:tcPr>
            <w:tcW w:w="3443" w:type="dxa"/>
            <w:tcBorders>
              <w:top w:val="nil"/>
              <w:left w:val="nil"/>
              <w:bottom w:val="nil"/>
              <w:right w:val="nil"/>
            </w:tcBorders>
            <w:shd w:val="clear" w:color="auto" w:fill="auto"/>
            <w:noWrap/>
            <w:hideMark/>
          </w:tcPr>
          <w:p w14:paraId="3B2A4866" w14:textId="77777777" w:rsidR="00437109" w:rsidRPr="00853F57" w:rsidRDefault="00437109" w:rsidP="00F6167B">
            <w:pPr>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noWrap/>
            <w:hideMark/>
          </w:tcPr>
          <w:p w14:paraId="60283DB4"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02D41BA1"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E349EEC"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63C17663"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0FE79CB8"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7D2564BE" w14:textId="77777777" w:rsidTr="00E30F09">
        <w:trPr>
          <w:trHeight w:val="241"/>
          <w:tblHeader/>
          <w:jc w:val="center"/>
        </w:trPr>
        <w:tc>
          <w:tcPr>
            <w:tcW w:w="3443" w:type="dxa"/>
            <w:tcBorders>
              <w:top w:val="nil"/>
              <w:left w:val="nil"/>
              <w:bottom w:val="nil"/>
              <w:right w:val="nil"/>
            </w:tcBorders>
            <w:shd w:val="clear" w:color="auto" w:fill="auto"/>
            <w:noWrap/>
            <w:hideMark/>
          </w:tcPr>
          <w:p w14:paraId="51C249DB" w14:textId="77777777"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Current Liabilities</w:t>
            </w:r>
          </w:p>
        </w:tc>
        <w:tc>
          <w:tcPr>
            <w:tcW w:w="1177" w:type="dxa"/>
            <w:tcBorders>
              <w:top w:val="nil"/>
              <w:left w:val="nil"/>
              <w:bottom w:val="nil"/>
              <w:right w:val="nil"/>
            </w:tcBorders>
            <w:shd w:val="clear" w:color="auto" w:fill="auto"/>
            <w:noWrap/>
            <w:hideMark/>
          </w:tcPr>
          <w:p w14:paraId="259848FA" w14:textId="77777777" w:rsidR="00437109" w:rsidRPr="00853F57" w:rsidRDefault="00437109" w:rsidP="00034CB9">
            <w:pPr>
              <w:jc w:val="right"/>
              <w:rPr>
                <w:rFonts w:ascii="Arial" w:hAnsi="Arial" w:cs="Arial"/>
                <w:b/>
                <w:bCs/>
                <w:color w:val="000000" w:themeColor="text1"/>
                <w:sz w:val="18"/>
                <w:szCs w:val="18"/>
                <w:lang w:val="en-GB"/>
              </w:rPr>
            </w:pPr>
          </w:p>
        </w:tc>
        <w:tc>
          <w:tcPr>
            <w:tcW w:w="1124" w:type="dxa"/>
            <w:tcBorders>
              <w:top w:val="nil"/>
              <w:left w:val="nil"/>
              <w:bottom w:val="nil"/>
              <w:right w:val="nil"/>
            </w:tcBorders>
            <w:shd w:val="clear" w:color="auto" w:fill="auto"/>
            <w:noWrap/>
            <w:hideMark/>
          </w:tcPr>
          <w:p w14:paraId="5E34604E"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A5F871A"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5DCEA019"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5AE0CD00"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59190592" w14:textId="77777777" w:rsidTr="00E30F09">
        <w:trPr>
          <w:trHeight w:val="241"/>
          <w:tblHeader/>
          <w:jc w:val="center"/>
        </w:trPr>
        <w:tc>
          <w:tcPr>
            <w:tcW w:w="3443" w:type="dxa"/>
            <w:tcBorders>
              <w:top w:val="nil"/>
              <w:left w:val="nil"/>
              <w:bottom w:val="nil"/>
              <w:right w:val="nil"/>
            </w:tcBorders>
            <w:shd w:val="clear" w:color="auto" w:fill="auto"/>
            <w:noWrap/>
            <w:hideMark/>
          </w:tcPr>
          <w:p w14:paraId="1E96D4DF"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Trade and Other Payables</w:t>
            </w:r>
          </w:p>
        </w:tc>
        <w:tc>
          <w:tcPr>
            <w:tcW w:w="1177" w:type="dxa"/>
            <w:tcBorders>
              <w:top w:val="nil"/>
              <w:left w:val="nil"/>
              <w:bottom w:val="nil"/>
              <w:right w:val="nil"/>
            </w:tcBorders>
            <w:shd w:val="clear" w:color="auto" w:fill="auto"/>
            <w:noWrap/>
            <w:vAlign w:val="bottom"/>
            <w:hideMark/>
          </w:tcPr>
          <w:p w14:paraId="1B712EA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2,490,492</w:t>
            </w:r>
          </w:p>
        </w:tc>
        <w:tc>
          <w:tcPr>
            <w:tcW w:w="1124" w:type="dxa"/>
            <w:tcBorders>
              <w:top w:val="nil"/>
              <w:left w:val="nil"/>
              <w:bottom w:val="nil"/>
              <w:right w:val="nil"/>
            </w:tcBorders>
            <w:shd w:val="clear" w:color="auto" w:fill="auto"/>
            <w:noWrap/>
            <w:vAlign w:val="bottom"/>
            <w:hideMark/>
          </w:tcPr>
          <w:p w14:paraId="6016922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2,668,662</w:t>
            </w:r>
          </w:p>
        </w:tc>
        <w:tc>
          <w:tcPr>
            <w:tcW w:w="1140" w:type="dxa"/>
            <w:tcBorders>
              <w:top w:val="nil"/>
              <w:left w:val="nil"/>
              <w:bottom w:val="nil"/>
              <w:right w:val="nil"/>
            </w:tcBorders>
            <w:shd w:val="clear" w:color="auto" w:fill="auto"/>
            <w:noWrap/>
            <w:vAlign w:val="bottom"/>
            <w:hideMark/>
          </w:tcPr>
          <w:p w14:paraId="5CF0EC4E"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2,255,450</w:t>
            </w:r>
          </w:p>
        </w:tc>
        <w:tc>
          <w:tcPr>
            <w:tcW w:w="1124" w:type="dxa"/>
            <w:tcBorders>
              <w:top w:val="nil"/>
              <w:left w:val="nil"/>
              <w:bottom w:val="nil"/>
              <w:right w:val="nil"/>
            </w:tcBorders>
            <w:shd w:val="clear" w:color="auto" w:fill="auto"/>
            <w:noWrap/>
            <w:vAlign w:val="bottom"/>
            <w:hideMark/>
          </w:tcPr>
          <w:p w14:paraId="21A650E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3,372,644</w:t>
            </w:r>
          </w:p>
        </w:tc>
        <w:tc>
          <w:tcPr>
            <w:tcW w:w="1140" w:type="dxa"/>
            <w:tcBorders>
              <w:top w:val="nil"/>
              <w:left w:val="nil"/>
              <w:bottom w:val="nil"/>
              <w:right w:val="nil"/>
            </w:tcBorders>
            <w:shd w:val="clear" w:color="auto" w:fill="auto"/>
            <w:noWrap/>
            <w:vAlign w:val="bottom"/>
            <w:hideMark/>
          </w:tcPr>
          <w:p w14:paraId="047A0B8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3,291,917</w:t>
            </w:r>
          </w:p>
        </w:tc>
      </w:tr>
      <w:tr w:rsidR="00437109" w:rsidRPr="00853F57" w14:paraId="086F88A3" w14:textId="77777777" w:rsidTr="00E30F09">
        <w:trPr>
          <w:trHeight w:val="241"/>
          <w:tblHeader/>
          <w:jc w:val="center"/>
        </w:trPr>
        <w:tc>
          <w:tcPr>
            <w:tcW w:w="3443" w:type="dxa"/>
            <w:tcBorders>
              <w:top w:val="nil"/>
              <w:left w:val="nil"/>
              <w:bottom w:val="nil"/>
              <w:right w:val="nil"/>
            </w:tcBorders>
            <w:shd w:val="clear" w:color="auto" w:fill="auto"/>
            <w:noWrap/>
            <w:hideMark/>
          </w:tcPr>
          <w:p w14:paraId="2FF78F7A" w14:textId="15D8ECCC"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Due to Related Parties and </w:t>
            </w:r>
            <w:r w:rsidR="00DC6188" w:rsidRPr="00853F57">
              <w:rPr>
                <w:rFonts w:ascii="Arial" w:hAnsi="Arial" w:cs="Arial"/>
                <w:color w:val="000000" w:themeColor="text1"/>
                <w:sz w:val="18"/>
                <w:szCs w:val="18"/>
                <w:lang w:val="en-GB"/>
              </w:rPr>
              <w:t>Other Payables</w:t>
            </w:r>
          </w:p>
        </w:tc>
        <w:tc>
          <w:tcPr>
            <w:tcW w:w="1177" w:type="dxa"/>
            <w:tcBorders>
              <w:top w:val="nil"/>
              <w:left w:val="nil"/>
              <w:bottom w:val="nil"/>
              <w:right w:val="nil"/>
            </w:tcBorders>
            <w:shd w:val="clear" w:color="auto" w:fill="auto"/>
            <w:hideMark/>
          </w:tcPr>
          <w:p w14:paraId="4748023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3,113,499</w:t>
            </w:r>
          </w:p>
        </w:tc>
        <w:tc>
          <w:tcPr>
            <w:tcW w:w="1124" w:type="dxa"/>
            <w:tcBorders>
              <w:top w:val="nil"/>
              <w:left w:val="nil"/>
              <w:bottom w:val="nil"/>
              <w:right w:val="nil"/>
            </w:tcBorders>
            <w:shd w:val="clear" w:color="auto" w:fill="auto"/>
            <w:hideMark/>
          </w:tcPr>
          <w:p w14:paraId="3089584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3,877,320</w:t>
            </w:r>
          </w:p>
        </w:tc>
        <w:tc>
          <w:tcPr>
            <w:tcW w:w="1140" w:type="dxa"/>
            <w:tcBorders>
              <w:top w:val="nil"/>
              <w:left w:val="nil"/>
              <w:bottom w:val="nil"/>
              <w:right w:val="nil"/>
            </w:tcBorders>
            <w:shd w:val="clear" w:color="auto" w:fill="auto"/>
            <w:hideMark/>
          </w:tcPr>
          <w:p w14:paraId="200CC8B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4,102,037</w:t>
            </w:r>
          </w:p>
        </w:tc>
        <w:tc>
          <w:tcPr>
            <w:tcW w:w="1124" w:type="dxa"/>
            <w:tcBorders>
              <w:top w:val="nil"/>
              <w:left w:val="nil"/>
              <w:bottom w:val="nil"/>
              <w:right w:val="nil"/>
            </w:tcBorders>
            <w:shd w:val="clear" w:color="auto" w:fill="auto"/>
            <w:hideMark/>
          </w:tcPr>
          <w:p w14:paraId="257D6A1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4,490,098</w:t>
            </w:r>
          </w:p>
        </w:tc>
        <w:tc>
          <w:tcPr>
            <w:tcW w:w="1140" w:type="dxa"/>
            <w:tcBorders>
              <w:top w:val="nil"/>
              <w:left w:val="nil"/>
              <w:bottom w:val="nil"/>
              <w:right w:val="nil"/>
            </w:tcBorders>
            <w:shd w:val="clear" w:color="auto" w:fill="auto"/>
            <w:hideMark/>
          </w:tcPr>
          <w:p w14:paraId="575C3BD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8,283,054</w:t>
            </w:r>
          </w:p>
        </w:tc>
      </w:tr>
      <w:tr w:rsidR="00437109" w:rsidRPr="00853F57" w14:paraId="4D08E418" w14:textId="77777777" w:rsidTr="00E30F09">
        <w:trPr>
          <w:trHeight w:val="241"/>
          <w:tblHeader/>
          <w:jc w:val="center"/>
        </w:trPr>
        <w:tc>
          <w:tcPr>
            <w:tcW w:w="3443" w:type="dxa"/>
            <w:tcBorders>
              <w:top w:val="nil"/>
              <w:left w:val="nil"/>
              <w:bottom w:val="nil"/>
              <w:right w:val="nil"/>
            </w:tcBorders>
            <w:shd w:val="clear" w:color="auto" w:fill="auto"/>
            <w:noWrap/>
            <w:hideMark/>
          </w:tcPr>
          <w:p w14:paraId="39D9822C"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Loan Payable</w:t>
            </w:r>
          </w:p>
        </w:tc>
        <w:tc>
          <w:tcPr>
            <w:tcW w:w="1177" w:type="dxa"/>
            <w:tcBorders>
              <w:top w:val="nil"/>
              <w:left w:val="nil"/>
              <w:bottom w:val="nil"/>
              <w:right w:val="nil"/>
            </w:tcBorders>
            <w:shd w:val="clear" w:color="auto" w:fill="auto"/>
            <w:hideMark/>
          </w:tcPr>
          <w:p w14:paraId="6863AB3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24" w:type="dxa"/>
            <w:tcBorders>
              <w:top w:val="nil"/>
              <w:left w:val="nil"/>
              <w:bottom w:val="nil"/>
              <w:right w:val="nil"/>
            </w:tcBorders>
            <w:shd w:val="clear" w:color="auto" w:fill="auto"/>
            <w:hideMark/>
          </w:tcPr>
          <w:p w14:paraId="52AC905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40" w:type="dxa"/>
            <w:tcBorders>
              <w:top w:val="nil"/>
              <w:left w:val="nil"/>
              <w:bottom w:val="nil"/>
              <w:right w:val="nil"/>
            </w:tcBorders>
            <w:shd w:val="clear" w:color="auto" w:fill="auto"/>
            <w:hideMark/>
          </w:tcPr>
          <w:p w14:paraId="412AED6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24" w:type="dxa"/>
            <w:tcBorders>
              <w:top w:val="nil"/>
              <w:left w:val="nil"/>
              <w:bottom w:val="nil"/>
              <w:right w:val="nil"/>
            </w:tcBorders>
            <w:shd w:val="clear" w:color="auto" w:fill="auto"/>
            <w:hideMark/>
          </w:tcPr>
          <w:p w14:paraId="26E2ED1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4,177,902</w:t>
            </w:r>
          </w:p>
        </w:tc>
        <w:tc>
          <w:tcPr>
            <w:tcW w:w="1140" w:type="dxa"/>
            <w:tcBorders>
              <w:top w:val="nil"/>
              <w:left w:val="nil"/>
              <w:bottom w:val="nil"/>
              <w:right w:val="nil"/>
            </w:tcBorders>
            <w:shd w:val="clear" w:color="auto" w:fill="auto"/>
            <w:hideMark/>
          </w:tcPr>
          <w:p w14:paraId="6AAEC00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9,125,849</w:t>
            </w:r>
          </w:p>
        </w:tc>
      </w:tr>
      <w:tr w:rsidR="00437109" w:rsidRPr="00853F57" w14:paraId="3F4F6BB6" w14:textId="77777777" w:rsidTr="00E30F09">
        <w:trPr>
          <w:trHeight w:val="241"/>
          <w:tblHeader/>
          <w:jc w:val="center"/>
        </w:trPr>
        <w:tc>
          <w:tcPr>
            <w:tcW w:w="3443" w:type="dxa"/>
            <w:tcBorders>
              <w:top w:val="nil"/>
              <w:left w:val="nil"/>
              <w:bottom w:val="nil"/>
              <w:right w:val="nil"/>
            </w:tcBorders>
            <w:shd w:val="clear" w:color="auto" w:fill="auto"/>
            <w:noWrap/>
            <w:hideMark/>
          </w:tcPr>
          <w:p w14:paraId="69233E9D"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Notes Payable</w:t>
            </w:r>
          </w:p>
        </w:tc>
        <w:tc>
          <w:tcPr>
            <w:tcW w:w="1177" w:type="dxa"/>
            <w:tcBorders>
              <w:top w:val="nil"/>
              <w:left w:val="nil"/>
              <w:bottom w:val="nil"/>
              <w:right w:val="nil"/>
            </w:tcBorders>
            <w:shd w:val="clear" w:color="auto" w:fill="auto"/>
            <w:hideMark/>
          </w:tcPr>
          <w:p w14:paraId="0825FB5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2,100,105</w:t>
            </w:r>
          </w:p>
        </w:tc>
        <w:tc>
          <w:tcPr>
            <w:tcW w:w="1124" w:type="dxa"/>
            <w:tcBorders>
              <w:top w:val="nil"/>
              <w:left w:val="nil"/>
              <w:bottom w:val="nil"/>
              <w:right w:val="nil"/>
            </w:tcBorders>
            <w:shd w:val="clear" w:color="auto" w:fill="auto"/>
            <w:hideMark/>
          </w:tcPr>
          <w:p w14:paraId="3427ADBE"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999,831</w:t>
            </w:r>
          </w:p>
        </w:tc>
        <w:tc>
          <w:tcPr>
            <w:tcW w:w="1140" w:type="dxa"/>
            <w:tcBorders>
              <w:top w:val="nil"/>
              <w:left w:val="nil"/>
              <w:bottom w:val="nil"/>
              <w:right w:val="nil"/>
            </w:tcBorders>
            <w:shd w:val="clear" w:color="auto" w:fill="auto"/>
            <w:hideMark/>
          </w:tcPr>
          <w:p w14:paraId="71411EE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24" w:type="dxa"/>
            <w:tcBorders>
              <w:top w:val="nil"/>
              <w:left w:val="nil"/>
              <w:bottom w:val="nil"/>
              <w:right w:val="nil"/>
            </w:tcBorders>
            <w:shd w:val="clear" w:color="auto" w:fill="auto"/>
            <w:hideMark/>
          </w:tcPr>
          <w:p w14:paraId="6A4B455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40" w:type="dxa"/>
            <w:tcBorders>
              <w:top w:val="nil"/>
              <w:left w:val="nil"/>
              <w:bottom w:val="nil"/>
              <w:right w:val="nil"/>
            </w:tcBorders>
            <w:shd w:val="clear" w:color="auto" w:fill="auto"/>
            <w:hideMark/>
          </w:tcPr>
          <w:p w14:paraId="64AF9762"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r>
      <w:tr w:rsidR="00437109" w:rsidRPr="00853F57" w14:paraId="4DE2CF37" w14:textId="77777777" w:rsidTr="00E30F09">
        <w:trPr>
          <w:trHeight w:val="241"/>
          <w:tblHeader/>
          <w:jc w:val="center"/>
        </w:trPr>
        <w:tc>
          <w:tcPr>
            <w:tcW w:w="3443" w:type="dxa"/>
            <w:tcBorders>
              <w:top w:val="nil"/>
              <w:left w:val="nil"/>
              <w:bottom w:val="nil"/>
              <w:right w:val="nil"/>
            </w:tcBorders>
            <w:shd w:val="clear" w:color="auto" w:fill="auto"/>
            <w:noWrap/>
            <w:hideMark/>
          </w:tcPr>
          <w:p w14:paraId="64E3E82D"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Income Tax Payable</w:t>
            </w:r>
          </w:p>
        </w:tc>
        <w:tc>
          <w:tcPr>
            <w:tcW w:w="1177" w:type="dxa"/>
            <w:tcBorders>
              <w:top w:val="nil"/>
              <w:left w:val="nil"/>
              <w:bottom w:val="nil"/>
              <w:right w:val="nil"/>
            </w:tcBorders>
            <w:shd w:val="clear" w:color="auto" w:fill="auto"/>
            <w:hideMark/>
          </w:tcPr>
          <w:p w14:paraId="164EF5FE"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345,531</w:t>
            </w:r>
          </w:p>
        </w:tc>
        <w:tc>
          <w:tcPr>
            <w:tcW w:w="1124" w:type="dxa"/>
            <w:tcBorders>
              <w:top w:val="nil"/>
              <w:left w:val="nil"/>
              <w:bottom w:val="nil"/>
              <w:right w:val="nil"/>
            </w:tcBorders>
            <w:shd w:val="clear" w:color="auto" w:fill="auto"/>
            <w:hideMark/>
          </w:tcPr>
          <w:p w14:paraId="6E3FDD7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824,141</w:t>
            </w:r>
          </w:p>
        </w:tc>
        <w:tc>
          <w:tcPr>
            <w:tcW w:w="1140" w:type="dxa"/>
            <w:tcBorders>
              <w:top w:val="nil"/>
              <w:left w:val="nil"/>
              <w:bottom w:val="nil"/>
              <w:right w:val="nil"/>
            </w:tcBorders>
            <w:shd w:val="clear" w:color="auto" w:fill="auto"/>
            <w:hideMark/>
          </w:tcPr>
          <w:p w14:paraId="232060B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520,411</w:t>
            </w:r>
          </w:p>
        </w:tc>
        <w:tc>
          <w:tcPr>
            <w:tcW w:w="1124" w:type="dxa"/>
            <w:tcBorders>
              <w:top w:val="nil"/>
              <w:left w:val="nil"/>
              <w:bottom w:val="nil"/>
              <w:right w:val="nil"/>
            </w:tcBorders>
            <w:shd w:val="clear" w:color="auto" w:fill="auto"/>
            <w:hideMark/>
          </w:tcPr>
          <w:p w14:paraId="2C2C478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265,684</w:t>
            </w:r>
          </w:p>
        </w:tc>
        <w:tc>
          <w:tcPr>
            <w:tcW w:w="1140" w:type="dxa"/>
            <w:tcBorders>
              <w:top w:val="nil"/>
              <w:left w:val="nil"/>
              <w:bottom w:val="nil"/>
              <w:right w:val="nil"/>
            </w:tcBorders>
            <w:shd w:val="clear" w:color="auto" w:fill="auto"/>
            <w:hideMark/>
          </w:tcPr>
          <w:p w14:paraId="39C1764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321,025</w:t>
            </w:r>
          </w:p>
        </w:tc>
      </w:tr>
      <w:tr w:rsidR="00437109" w:rsidRPr="00853F57" w14:paraId="1F643FB1" w14:textId="77777777" w:rsidTr="00E30F09">
        <w:trPr>
          <w:trHeight w:val="241"/>
          <w:tblHeader/>
          <w:jc w:val="center"/>
        </w:trPr>
        <w:tc>
          <w:tcPr>
            <w:tcW w:w="3443" w:type="dxa"/>
            <w:tcBorders>
              <w:top w:val="single" w:sz="4" w:space="0" w:color="auto"/>
              <w:left w:val="nil"/>
              <w:bottom w:val="single" w:sz="4" w:space="0" w:color="auto"/>
              <w:right w:val="nil"/>
            </w:tcBorders>
            <w:shd w:val="clear" w:color="auto" w:fill="auto"/>
            <w:hideMark/>
          </w:tcPr>
          <w:p w14:paraId="113459E2" w14:textId="77777777"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Total Current Liabilities</w:t>
            </w:r>
          </w:p>
        </w:tc>
        <w:tc>
          <w:tcPr>
            <w:tcW w:w="1177" w:type="dxa"/>
            <w:tcBorders>
              <w:top w:val="single" w:sz="4" w:space="0" w:color="auto"/>
              <w:left w:val="nil"/>
              <w:bottom w:val="single" w:sz="4" w:space="0" w:color="auto"/>
              <w:right w:val="nil"/>
            </w:tcBorders>
            <w:shd w:val="clear" w:color="auto" w:fill="auto"/>
            <w:hideMark/>
          </w:tcPr>
          <w:p w14:paraId="2068F1F8"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8,049,627</w:t>
            </w:r>
          </w:p>
        </w:tc>
        <w:tc>
          <w:tcPr>
            <w:tcW w:w="1124" w:type="dxa"/>
            <w:tcBorders>
              <w:top w:val="single" w:sz="4" w:space="0" w:color="auto"/>
              <w:left w:val="nil"/>
              <w:bottom w:val="single" w:sz="4" w:space="0" w:color="auto"/>
              <w:right w:val="nil"/>
            </w:tcBorders>
            <w:shd w:val="clear" w:color="auto" w:fill="auto"/>
            <w:hideMark/>
          </w:tcPr>
          <w:p w14:paraId="751779C7"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8,369,954</w:t>
            </w:r>
          </w:p>
        </w:tc>
        <w:tc>
          <w:tcPr>
            <w:tcW w:w="1140" w:type="dxa"/>
            <w:tcBorders>
              <w:top w:val="single" w:sz="4" w:space="0" w:color="auto"/>
              <w:left w:val="nil"/>
              <w:bottom w:val="single" w:sz="4" w:space="0" w:color="auto"/>
              <w:right w:val="nil"/>
            </w:tcBorders>
            <w:shd w:val="clear" w:color="auto" w:fill="auto"/>
            <w:hideMark/>
          </w:tcPr>
          <w:p w14:paraId="20A7BA76"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6,877,898</w:t>
            </w:r>
          </w:p>
        </w:tc>
        <w:tc>
          <w:tcPr>
            <w:tcW w:w="1124" w:type="dxa"/>
            <w:tcBorders>
              <w:top w:val="single" w:sz="4" w:space="0" w:color="auto"/>
              <w:left w:val="nil"/>
              <w:bottom w:val="single" w:sz="4" w:space="0" w:color="auto"/>
              <w:right w:val="nil"/>
            </w:tcBorders>
            <w:shd w:val="clear" w:color="auto" w:fill="auto"/>
            <w:hideMark/>
          </w:tcPr>
          <w:p w14:paraId="5DA8FB62"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12,306,328</w:t>
            </w:r>
          </w:p>
        </w:tc>
        <w:tc>
          <w:tcPr>
            <w:tcW w:w="1140" w:type="dxa"/>
            <w:tcBorders>
              <w:top w:val="single" w:sz="4" w:space="0" w:color="auto"/>
              <w:left w:val="nil"/>
              <w:bottom w:val="single" w:sz="4" w:space="0" w:color="auto"/>
              <w:right w:val="nil"/>
            </w:tcBorders>
            <w:shd w:val="clear" w:color="auto" w:fill="auto"/>
            <w:hideMark/>
          </w:tcPr>
          <w:p w14:paraId="36C0D97C"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21,021,845</w:t>
            </w:r>
          </w:p>
        </w:tc>
      </w:tr>
      <w:tr w:rsidR="00437109" w:rsidRPr="00853F57" w14:paraId="3F2EF869" w14:textId="77777777" w:rsidTr="00E30F09">
        <w:trPr>
          <w:trHeight w:val="241"/>
          <w:tblHeader/>
          <w:jc w:val="center"/>
        </w:trPr>
        <w:tc>
          <w:tcPr>
            <w:tcW w:w="3443" w:type="dxa"/>
            <w:tcBorders>
              <w:top w:val="nil"/>
              <w:left w:val="nil"/>
              <w:bottom w:val="nil"/>
              <w:right w:val="nil"/>
            </w:tcBorders>
            <w:shd w:val="clear" w:color="auto" w:fill="auto"/>
            <w:noWrap/>
            <w:hideMark/>
          </w:tcPr>
          <w:p w14:paraId="63EC3461" w14:textId="77777777" w:rsidR="00437109" w:rsidRPr="00853F57" w:rsidRDefault="00437109" w:rsidP="00F6167B">
            <w:pPr>
              <w:jc w:val="right"/>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noWrap/>
            <w:hideMark/>
          </w:tcPr>
          <w:p w14:paraId="77A24739" w14:textId="77777777" w:rsidR="00437109" w:rsidRPr="00853F57" w:rsidRDefault="00437109" w:rsidP="00F6167B">
            <w:pPr>
              <w:jc w:val="center"/>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27935BAE"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5B30F35B" w14:textId="77777777" w:rsidR="00437109" w:rsidRPr="00853F57" w:rsidRDefault="00437109" w:rsidP="00F6167B">
            <w:pPr>
              <w:jc w:val="center"/>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7FF4DF65"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702B10C3" w14:textId="77777777" w:rsidR="00437109" w:rsidRPr="00853F57" w:rsidRDefault="00437109" w:rsidP="00F6167B">
            <w:pPr>
              <w:jc w:val="center"/>
              <w:rPr>
                <w:rFonts w:ascii="Arial" w:hAnsi="Arial" w:cs="Arial"/>
                <w:color w:val="000000" w:themeColor="text1"/>
                <w:sz w:val="18"/>
                <w:szCs w:val="18"/>
                <w:lang w:val="en-GB"/>
              </w:rPr>
            </w:pPr>
          </w:p>
        </w:tc>
      </w:tr>
      <w:tr w:rsidR="00437109" w:rsidRPr="00853F57" w14:paraId="20A864CF" w14:textId="77777777" w:rsidTr="00E30F09">
        <w:trPr>
          <w:trHeight w:val="241"/>
          <w:tblHeader/>
          <w:jc w:val="center"/>
        </w:trPr>
        <w:tc>
          <w:tcPr>
            <w:tcW w:w="3443" w:type="dxa"/>
            <w:tcBorders>
              <w:top w:val="nil"/>
              <w:left w:val="nil"/>
              <w:bottom w:val="nil"/>
              <w:right w:val="nil"/>
            </w:tcBorders>
            <w:shd w:val="clear" w:color="auto" w:fill="auto"/>
            <w:noWrap/>
            <w:hideMark/>
          </w:tcPr>
          <w:p w14:paraId="07FC9975" w14:textId="5BE2681F" w:rsidR="00437109" w:rsidRPr="00853F57" w:rsidRDefault="00DC6188"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 xml:space="preserve">Non-current </w:t>
            </w:r>
            <w:r w:rsidR="00437109" w:rsidRPr="00853F57">
              <w:rPr>
                <w:rFonts w:ascii="Arial" w:hAnsi="Arial" w:cs="Arial"/>
                <w:b/>
                <w:bCs/>
                <w:color w:val="000000" w:themeColor="text1"/>
                <w:sz w:val="18"/>
                <w:szCs w:val="18"/>
                <w:lang w:val="en-GB"/>
              </w:rPr>
              <w:t>Liabilities</w:t>
            </w:r>
          </w:p>
        </w:tc>
        <w:tc>
          <w:tcPr>
            <w:tcW w:w="1177" w:type="dxa"/>
            <w:tcBorders>
              <w:top w:val="nil"/>
              <w:left w:val="nil"/>
              <w:bottom w:val="nil"/>
              <w:right w:val="nil"/>
            </w:tcBorders>
            <w:shd w:val="clear" w:color="auto" w:fill="auto"/>
            <w:noWrap/>
            <w:hideMark/>
          </w:tcPr>
          <w:p w14:paraId="0097D1A8" w14:textId="77777777" w:rsidR="00437109" w:rsidRPr="00853F57" w:rsidRDefault="00437109" w:rsidP="00F6167B">
            <w:pPr>
              <w:jc w:val="center"/>
              <w:rPr>
                <w:rFonts w:ascii="Arial" w:hAnsi="Arial" w:cs="Arial"/>
                <w:b/>
                <w:bCs/>
                <w:color w:val="000000" w:themeColor="text1"/>
                <w:sz w:val="18"/>
                <w:szCs w:val="18"/>
                <w:lang w:val="en-GB"/>
              </w:rPr>
            </w:pPr>
          </w:p>
        </w:tc>
        <w:tc>
          <w:tcPr>
            <w:tcW w:w="1124" w:type="dxa"/>
            <w:tcBorders>
              <w:top w:val="nil"/>
              <w:left w:val="nil"/>
              <w:bottom w:val="nil"/>
              <w:right w:val="nil"/>
            </w:tcBorders>
            <w:shd w:val="clear" w:color="auto" w:fill="auto"/>
            <w:noWrap/>
            <w:hideMark/>
          </w:tcPr>
          <w:p w14:paraId="5B52DDB1"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50FA9F8" w14:textId="77777777" w:rsidR="00437109" w:rsidRPr="00853F57" w:rsidRDefault="00437109" w:rsidP="00F6167B">
            <w:pPr>
              <w:jc w:val="center"/>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14F845CB" w14:textId="77777777" w:rsidR="00437109" w:rsidRPr="00853F57" w:rsidRDefault="00437109" w:rsidP="00F6167B">
            <w:pPr>
              <w:jc w:val="center"/>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139A4727" w14:textId="77777777" w:rsidR="00437109" w:rsidRPr="00853F57" w:rsidRDefault="00437109" w:rsidP="00F6167B">
            <w:pPr>
              <w:jc w:val="center"/>
              <w:rPr>
                <w:rFonts w:ascii="Arial" w:hAnsi="Arial" w:cs="Arial"/>
                <w:color w:val="000000" w:themeColor="text1"/>
                <w:sz w:val="18"/>
                <w:szCs w:val="18"/>
                <w:lang w:val="en-GB"/>
              </w:rPr>
            </w:pPr>
          </w:p>
        </w:tc>
      </w:tr>
      <w:tr w:rsidR="00437109" w:rsidRPr="00853F57" w14:paraId="31D08D26" w14:textId="77777777" w:rsidTr="00E30F09">
        <w:trPr>
          <w:trHeight w:val="241"/>
          <w:tblHeader/>
          <w:jc w:val="center"/>
        </w:trPr>
        <w:tc>
          <w:tcPr>
            <w:tcW w:w="3443" w:type="dxa"/>
            <w:tcBorders>
              <w:top w:val="nil"/>
              <w:left w:val="nil"/>
              <w:bottom w:val="nil"/>
              <w:right w:val="nil"/>
            </w:tcBorders>
            <w:shd w:val="clear" w:color="auto" w:fill="auto"/>
            <w:noWrap/>
            <w:hideMark/>
          </w:tcPr>
          <w:p w14:paraId="7730112B"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Retirement Benefit Liabilities</w:t>
            </w:r>
          </w:p>
        </w:tc>
        <w:tc>
          <w:tcPr>
            <w:tcW w:w="1177" w:type="dxa"/>
            <w:tcBorders>
              <w:top w:val="nil"/>
              <w:left w:val="nil"/>
              <w:bottom w:val="nil"/>
              <w:right w:val="nil"/>
            </w:tcBorders>
            <w:shd w:val="clear" w:color="auto" w:fill="auto"/>
            <w:hideMark/>
          </w:tcPr>
          <w:p w14:paraId="0A0F92C3"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582,924</w:t>
            </w:r>
          </w:p>
        </w:tc>
        <w:tc>
          <w:tcPr>
            <w:tcW w:w="1124" w:type="dxa"/>
            <w:tcBorders>
              <w:top w:val="nil"/>
              <w:left w:val="nil"/>
              <w:bottom w:val="nil"/>
              <w:right w:val="nil"/>
            </w:tcBorders>
            <w:shd w:val="clear" w:color="auto" w:fill="auto"/>
            <w:hideMark/>
          </w:tcPr>
          <w:p w14:paraId="127E0B4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553,437</w:t>
            </w:r>
          </w:p>
        </w:tc>
        <w:tc>
          <w:tcPr>
            <w:tcW w:w="1140" w:type="dxa"/>
            <w:tcBorders>
              <w:top w:val="nil"/>
              <w:left w:val="nil"/>
              <w:bottom w:val="nil"/>
              <w:right w:val="nil"/>
            </w:tcBorders>
            <w:shd w:val="clear" w:color="auto" w:fill="auto"/>
            <w:hideMark/>
          </w:tcPr>
          <w:p w14:paraId="08842EE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501,944</w:t>
            </w:r>
          </w:p>
        </w:tc>
        <w:tc>
          <w:tcPr>
            <w:tcW w:w="1124" w:type="dxa"/>
            <w:tcBorders>
              <w:top w:val="nil"/>
              <w:left w:val="nil"/>
              <w:bottom w:val="nil"/>
              <w:right w:val="nil"/>
            </w:tcBorders>
            <w:shd w:val="clear" w:color="auto" w:fill="auto"/>
            <w:hideMark/>
          </w:tcPr>
          <w:p w14:paraId="520790D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845,154</w:t>
            </w:r>
          </w:p>
        </w:tc>
        <w:tc>
          <w:tcPr>
            <w:tcW w:w="1140" w:type="dxa"/>
            <w:tcBorders>
              <w:top w:val="nil"/>
              <w:left w:val="nil"/>
              <w:bottom w:val="nil"/>
              <w:right w:val="nil"/>
            </w:tcBorders>
            <w:shd w:val="clear" w:color="auto" w:fill="auto"/>
            <w:hideMark/>
          </w:tcPr>
          <w:p w14:paraId="074D0BF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r>
      <w:tr w:rsidR="00437109" w:rsidRPr="00853F57" w14:paraId="30849AA8" w14:textId="77777777" w:rsidTr="00E30F09">
        <w:trPr>
          <w:trHeight w:val="241"/>
          <w:tblHeader/>
          <w:jc w:val="center"/>
        </w:trPr>
        <w:tc>
          <w:tcPr>
            <w:tcW w:w="3443" w:type="dxa"/>
            <w:tcBorders>
              <w:top w:val="nil"/>
              <w:left w:val="nil"/>
              <w:bottom w:val="nil"/>
              <w:right w:val="nil"/>
            </w:tcBorders>
            <w:shd w:val="clear" w:color="auto" w:fill="auto"/>
            <w:noWrap/>
            <w:hideMark/>
          </w:tcPr>
          <w:p w14:paraId="28C3A7CC"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Deferred Tax Liabilities</w:t>
            </w:r>
          </w:p>
        </w:tc>
        <w:tc>
          <w:tcPr>
            <w:tcW w:w="1177" w:type="dxa"/>
            <w:tcBorders>
              <w:top w:val="nil"/>
              <w:left w:val="nil"/>
              <w:bottom w:val="nil"/>
              <w:right w:val="nil"/>
            </w:tcBorders>
            <w:shd w:val="clear" w:color="auto" w:fill="auto"/>
            <w:hideMark/>
          </w:tcPr>
          <w:p w14:paraId="7509116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653</w:t>
            </w:r>
          </w:p>
        </w:tc>
        <w:tc>
          <w:tcPr>
            <w:tcW w:w="1124" w:type="dxa"/>
            <w:tcBorders>
              <w:top w:val="nil"/>
              <w:left w:val="nil"/>
              <w:bottom w:val="nil"/>
              <w:right w:val="nil"/>
            </w:tcBorders>
            <w:shd w:val="clear" w:color="auto" w:fill="auto"/>
            <w:hideMark/>
          </w:tcPr>
          <w:p w14:paraId="77ED838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3,632</w:t>
            </w:r>
          </w:p>
        </w:tc>
        <w:tc>
          <w:tcPr>
            <w:tcW w:w="1140" w:type="dxa"/>
            <w:tcBorders>
              <w:top w:val="nil"/>
              <w:left w:val="nil"/>
              <w:bottom w:val="nil"/>
              <w:right w:val="nil"/>
            </w:tcBorders>
            <w:shd w:val="clear" w:color="auto" w:fill="auto"/>
            <w:hideMark/>
          </w:tcPr>
          <w:p w14:paraId="6DDB5CC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24" w:type="dxa"/>
            <w:tcBorders>
              <w:top w:val="nil"/>
              <w:left w:val="nil"/>
              <w:bottom w:val="nil"/>
              <w:right w:val="nil"/>
            </w:tcBorders>
            <w:shd w:val="clear" w:color="auto" w:fill="auto"/>
            <w:hideMark/>
          </w:tcPr>
          <w:p w14:paraId="1382576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w:t>
            </w:r>
          </w:p>
        </w:tc>
        <w:tc>
          <w:tcPr>
            <w:tcW w:w="1140" w:type="dxa"/>
            <w:tcBorders>
              <w:top w:val="nil"/>
              <w:left w:val="nil"/>
              <w:bottom w:val="nil"/>
              <w:right w:val="nil"/>
            </w:tcBorders>
            <w:shd w:val="clear" w:color="auto" w:fill="auto"/>
            <w:hideMark/>
          </w:tcPr>
          <w:p w14:paraId="0A606EB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830,288</w:t>
            </w:r>
          </w:p>
        </w:tc>
      </w:tr>
      <w:tr w:rsidR="00437109" w:rsidRPr="00853F57" w14:paraId="17CFEC44" w14:textId="77777777" w:rsidTr="00E30F09">
        <w:trPr>
          <w:trHeight w:val="241"/>
          <w:tblHeader/>
          <w:jc w:val="center"/>
        </w:trPr>
        <w:tc>
          <w:tcPr>
            <w:tcW w:w="3443" w:type="dxa"/>
            <w:tcBorders>
              <w:top w:val="nil"/>
              <w:left w:val="nil"/>
              <w:bottom w:val="nil"/>
              <w:right w:val="nil"/>
            </w:tcBorders>
            <w:shd w:val="clear" w:color="auto" w:fill="auto"/>
            <w:noWrap/>
            <w:hideMark/>
          </w:tcPr>
          <w:p w14:paraId="6A2DE4A3"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Provisions</w:t>
            </w:r>
          </w:p>
        </w:tc>
        <w:tc>
          <w:tcPr>
            <w:tcW w:w="1177" w:type="dxa"/>
            <w:tcBorders>
              <w:top w:val="nil"/>
              <w:left w:val="nil"/>
              <w:bottom w:val="nil"/>
              <w:right w:val="nil"/>
            </w:tcBorders>
            <w:shd w:val="clear" w:color="auto" w:fill="auto"/>
            <w:hideMark/>
          </w:tcPr>
          <w:p w14:paraId="7DA9379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180,606</w:t>
            </w:r>
          </w:p>
        </w:tc>
        <w:tc>
          <w:tcPr>
            <w:tcW w:w="1124" w:type="dxa"/>
            <w:tcBorders>
              <w:top w:val="nil"/>
              <w:left w:val="nil"/>
              <w:bottom w:val="nil"/>
              <w:right w:val="nil"/>
            </w:tcBorders>
            <w:shd w:val="clear" w:color="auto" w:fill="auto"/>
            <w:hideMark/>
          </w:tcPr>
          <w:p w14:paraId="5FC6E87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183,282</w:t>
            </w:r>
          </w:p>
        </w:tc>
        <w:tc>
          <w:tcPr>
            <w:tcW w:w="1140" w:type="dxa"/>
            <w:tcBorders>
              <w:top w:val="nil"/>
              <w:left w:val="nil"/>
              <w:bottom w:val="nil"/>
              <w:right w:val="nil"/>
            </w:tcBorders>
            <w:shd w:val="clear" w:color="auto" w:fill="auto"/>
            <w:hideMark/>
          </w:tcPr>
          <w:p w14:paraId="6CD1B94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126,654</w:t>
            </w:r>
          </w:p>
        </w:tc>
        <w:tc>
          <w:tcPr>
            <w:tcW w:w="1124" w:type="dxa"/>
            <w:tcBorders>
              <w:top w:val="nil"/>
              <w:left w:val="nil"/>
              <w:bottom w:val="nil"/>
              <w:right w:val="nil"/>
            </w:tcBorders>
            <w:shd w:val="clear" w:color="auto" w:fill="auto"/>
            <w:hideMark/>
          </w:tcPr>
          <w:p w14:paraId="44BDF00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81,342</w:t>
            </w:r>
          </w:p>
        </w:tc>
        <w:tc>
          <w:tcPr>
            <w:tcW w:w="1140" w:type="dxa"/>
            <w:tcBorders>
              <w:top w:val="nil"/>
              <w:left w:val="nil"/>
              <w:bottom w:val="nil"/>
              <w:right w:val="nil"/>
            </w:tcBorders>
            <w:shd w:val="clear" w:color="auto" w:fill="auto"/>
            <w:hideMark/>
          </w:tcPr>
          <w:p w14:paraId="45ACF8C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70,947</w:t>
            </w:r>
          </w:p>
        </w:tc>
      </w:tr>
      <w:tr w:rsidR="00437109" w:rsidRPr="00853F57" w14:paraId="022DB2BD" w14:textId="77777777" w:rsidTr="00E30F09">
        <w:trPr>
          <w:trHeight w:val="241"/>
          <w:tblHeader/>
          <w:jc w:val="center"/>
        </w:trPr>
        <w:tc>
          <w:tcPr>
            <w:tcW w:w="3443" w:type="dxa"/>
            <w:tcBorders>
              <w:top w:val="single" w:sz="4" w:space="0" w:color="auto"/>
              <w:left w:val="nil"/>
              <w:bottom w:val="single" w:sz="4" w:space="0" w:color="auto"/>
              <w:right w:val="nil"/>
            </w:tcBorders>
            <w:shd w:val="clear" w:color="auto" w:fill="auto"/>
            <w:hideMark/>
          </w:tcPr>
          <w:p w14:paraId="1EA7B29D" w14:textId="721E249A"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 xml:space="preserve">Total </w:t>
            </w:r>
            <w:r w:rsidR="00DC6188" w:rsidRPr="00853F57">
              <w:rPr>
                <w:rFonts w:ascii="Arial" w:hAnsi="Arial" w:cs="Arial"/>
                <w:b/>
                <w:bCs/>
                <w:color w:val="000000" w:themeColor="text1"/>
                <w:sz w:val="18"/>
                <w:szCs w:val="18"/>
                <w:lang w:val="en-GB"/>
              </w:rPr>
              <w:t xml:space="preserve">Non-current </w:t>
            </w:r>
            <w:r w:rsidRPr="00853F57">
              <w:rPr>
                <w:rFonts w:ascii="Arial" w:hAnsi="Arial" w:cs="Arial"/>
                <w:b/>
                <w:bCs/>
                <w:color w:val="000000" w:themeColor="text1"/>
                <w:sz w:val="18"/>
                <w:szCs w:val="18"/>
                <w:lang w:val="en-GB"/>
              </w:rPr>
              <w:t>Liabilities</w:t>
            </w:r>
          </w:p>
        </w:tc>
        <w:tc>
          <w:tcPr>
            <w:tcW w:w="1177" w:type="dxa"/>
            <w:tcBorders>
              <w:top w:val="single" w:sz="4" w:space="0" w:color="auto"/>
              <w:left w:val="nil"/>
              <w:bottom w:val="single" w:sz="4" w:space="0" w:color="auto"/>
              <w:right w:val="nil"/>
            </w:tcBorders>
            <w:shd w:val="clear" w:color="auto" w:fill="auto"/>
            <w:hideMark/>
          </w:tcPr>
          <w:p w14:paraId="227BF692"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764,183</w:t>
            </w:r>
          </w:p>
        </w:tc>
        <w:tc>
          <w:tcPr>
            <w:tcW w:w="1124" w:type="dxa"/>
            <w:tcBorders>
              <w:top w:val="single" w:sz="4" w:space="0" w:color="auto"/>
              <w:left w:val="nil"/>
              <w:bottom w:val="single" w:sz="4" w:space="0" w:color="auto"/>
              <w:right w:val="nil"/>
            </w:tcBorders>
            <w:shd w:val="clear" w:color="auto" w:fill="auto"/>
            <w:hideMark/>
          </w:tcPr>
          <w:p w14:paraId="08AF0819"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740,351</w:t>
            </w:r>
          </w:p>
        </w:tc>
        <w:tc>
          <w:tcPr>
            <w:tcW w:w="1140" w:type="dxa"/>
            <w:tcBorders>
              <w:top w:val="single" w:sz="4" w:space="0" w:color="auto"/>
              <w:left w:val="nil"/>
              <w:bottom w:val="single" w:sz="4" w:space="0" w:color="auto"/>
              <w:right w:val="nil"/>
            </w:tcBorders>
            <w:shd w:val="clear" w:color="auto" w:fill="auto"/>
            <w:hideMark/>
          </w:tcPr>
          <w:p w14:paraId="3DD65E61"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628,598</w:t>
            </w:r>
          </w:p>
        </w:tc>
        <w:tc>
          <w:tcPr>
            <w:tcW w:w="1124" w:type="dxa"/>
            <w:tcBorders>
              <w:top w:val="single" w:sz="4" w:space="0" w:color="auto"/>
              <w:left w:val="nil"/>
              <w:bottom w:val="single" w:sz="4" w:space="0" w:color="auto"/>
              <w:right w:val="nil"/>
            </w:tcBorders>
            <w:shd w:val="clear" w:color="auto" w:fill="auto"/>
            <w:hideMark/>
          </w:tcPr>
          <w:p w14:paraId="63EF8B06"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926,496</w:t>
            </w:r>
          </w:p>
        </w:tc>
        <w:tc>
          <w:tcPr>
            <w:tcW w:w="1140" w:type="dxa"/>
            <w:tcBorders>
              <w:top w:val="single" w:sz="4" w:space="0" w:color="auto"/>
              <w:left w:val="nil"/>
              <w:bottom w:val="single" w:sz="4" w:space="0" w:color="auto"/>
              <w:right w:val="nil"/>
            </w:tcBorders>
            <w:shd w:val="clear" w:color="auto" w:fill="auto"/>
            <w:hideMark/>
          </w:tcPr>
          <w:p w14:paraId="77B55292"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901,235</w:t>
            </w:r>
          </w:p>
        </w:tc>
      </w:tr>
      <w:tr w:rsidR="00437109" w:rsidRPr="00853F57" w14:paraId="6C9DEE3C" w14:textId="77777777" w:rsidTr="00E30F09">
        <w:trPr>
          <w:trHeight w:val="241"/>
          <w:tblHeader/>
          <w:jc w:val="center"/>
        </w:trPr>
        <w:tc>
          <w:tcPr>
            <w:tcW w:w="3443" w:type="dxa"/>
            <w:tcBorders>
              <w:top w:val="nil"/>
              <w:left w:val="nil"/>
              <w:bottom w:val="nil"/>
              <w:right w:val="nil"/>
            </w:tcBorders>
            <w:shd w:val="clear" w:color="auto" w:fill="auto"/>
            <w:noWrap/>
            <w:hideMark/>
          </w:tcPr>
          <w:p w14:paraId="2E2EAE57" w14:textId="77777777" w:rsidR="00437109" w:rsidRPr="00853F57" w:rsidRDefault="00437109" w:rsidP="00F6167B">
            <w:pPr>
              <w:jc w:val="right"/>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noWrap/>
            <w:hideMark/>
          </w:tcPr>
          <w:p w14:paraId="4FE3037E"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5309D8FB"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3BD5F7B7"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1A8CFBDA"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2DA6A1E7"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2F03CC51" w14:textId="77777777" w:rsidTr="00E30F09">
        <w:trPr>
          <w:trHeight w:val="241"/>
          <w:tblHeader/>
          <w:jc w:val="center"/>
        </w:trPr>
        <w:tc>
          <w:tcPr>
            <w:tcW w:w="3443" w:type="dxa"/>
            <w:tcBorders>
              <w:top w:val="nil"/>
              <w:left w:val="nil"/>
              <w:bottom w:val="nil"/>
              <w:right w:val="nil"/>
            </w:tcBorders>
            <w:shd w:val="clear" w:color="auto" w:fill="auto"/>
            <w:noWrap/>
            <w:hideMark/>
          </w:tcPr>
          <w:p w14:paraId="01C97367" w14:textId="2154898E" w:rsidR="00437109" w:rsidRPr="00853F57" w:rsidRDefault="00DC6188"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 xml:space="preserve">Shareholders’ </w:t>
            </w:r>
            <w:r w:rsidR="00437109" w:rsidRPr="00853F57">
              <w:rPr>
                <w:rFonts w:ascii="Arial" w:hAnsi="Arial" w:cs="Arial"/>
                <w:b/>
                <w:bCs/>
                <w:color w:val="000000" w:themeColor="text1"/>
                <w:sz w:val="18"/>
                <w:szCs w:val="18"/>
                <w:lang w:val="en-GB"/>
              </w:rPr>
              <w:t>Equity</w:t>
            </w:r>
          </w:p>
        </w:tc>
        <w:tc>
          <w:tcPr>
            <w:tcW w:w="1177" w:type="dxa"/>
            <w:tcBorders>
              <w:top w:val="nil"/>
              <w:left w:val="nil"/>
              <w:bottom w:val="nil"/>
              <w:right w:val="nil"/>
            </w:tcBorders>
            <w:shd w:val="clear" w:color="auto" w:fill="auto"/>
            <w:noWrap/>
            <w:hideMark/>
          </w:tcPr>
          <w:p w14:paraId="285CF6C8" w14:textId="77777777" w:rsidR="00437109" w:rsidRPr="00853F57" w:rsidRDefault="00437109" w:rsidP="00034CB9">
            <w:pPr>
              <w:jc w:val="right"/>
              <w:rPr>
                <w:rFonts w:ascii="Arial" w:hAnsi="Arial" w:cs="Arial"/>
                <w:b/>
                <w:bCs/>
                <w:color w:val="000000" w:themeColor="text1"/>
                <w:sz w:val="18"/>
                <w:szCs w:val="18"/>
                <w:lang w:val="en-GB"/>
              </w:rPr>
            </w:pPr>
          </w:p>
        </w:tc>
        <w:tc>
          <w:tcPr>
            <w:tcW w:w="1124" w:type="dxa"/>
            <w:tcBorders>
              <w:top w:val="nil"/>
              <w:left w:val="nil"/>
              <w:bottom w:val="nil"/>
              <w:right w:val="nil"/>
            </w:tcBorders>
            <w:shd w:val="clear" w:color="auto" w:fill="auto"/>
            <w:noWrap/>
            <w:hideMark/>
          </w:tcPr>
          <w:p w14:paraId="117431A0"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31A07EDF"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noWrap/>
            <w:hideMark/>
          </w:tcPr>
          <w:p w14:paraId="7530103E"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noWrap/>
            <w:hideMark/>
          </w:tcPr>
          <w:p w14:paraId="4FEC158E"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3DD3ED33" w14:textId="77777777" w:rsidTr="00E30F09">
        <w:trPr>
          <w:trHeight w:val="241"/>
          <w:tblHeader/>
          <w:jc w:val="center"/>
        </w:trPr>
        <w:tc>
          <w:tcPr>
            <w:tcW w:w="3443" w:type="dxa"/>
            <w:tcBorders>
              <w:top w:val="nil"/>
              <w:left w:val="nil"/>
              <w:bottom w:val="nil"/>
              <w:right w:val="nil"/>
            </w:tcBorders>
            <w:shd w:val="clear" w:color="auto" w:fill="auto"/>
            <w:noWrap/>
            <w:hideMark/>
          </w:tcPr>
          <w:p w14:paraId="3FC21033" w14:textId="23527876"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Common Stock</w:t>
            </w:r>
            <w:r w:rsidR="00D04844">
              <w:rPr>
                <w:rFonts w:ascii="Arial" w:hAnsi="Arial" w:cs="Arial"/>
                <w:color w:val="000000" w:themeColor="text1"/>
                <w:sz w:val="18"/>
                <w:szCs w:val="18"/>
                <w:lang w:val="en-GB"/>
              </w:rPr>
              <w:t>—</w:t>
            </w:r>
            <w:r w:rsidRPr="00853F57">
              <w:rPr>
                <w:rFonts w:ascii="Arial" w:hAnsi="Arial" w:cs="Arial"/>
                <w:color w:val="000000" w:themeColor="text1"/>
                <w:sz w:val="18"/>
                <w:szCs w:val="18"/>
                <w:lang w:val="en-GB"/>
              </w:rPr>
              <w:t>Par Value</w:t>
            </w:r>
          </w:p>
        </w:tc>
        <w:tc>
          <w:tcPr>
            <w:tcW w:w="1177" w:type="dxa"/>
            <w:tcBorders>
              <w:top w:val="nil"/>
              <w:left w:val="nil"/>
              <w:bottom w:val="nil"/>
              <w:right w:val="nil"/>
            </w:tcBorders>
            <w:shd w:val="clear" w:color="auto" w:fill="auto"/>
            <w:hideMark/>
          </w:tcPr>
          <w:p w14:paraId="12F4470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6,452,099</w:t>
            </w:r>
          </w:p>
        </w:tc>
        <w:tc>
          <w:tcPr>
            <w:tcW w:w="1124" w:type="dxa"/>
            <w:tcBorders>
              <w:top w:val="nil"/>
              <w:left w:val="nil"/>
              <w:bottom w:val="nil"/>
              <w:right w:val="nil"/>
            </w:tcBorders>
            <w:shd w:val="clear" w:color="auto" w:fill="auto"/>
            <w:hideMark/>
          </w:tcPr>
          <w:p w14:paraId="40558A7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6,452,099</w:t>
            </w:r>
          </w:p>
        </w:tc>
        <w:tc>
          <w:tcPr>
            <w:tcW w:w="1140" w:type="dxa"/>
            <w:tcBorders>
              <w:top w:val="nil"/>
              <w:left w:val="nil"/>
              <w:bottom w:val="nil"/>
              <w:right w:val="nil"/>
            </w:tcBorders>
            <w:shd w:val="clear" w:color="auto" w:fill="auto"/>
            <w:hideMark/>
          </w:tcPr>
          <w:p w14:paraId="2CAEF16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6,452,099</w:t>
            </w:r>
          </w:p>
        </w:tc>
        <w:tc>
          <w:tcPr>
            <w:tcW w:w="1124" w:type="dxa"/>
            <w:tcBorders>
              <w:top w:val="nil"/>
              <w:left w:val="nil"/>
              <w:bottom w:val="nil"/>
              <w:right w:val="nil"/>
            </w:tcBorders>
            <w:shd w:val="clear" w:color="auto" w:fill="auto"/>
            <w:hideMark/>
          </w:tcPr>
          <w:p w14:paraId="4E6F7F90"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6,452,099</w:t>
            </w:r>
          </w:p>
        </w:tc>
        <w:tc>
          <w:tcPr>
            <w:tcW w:w="1140" w:type="dxa"/>
            <w:tcBorders>
              <w:top w:val="nil"/>
              <w:left w:val="nil"/>
              <w:bottom w:val="nil"/>
              <w:right w:val="nil"/>
            </w:tcBorders>
            <w:shd w:val="clear" w:color="auto" w:fill="auto"/>
            <w:hideMark/>
          </w:tcPr>
          <w:p w14:paraId="267DA94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6,452,099</w:t>
            </w:r>
          </w:p>
        </w:tc>
      </w:tr>
      <w:tr w:rsidR="00437109" w:rsidRPr="00853F57" w14:paraId="69E400DA" w14:textId="77777777" w:rsidTr="00E30F09">
        <w:trPr>
          <w:trHeight w:val="241"/>
          <w:tblHeader/>
          <w:jc w:val="center"/>
        </w:trPr>
        <w:tc>
          <w:tcPr>
            <w:tcW w:w="3443" w:type="dxa"/>
            <w:tcBorders>
              <w:top w:val="nil"/>
              <w:left w:val="nil"/>
              <w:bottom w:val="nil"/>
              <w:right w:val="nil"/>
            </w:tcBorders>
            <w:shd w:val="clear" w:color="auto" w:fill="auto"/>
            <w:noWrap/>
            <w:hideMark/>
          </w:tcPr>
          <w:p w14:paraId="063F804B" w14:textId="506E1071"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Additional </w:t>
            </w:r>
            <w:r w:rsidR="00DC6188" w:rsidRPr="00853F57">
              <w:rPr>
                <w:rFonts w:ascii="Arial" w:hAnsi="Arial" w:cs="Arial"/>
                <w:color w:val="000000" w:themeColor="text1"/>
                <w:sz w:val="18"/>
                <w:szCs w:val="18"/>
                <w:lang w:val="en-GB"/>
              </w:rPr>
              <w:t>Paid-I</w:t>
            </w:r>
            <w:r w:rsidRPr="00853F57">
              <w:rPr>
                <w:rFonts w:ascii="Arial" w:hAnsi="Arial" w:cs="Arial"/>
                <w:color w:val="000000" w:themeColor="text1"/>
                <w:sz w:val="18"/>
                <w:szCs w:val="18"/>
                <w:lang w:val="en-GB"/>
              </w:rPr>
              <w:t>n Capital</w:t>
            </w:r>
          </w:p>
        </w:tc>
        <w:tc>
          <w:tcPr>
            <w:tcW w:w="1177" w:type="dxa"/>
            <w:tcBorders>
              <w:top w:val="nil"/>
              <w:left w:val="nil"/>
              <w:bottom w:val="nil"/>
              <w:right w:val="nil"/>
            </w:tcBorders>
            <w:shd w:val="clear" w:color="auto" w:fill="auto"/>
            <w:hideMark/>
          </w:tcPr>
          <w:p w14:paraId="4D296AA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8,476,002</w:t>
            </w:r>
          </w:p>
        </w:tc>
        <w:tc>
          <w:tcPr>
            <w:tcW w:w="1124" w:type="dxa"/>
            <w:tcBorders>
              <w:top w:val="nil"/>
              <w:left w:val="nil"/>
              <w:bottom w:val="nil"/>
              <w:right w:val="nil"/>
            </w:tcBorders>
            <w:shd w:val="clear" w:color="auto" w:fill="auto"/>
            <w:hideMark/>
          </w:tcPr>
          <w:p w14:paraId="48ED655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8,476,002</w:t>
            </w:r>
          </w:p>
        </w:tc>
        <w:tc>
          <w:tcPr>
            <w:tcW w:w="1140" w:type="dxa"/>
            <w:tcBorders>
              <w:top w:val="nil"/>
              <w:left w:val="nil"/>
              <w:bottom w:val="nil"/>
              <w:right w:val="nil"/>
            </w:tcBorders>
            <w:shd w:val="clear" w:color="auto" w:fill="auto"/>
            <w:hideMark/>
          </w:tcPr>
          <w:p w14:paraId="565621F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8,476,002</w:t>
            </w:r>
          </w:p>
        </w:tc>
        <w:tc>
          <w:tcPr>
            <w:tcW w:w="1124" w:type="dxa"/>
            <w:tcBorders>
              <w:top w:val="nil"/>
              <w:left w:val="nil"/>
              <w:bottom w:val="nil"/>
              <w:right w:val="nil"/>
            </w:tcBorders>
            <w:shd w:val="clear" w:color="auto" w:fill="auto"/>
            <w:hideMark/>
          </w:tcPr>
          <w:p w14:paraId="416296C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8,476,002</w:t>
            </w:r>
          </w:p>
        </w:tc>
        <w:tc>
          <w:tcPr>
            <w:tcW w:w="1140" w:type="dxa"/>
            <w:tcBorders>
              <w:top w:val="nil"/>
              <w:left w:val="nil"/>
              <w:bottom w:val="nil"/>
              <w:right w:val="nil"/>
            </w:tcBorders>
            <w:shd w:val="clear" w:color="auto" w:fill="auto"/>
            <w:hideMark/>
          </w:tcPr>
          <w:p w14:paraId="7E3F9FD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8,476,002</w:t>
            </w:r>
          </w:p>
        </w:tc>
      </w:tr>
      <w:tr w:rsidR="00437109" w:rsidRPr="00853F57" w14:paraId="604DE859" w14:textId="77777777" w:rsidTr="00E30F09">
        <w:trPr>
          <w:trHeight w:val="241"/>
          <w:tblHeader/>
          <w:jc w:val="center"/>
        </w:trPr>
        <w:tc>
          <w:tcPr>
            <w:tcW w:w="3443" w:type="dxa"/>
            <w:tcBorders>
              <w:top w:val="nil"/>
              <w:left w:val="nil"/>
              <w:bottom w:val="nil"/>
              <w:right w:val="nil"/>
            </w:tcBorders>
            <w:shd w:val="clear" w:color="auto" w:fill="auto"/>
            <w:noWrap/>
            <w:hideMark/>
          </w:tcPr>
          <w:p w14:paraId="6B018DE0"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Retained Earnings (Deficit)</w:t>
            </w:r>
          </w:p>
        </w:tc>
        <w:tc>
          <w:tcPr>
            <w:tcW w:w="1177" w:type="dxa"/>
            <w:tcBorders>
              <w:top w:val="nil"/>
              <w:left w:val="nil"/>
              <w:bottom w:val="nil"/>
              <w:right w:val="nil"/>
            </w:tcBorders>
            <w:shd w:val="clear" w:color="auto" w:fill="auto"/>
            <w:hideMark/>
          </w:tcPr>
          <w:p w14:paraId="35ACACAF"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7,326,592</w:t>
            </w:r>
          </w:p>
        </w:tc>
        <w:tc>
          <w:tcPr>
            <w:tcW w:w="1124" w:type="dxa"/>
            <w:tcBorders>
              <w:top w:val="nil"/>
              <w:left w:val="nil"/>
              <w:bottom w:val="nil"/>
              <w:right w:val="nil"/>
            </w:tcBorders>
            <w:shd w:val="clear" w:color="auto" w:fill="auto"/>
            <w:hideMark/>
          </w:tcPr>
          <w:p w14:paraId="3C69750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10,178,725</w:t>
            </w:r>
          </w:p>
        </w:tc>
        <w:tc>
          <w:tcPr>
            <w:tcW w:w="1140" w:type="dxa"/>
            <w:tcBorders>
              <w:top w:val="nil"/>
              <w:left w:val="nil"/>
              <w:bottom w:val="nil"/>
              <w:right w:val="nil"/>
            </w:tcBorders>
            <w:shd w:val="clear" w:color="auto" w:fill="auto"/>
            <w:hideMark/>
          </w:tcPr>
          <w:p w14:paraId="34BBD4B4"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11,409,043</w:t>
            </w:r>
          </w:p>
        </w:tc>
        <w:tc>
          <w:tcPr>
            <w:tcW w:w="1124" w:type="dxa"/>
            <w:tcBorders>
              <w:top w:val="nil"/>
              <w:left w:val="nil"/>
              <w:bottom w:val="nil"/>
              <w:right w:val="nil"/>
            </w:tcBorders>
            <w:shd w:val="clear" w:color="auto" w:fill="auto"/>
            <w:hideMark/>
          </w:tcPr>
          <w:p w14:paraId="24DBCF9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7,773,468</w:t>
            </w:r>
          </w:p>
        </w:tc>
        <w:tc>
          <w:tcPr>
            <w:tcW w:w="1140" w:type="dxa"/>
            <w:tcBorders>
              <w:top w:val="nil"/>
              <w:left w:val="nil"/>
              <w:bottom w:val="nil"/>
              <w:right w:val="nil"/>
            </w:tcBorders>
            <w:shd w:val="clear" w:color="auto" w:fill="auto"/>
            <w:hideMark/>
          </w:tcPr>
          <w:p w14:paraId="1FB7914D"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7,607,112</w:t>
            </w:r>
          </w:p>
        </w:tc>
      </w:tr>
      <w:tr w:rsidR="00437109" w:rsidRPr="00853F57" w14:paraId="3A76FBFE" w14:textId="77777777" w:rsidTr="00E30F09">
        <w:trPr>
          <w:trHeight w:val="241"/>
          <w:tblHeader/>
          <w:jc w:val="center"/>
        </w:trPr>
        <w:tc>
          <w:tcPr>
            <w:tcW w:w="3443" w:type="dxa"/>
            <w:tcBorders>
              <w:top w:val="nil"/>
              <w:left w:val="nil"/>
              <w:bottom w:val="nil"/>
              <w:right w:val="nil"/>
            </w:tcBorders>
            <w:shd w:val="clear" w:color="auto" w:fill="auto"/>
            <w:noWrap/>
            <w:hideMark/>
          </w:tcPr>
          <w:p w14:paraId="27D79312"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Other Reserves</w:t>
            </w:r>
          </w:p>
        </w:tc>
        <w:tc>
          <w:tcPr>
            <w:tcW w:w="1177" w:type="dxa"/>
            <w:tcBorders>
              <w:top w:val="nil"/>
              <w:left w:val="nil"/>
              <w:bottom w:val="nil"/>
              <w:right w:val="nil"/>
            </w:tcBorders>
            <w:shd w:val="clear" w:color="auto" w:fill="auto"/>
            <w:hideMark/>
          </w:tcPr>
          <w:p w14:paraId="1431F33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3,774</w:t>
            </w:r>
          </w:p>
        </w:tc>
        <w:tc>
          <w:tcPr>
            <w:tcW w:w="1124" w:type="dxa"/>
            <w:tcBorders>
              <w:top w:val="nil"/>
              <w:left w:val="nil"/>
              <w:bottom w:val="nil"/>
              <w:right w:val="nil"/>
            </w:tcBorders>
            <w:shd w:val="clear" w:color="auto" w:fill="auto"/>
            <w:hideMark/>
          </w:tcPr>
          <w:p w14:paraId="5B4CE22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(9,606)</w:t>
            </w:r>
          </w:p>
        </w:tc>
        <w:tc>
          <w:tcPr>
            <w:tcW w:w="1140" w:type="dxa"/>
            <w:tcBorders>
              <w:top w:val="nil"/>
              <w:left w:val="nil"/>
              <w:bottom w:val="nil"/>
              <w:right w:val="nil"/>
            </w:tcBorders>
            <w:shd w:val="clear" w:color="auto" w:fill="auto"/>
            <w:hideMark/>
          </w:tcPr>
          <w:p w14:paraId="2F8D6D41"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(5,832)</w:t>
            </w:r>
          </w:p>
        </w:tc>
        <w:tc>
          <w:tcPr>
            <w:tcW w:w="1124" w:type="dxa"/>
            <w:tcBorders>
              <w:top w:val="nil"/>
              <w:left w:val="nil"/>
              <w:bottom w:val="nil"/>
              <w:right w:val="nil"/>
            </w:tcBorders>
            <w:shd w:val="clear" w:color="auto" w:fill="auto"/>
            <w:hideMark/>
          </w:tcPr>
          <w:p w14:paraId="5FA5241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(1,430)</w:t>
            </w:r>
          </w:p>
        </w:tc>
        <w:tc>
          <w:tcPr>
            <w:tcW w:w="1140" w:type="dxa"/>
            <w:tcBorders>
              <w:top w:val="nil"/>
              <w:left w:val="nil"/>
              <w:bottom w:val="nil"/>
              <w:right w:val="nil"/>
            </w:tcBorders>
            <w:shd w:val="clear" w:color="auto" w:fill="auto"/>
            <w:hideMark/>
          </w:tcPr>
          <w:p w14:paraId="5D665926"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2,344</w:t>
            </w:r>
          </w:p>
        </w:tc>
      </w:tr>
      <w:tr w:rsidR="00437109" w:rsidRPr="00853F57" w14:paraId="7CA7C203" w14:textId="77777777" w:rsidTr="00E30F09">
        <w:trPr>
          <w:trHeight w:val="241"/>
          <w:tblHeader/>
          <w:jc w:val="center"/>
        </w:trPr>
        <w:tc>
          <w:tcPr>
            <w:tcW w:w="3443" w:type="dxa"/>
            <w:tcBorders>
              <w:top w:val="nil"/>
              <w:left w:val="nil"/>
              <w:bottom w:val="nil"/>
              <w:right w:val="nil"/>
            </w:tcBorders>
            <w:shd w:val="clear" w:color="auto" w:fill="auto"/>
            <w:noWrap/>
            <w:hideMark/>
          </w:tcPr>
          <w:p w14:paraId="01AE1C6A"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Minority Interest</w:t>
            </w:r>
          </w:p>
        </w:tc>
        <w:tc>
          <w:tcPr>
            <w:tcW w:w="1177" w:type="dxa"/>
            <w:tcBorders>
              <w:top w:val="nil"/>
              <w:left w:val="nil"/>
              <w:bottom w:val="nil"/>
              <w:right w:val="nil"/>
            </w:tcBorders>
            <w:shd w:val="clear" w:color="auto" w:fill="auto"/>
            <w:hideMark/>
          </w:tcPr>
          <w:p w14:paraId="0F84B98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9,395</w:t>
            </w:r>
          </w:p>
        </w:tc>
        <w:tc>
          <w:tcPr>
            <w:tcW w:w="1124" w:type="dxa"/>
            <w:tcBorders>
              <w:top w:val="nil"/>
              <w:left w:val="nil"/>
              <w:bottom w:val="nil"/>
              <w:right w:val="nil"/>
            </w:tcBorders>
            <w:shd w:val="clear" w:color="auto" w:fill="auto"/>
            <w:hideMark/>
          </w:tcPr>
          <w:p w14:paraId="71CDE0D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8,086</w:t>
            </w:r>
          </w:p>
        </w:tc>
        <w:tc>
          <w:tcPr>
            <w:tcW w:w="1140" w:type="dxa"/>
            <w:tcBorders>
              <w:top w:val="nil"/>
              <w:left w:val="nil"/>
              <w:bottom w:val="nil"/>
              <w:right w:val="nil"/>
            </w:tcBorders>
            <w:shd w:val="clear" w:color="auto" w:fill="auto"/>
            <w:hideMark/>
          </w:tcPr>
          <w:p w14:paraId="02374118"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5,999</w:t>
            </w:r>
          </w:p>
        </w:tc>
        <w:tc>
          <w:tcPr>
            <w:tcW w:w="1124" w:type="dxa"/>
            <w:tcBorders>
              <w:top w:val="nil"/>
              <w:left w:val="nil"/>
              <w:bottom w:val="nil"/>
              <w:right w:val="nil"/>
            </w:tcBorders>
            <w:shd w:val="clear" w:color="auto" w:fill="auto"/>
            <w:hideMark/>
          </w:tcPr>
          <w:p w14:paraId="1CC8F6FC"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5,596</w:t>
            </w:r>
          </w:p>
        </w:tc>
        <w:tc>
          <w:tcPr>
            <w:tcW w:w="1140" w:type="dxa"/>
            <w:tcBorders>
              <w:top w:val="nil"/>
              <w:left w:val="nil"/>
              <w:bottom w:val="nil"/>
              <w:right w:val="nil"/>
            </w:tcBorders>
            <w:shd w:val="clear" w:color="auto" w:fill="auto"/>
            <w:hideMark/>
          </w:tcPr>
          <w:p w14:paraId="64B7DD0A"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16,073</w:t>
            </w:r>
          </w:p>
        </w:tc>
      </w:tr>
      <w:tr w:rsidR="00437109" w:rsidRPr="00853F57" w14:paraId="25817BDE" w14:textId="77777777" w:rsidTr="00E30F09">
        <w:trPr>
          <w:trHeight w:val="241"/>
          <w:tblHeader/>
          <w:jc w:val="center"/>
        </w:trPr>
        <w:tc>
          <w:tcPr>
            <w:tcW w:w="3443" w:type="dxa"/>
            <w:tcBorders>
              <w:top w:val="nil"/>
              <w:left w:val="nil"/>
              <w:bottom w:val="nil"/>
              <w:right w:val="nil"/>
            </w:tcBorders>
            <w:shd w:val="clear" w:color="auto" w:fill="auto"/>
            <w:noWrap/>
            <w:hideMark/>
          </w:tcPr>
          <w:p w14:paraId="4ACAF72F" w14:textId="3D6AA761"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Remeasurement Loss on Retirement Benefits</w:t>
            </w:r>
            <w:r w:rsidR="00DC6188" w:rsidRPr="00853F57">
              <w:rPr>
                <w:rFonts w:ascii="Arial" w:hAnsi="Arial" w:cs="Arial"/>
                <w:color w:val="000000" w:themeColor="text1"/>
                <w:sz w:val="18"/>
                <w:szCs w:val="18"/>
                <w:lang w:val="en-GB"/>
              </w:rPr>
              <w:t>,</w:t>
            </w:r>
            <w:r w:rsidRPr="00853F57">
              <w:rPr>
                <w:rFonts w:ascii="Arial" w:hAnsi="Arial" w:cs="Arial"/>
                <w:color w:val="000000" w:themeColor="text1"/>
                <w:sz w:val="18"/>
                <w:szCs w:val="18"/>
                <w:lang w:val="en-GB"/>
              </w:rPr>
              <w:t xml:space="preserve"> Net</w:t>
            </w:r>
          </w:p>
        </w:tc>
        <w:tc>
          <w:tcPr>
            <w:tcW w:w="1177" w:type="dxa"/>
            <w:tcBorders>
              <w:top w:val="nil"/>
              <w:left w:val="nil"/>
              <w:bottom w:val="nil"/>
              <w:right w:val="nil"/>
            </w:tcBorders>
            <w:shd w:val="clear" w:color="auto" w:fill="auto"/>
            <w:hideMark/>
          </w:tcPr>
          <w:p w14:paraId="677996EB"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(174,986)</w:t>
            </w:r>
          </w:p>
        </w:tc>
        <w:tc>
          <w:tcPr>
            <w:tcW w:w="1124" w:type="dxa"/>
            <w:tcBorders>
              <w:top w:val="nil"/>
              <w:left w:val="nil"/>
              <w:bottom w:val="nil"/>
              <w:right w:val="nil"/>
            </w:tcBorders>
            <w:shd w:val="clear" w:color="auto" w:fill="auto"/>
            <w:hideMark/>
          </w:tcPr>
          <w:p w14:paraId="3E9FB533"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(135,840)</w:t>
            </w:r>
          </w:p>
        </w:tc>
        <w:tc>
          <w:tcPr>
            <w:tcW w:w="1140" w:type="dxa"/>
            <w:tcBorders>
              <w:top w:val="nil"/>
              <w:left w:val="nil"/>
              <w:bottom w:val="nil"/>
              <w:right w:val="nil"/>
            </w:tcBorders>
            <w:shd w:val="clear" w:color="auto" w:fill="auto"/>
            <w:hideMark/>
          </w:tcPr>
          <w:p w14:paraId="0FF73AB9"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(79,978)</w:t>
            </w:r>
          </w:p>
        </w:tc>
        <w:tc>
          <w:tcPr>
            <w:tcW w:w="1124" w:type="dxa"/>
            <w:tcBorders>
              <w:top w:val="nil"/>
              <w:left w:val="nil"/>
              <w:bottom w:val="nil"/>
              <w:right w:val="nil"/>
            </w:tcBorders>
            <w:shd w:val="clear" w:color="auto" w:fill="auto"/>
            <w:hideMark/>
          </w:tcPr>
          <w:p w14:paraId="1A9492D7"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(350,987)</w:t>
            </w:r>
          </w:p>
        </w:tc>
        <w:tc>
          <w:tcPr>
            <w:tcW w:w="1140" w:type="dxa"/>
            <w:tcBorders>
              <w:top w:val="nil"/>
              <w:left w:val="nil"/>
              <w:bottom w:val="nil"/>
              <w:right w:val="nil"/>
            </w:tcBorders>
            <w:shd w:val="clear" w:color="auto" w:fill="auto"/>
            <w:hideMark/>
          </w:tcPr>
          <w:p w14:paraId="50D20E75" w14:textId="77777777" w:rsidR="00437109" w:rsidRPr="00853F57" w:rsidRDefault="00437109" w:rsidP="00034CB9">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2,719,531</w:t>
            </w:r>
          </w:p>
        </w:tc>
      </w:tr>
      <w:tr w:rsidR="00437109" w:rsidRPr="00853F57" w14:paraId="6D92F402" w14:textId="77777777" w:rsidTr="00E30F09">
        <w:trPr>
          <w:trHeight w:val="241"/>
          <w:tblHeader/>
          <w:jc w:val="center"/>
        </w:trPr>
        <w:tc>
          <w:tcPr>
            <w:tcW w:w="3443" w:type="dxa"/>
            <w:tcBorders>
              <w:top w:val="single" w:sz="4" w:space="0" w:color="auto"/>
              <w:left w:val="nil"/>
              <w:bottom w:val="single" w:sz="4" w:space="0" w:color="auto"/>
              <w:right w:val="nil"/>
            </w:tcBorders>
            <w:shd w:val="clear" w:color="auto" w:fill="auto"/>
            <w:hideMark/>
          </w:tcPr>
          <w:p w14:paraId="7379B38F" w14:textId="2E7A299B"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Total Shareholders</w:t>
            </w:r>
            <w:r w:rsidR="00DC6188" w:rsidRPr="00853F57">
              <w:rPr>
                <w:rFonts w:ascii="Arial" w:hAnsi="Arial" w:cs="Arial"/>
                <w:b/>
                <w:bCs/>
                <w:color w:val="000000" w:themeColor="text1"/>
                <w:sz w:val="18"/>
                <w:szCs w:val="18"/>
                <w:lang w:val="en-GB"/>
              </w:rPr>
              <w:t>’</w:t>
            </w:r>
            <w:r w:rsidRPr="00853F57">
              <w:rPr>
                <w:rFonts w:ascii="Arial" w:hAnsi="Arial" w:cs="Arial"/>
                <w:b/>
                <w:bCs/>
                <w:color w:val="000000" w:themeColor="text1"/>
                <w:sz w:val="18"/>
                <w:szCs w:val="18"/>
                <w:lang w:val="en-GB"/>
              </w:rPr>
              <w:t xml:space="preserve"> Equity</w:t>
            </w:r>
          </w:p>
        </w:tc>
        <w:tc>
          <w:tcPr>
            <w:tcW w:w="1177" w:type="dxa"/>
            <w:tcBorders>
              <w:top w:val="single" w:sz="4" w:space="0" w:color="auto"/>
              <w:left w:val="nil"/>
              <w:bottom w:val="single" w:sz="4" w:space="0" w:color="auto"/>
              <w:right w:val="nil"/>
            </w:tcBorders>
            <w:shd w:val="clear" w:color="auto" w:fill="auto"/>
            <w:hideMark/>
          </w:tcPr>
          <w:p w14:paraId="1EEA72D5"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22,092,876</w:t>
            </w:r>
          </w:p>
        </w:tc>
        <w:tc>
          <w:tcPr>
            <w:tcW w:w="1124" w:type="dxa"/>
            <w:tcBorders>
              <w:top w:val="single" w:sz="4" w:space="0" w:color="auto"/>
              <w:left w:val="nil"/>
              <w:bottom w:val="single" w:sz="4" w:space="0" w:color="auto"/>
              <w:right w:val="nil"/>
            </w:tcBorders>
            <w:shd w:val="clear" w:color="auto" w:fill="auto"/>
            <w:hideMark/>
          </w:tcPr>
          <w:p w14:paraId="23440EDA"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24,969,466</w:t>
            </w:r>
          </w:p>
        </w:tc>
        <w:tc>
          <w:tcPr>
            <w:tcW w:w="1140" w:type="dxa"/>
            <w:tcBorders>
              <w:top w:val="single" w:sz="4" w:space="0" w:color="auto"/>
              <w:left w:val="nil"/>
              <w:bottom w:val="single" w:sz="4" w:space="0" w:color="auto"/>
              <w:right w:val="nil"/>
            </w:tcBorders>
            <w:shd w:val="clear" w:color="auto" w:fill="auto"/>
            <w:hideMark/>
          </w:tcPr>
          <w:p w14:paraId="04FA80E3"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26,257,333</w:t>
            </w:r>
          </w:p>
        </w:tc>
        <w:tc>
          <w:tcPr>
            <w:tcW w:w="1124" w:type="dxa"/>
            <w:tcBorders>
              <w:top w:val="single" w:sz="4" w:space="0" w:color="auto"/>
              <w:left w:val="nil"/>
              <w:bottom w:val="single" w:sz="4" w:space="0" w:color="auto"/>
              <w:right w:val="nil"/>
            </w:tcBorders>
            <w:shd w:val="clear" w:color="auto" w:fill="auto"/>
            <w:hideMark/>
          </w:tcPr>
          <w:p w14:paraId="192F4714"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22,354,748</w:t>
            </w:r>
          </w:p>
        </w:tc>
        <w:tc>
          <w:tcPr>
            <w:tcW w:w="1140" w:type="dxa"/>
            <w:tcBorders>
              <w:top w:val="single" w:sz="4" w:space="0" w:color="auto"/>
              <w:left w:val="nil"/>
              <w:bottom w:val="single" w:sz="4" w:space="0" w:color="auto"/>
              <w:right w:val="nil"/>
            </w:tcBorders>
            <w:shd w:val="clear" w:color="auto" w:fill="auto"/>
            <w:hideMark/>
          </w:tcPr>
          <w:p w14:paraId="45C69019"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25,273,161</w:t>
            </w:r>
          </w:p>
        </w:tc>
      </w:tr>
      <w:tr w:rsidR="00437109" w:rsidRPr="00853F57" w14:paraId="6B533B9A" w14:textId="77777777" w:rsidTr="00E30F09">
        <w:trPr>
          <w:trHeight w:val="241"/>
          <w:tblHeader/>
          <w:jc w:val="center"/>
        </w:trPr>
        <w:tc>
          <w:tcPr>
            <w:tcW w:w="3443" w:type="dxa"/>
            <w:tcBorders>
              <w:top w:val="nil"/>
              <w:left w:val="nil"/>
              <w:bottom w:val="nil"/>
              <w:right w:val="nil"/>
            </w:tcBorders>
            <w:shd w:val="clear" w:color="auto" w:fill="auto"/>
            <w:hideMark/>
          </w:tcPr>
          <w:p w14:paraId="39A7E444" w14:textId="77777777" w:rsidR="00437109" w:rsidRPr="00853F57" w:rsidRDefault="00437109" w:rsidP="00F6167B">
            <w:pPr>
              <w:jc w:val="right"/>
              <w:rPr>
                <w:rFonts w:ascii="Arial" w:hAnsi="Arial" w:cs="Arial"/>
                <w:b/>
                <w:bCs/>
                <w:color w:val="000000" w:themeColor="text1"/>
                <w:sz w:val="18"/>
                <w:szCs w:val="18"/>
                <w:lang w:val="en-GB"/>
              </w:rPr>
            </w:pPr>
          </w:p>
        </w:tc>
        <w:tc>
          <w:tcPr>
            <w:tcW w:w="1177" w:type="dxa"/>
            <w:tcBorders>
              <w:top w:val="nil"/>
              <w:left w:val="nil"/>
              <w:bottom w:val="nil"/>
              <w:right w:val="nil"/>
            </w:tcBorders>
            <w:shd w:val="clear" w:color="auto" w:fill="auto"/>
            <w:hideMark/>
          </w:tcPr>
          <w:p w14:paraId="78ECE223"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hideMark/>
          </w:tcPr>
          <w:p w14:paraId="32AC45F6"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hideMark/>
          </w:tcPr>
          <w:p w14:paraId="1604C1EA" w14:textId="77777777" w:rsidR="00437109" w:rsidRPr="00853F57" w:rsidRDefault="00437109" w:rsidP="00034CB9">
            <w:pPr>
              <w:jc w:val="right"/>
              <w:rPr>
                <w:rFonts w:ascii="Arial" w:hAnsi="Arial" w:cs="Arial"/>
                <w:color w:val="000000" w:themeColor="text1"/>
                <w:sz w:val="18"/>
                <w:szCs w:val="18"/>
                <w:lang w:val="en-GB"/>
              </w:rPr>
            </w:pPr>
          </w:p>
        </w:tc>
        <w:tc>
          <w:tcPr>
            <w:tcW w:w="1124" w:type="dxa"/>
            <w:tcBorders>
              <w:top w:val="nil"/>
              <w:left w:val="nil"/>
              <w:bottom w:val="nil"/>
              <w:right w:val="nil"/>
            </w:tcBorders>
            <w:shd w:val="clear" w:color="auto" w:fill="auto"/>
            <w:hideMark/>
          </w:tcPr>
          <w:p w14:paraId="4F8FF5CA" w14:textId="77777777" w:rsidR="00437109" w:rsidRPr="00853F57" w:rsidRDefault="00437109" w:rsidP="00034CB9">
            <w:pPr>
              <w:jc w:val="right"/>
              <w:rPr>
                <w:rFonts w:ascii="Arial" w:hAnsi="Arial" w:cs="Arial"/>
                <w:color w:val="000000" w:themeColor="text1"/>
                <w:sz w:val="18"/>
                <w:szCs w:val="18"/>
                <w:lang w:val="en-GB"/>
              </w:rPr>
            </w:pPr>
          </w:p>
        </w:tc>
        <w:tc>
          <w:tcPr>
            <w:tcW w:w="1140" w:type="dxa"/>
            <w:tcBorders>
              <w:top w:val="nil"/>
              <w:left w:val="nil"/>
              <w:bottom w:val="nil"/>
              <w:right w:val="nil"/>
            </w:tcBorders>
            <w:shd w:val="clear" w:color="auto" w:fill="auto"/>
            <w:hideMark/>
          </w:tcPr>
          <w:p w14:paraId="60D520AB" w14:textId="77777777" w:rsidR="00437109" w:rsidRPr="00853F57" w:rsidRDefault="00437109" w:rsidP="00034CB9">
            <w:pPr>
              <w:jc w:val="right"/>
              <w:rPr>
                <w:rFonts w:ascii="Arial" w:hAnsi="Arial" w:cs="Arial"/>
                <w:color w:val="000000" w:themeColor="text1"/>
                <w:sz w:val="18"/>
                <w:szCs w:val="18"/>
                <w:lang w:val="en-GB"/>
              </w:rPr>
            </w:pPr>
          </w:p>
        </w:tc>
      </w:tr>
      <w:tr w:rsidR="00437109" w:rsidRPr="00853F57" w14:paraId="23499D56" w14:textId="77777777" w:rsidTr="00E30F09">
        <w:trPr>
          <w:trHeight w:val="255"/>
          <w:tblHeader/>
          <w:jc w:val="center"/>
        </w:trPr>
        <w:tc>
          <w:tcPr>
            <w:tcW w:w="3443" w:type="dxa"/>
            <w:tcBorders>
              <w:top w:val="single" w:sz="4" w:space="0" w:color="auto"/>
              <w:left w:val="nil"/>
              <w:bottom w:val="double" w:sz="6" w:space="0" w:color="auto"/>
              <w:right w:val="nil"/>
            </w:tcBorders>
            <w:shd w:val="clear" w:color="auto" w:fill="auto"/>
            <w:noWrap/>
            <w:hideMark/>
          </w:tcPr>
          <w:p w14:paraId="732269F8" w14:textId="05E227FB" w:rsidR="00437109" w:rsidRPr="00853F57" w:rsidRDefault="00437109" w:rsidP="00F6167B">
            <w:pPr>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Total Liabilities &amp; Shareholders</w:t>
            </w:r>
            <w:r w:rsidR="00DC6188" w:rsidRPr="00853F57">
              <w:rPr>
                <w:rFonts w:ascii="Arial" w:hAnsi="Arial" w:cs="Arial"/>
                <w:b/>
                <w:bCs/>
                <w:color w:val="000000" w:themeColor="text1"/>
                <w:sz w:val="18"/>
                <w:szCs w:val="18"/>
                <w:lang w:val="en-GB"/>
              </w:rPr>
              <w:t>’</w:t>
            </w:r>
            <w:r w:rsidRPr="00853F57">
              <w:rPr>
                <w:rFonts w:ascii="Arial" w:hAnsi="Arial" w:cs="Arial"/>
                <w:b/>
                <w:bCs/>
                <w:color w:val="000000" w:themeColor="text1"/>
                <w:sz w:val="18"/>
                <w:szCs w:val="18"/>
                <w:lang w:val="en-GB"/>
              </w:rPr>
              <w:t xml:space="preserve"> Equity</w:t>
            </w:r>
          </w:p>
        </w:tc>
        <w:tc>
          <w:tcPr>
            <w:tcW w:w="1177" w:type="dxa"/>
            <w:tcBorders>
              <w:top w:val="single" w:sz="4" w:space="0" w:color="auto"/>
              <w:left w:val="nil"/>
              <w:bottom w:val="double" w:sz="6" w:space="0" w:color="auto"/>
              <w:right w:val="nil"/>
            </w:tcBorders>
            <w:shd w:val="clear" w:color="auto" w:fill="auto"/>
            <w:noWrap/>
            <w:vAlign w:val="bottom"/>
            <w:hideMark/>
          </w:tcPr>
          <w:p w14:paraId="0A484602"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30,906,686</w:t>
            </w:r>
          </w:p>
        </w:tc>
        <w:tc>
          <w:tcPr>
            <w:tcW w:w="1124" w:type="dxa"/>
            <w:tcBorders>
              <w:top w:val="single" w:sz="4" w:space="0" w:color="auto"/>
              <w:left w:val="nil"/>
              <w:bottom w:val="double" w:sz="6" w:space="0" w:color="auto"/>
              <w:right w:val="nil"/>
            </w:tcBorders>
            <w:shd w:val="clear" w:color="auto" w:fill="auto"/>
            <w:noWrap/>
            <w:vAlign w:val="bottom"/>
            <w:hideMark/>
          </w:tcPr>
          <w:p w14:paraId="11B27865"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34,079,771</w:t>
            </w:r>
          </w:p>
        </w:tc>
        <w:tc>
          <w:tcPr>
            <w:tcW w:w="1140" w:type="dxa"/>
            <w:tcBorders>
              <w:top w:val="single" w:sz="4" w:space="0" w:color="auto"/>
              <w:left w:val="nil"/>
              <w:bottom w:val="double" w:sz="6" w:space="0" w:color="auto"/>
              <w:right w:val="nil"/>
            </w:tcBorders>
            <w:shd w:val="clear" w:color="auto" w:fill="auto"/>
            <w:noWrap/>
            <w:vAlign w:val="bottom"/>
            <w:hideMark/>
          </w:tcPr>
          <w:p w14:paraId="06C180FA"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33,763,829</w:t>
            </w:r>
          </w:p>
        </w:tc>
        <w:tc>
          <w:tcPr>
            <w:tcW w:w="1124" w:type="dxa"/>
            <w:tcBorders>
              <w:top w:val="single" w:sz="4" w:space="0" w:color="auto"/>
              <w:left w:val="nil"/>
              <w:bottom w:val="double" w:sz="6" w:space="0" w:color="auto"/>
              <w:right w:val="nil"/>
            </w:tcBorders>
            <w:shd w:val="clear" w:color="auto" w:fill="auto"/>
            <w:noWrap/>
            <w:vAlign w:val="bottom"/>
            <w:hideMark/>
          </w:tcPr>
          <w:p w14:paraId="487DB8D5"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35,587,572</w:t>
            </w:r>
          </w:p>
        </w:tc>
        <w:tc>
          <w:tcPr>
            <w:tcW w:w="1140" w:type="dxa"/>
            <w:tcBorders>
              <w:top w:val="single" w:sz="4" w:space="0" w:color="auto"/>
              <w:left w:val="nil"/>
              <w:bottom w:val="double" w:sz="6" w:space="0" w:color="auto"/>
              <w:right w:val="nil"/>
            </w:tcBorders>
            <w:shd w:val="clear" w:color="auto" w:fill="auto"/>
            <w:noWrap/>
            <w:vAlign w:val="bottom"/>
            <w:hideMark/>
          </w:tcPr>
          <w:p w14:paraId="1A289E32" w14:textId="77777777" w:rsidR="00437109" w:rsidRPr="00853F57" w:rsidRDefault="00437109" w:rsidP="00034CB9">
            <w:pPr>
              <w:jc w:val="right"/>
              <w:rPr>
                <w:rFonts w:ascii="Arial" w:hAnsi="Arial" w:cs="Arial"/>
                <w:b/>
                <w:bCs/>
                <w:color w:val="000000" w:themeColor="text1"/>
                <w:sz w:val="18"/>
                <w:szCs w:val="18"/>
                <w:lang w:val="en-GB"/>
              </w:rPr>
            </w:pPr>
            <w:r w:rsidRPr="00853F57">
              <w:rPr>
                <w:rFonts w:ascii="Arial" w:hAnsi="Arial" w:cs="Arial"/>
                <w:b/>
                <w:bCs/>
                <w:color w:val="000000" w:themeColor="text1"/>
                <w:sz w:val="18"/>
                <w:szCs w:val="18"/>
                <w:lang w:val="en-GB"/>
              </w:rPr>
              <w:t>47,196,241</w:t>
            </w:r>
          </w:p>
        </w:tc>
      </w:tr>
    </w:tbl>
    <w:p w14:paraId="5A25B66C" w14:textId="77777777" w:rsidR="00437109" w:rsidRPr="00853F57" w:rsidRDefault="00437109" w:rsidP="00437109">
      <w:pPr>
        <w:rPr>
          <w:color w:val="000000" w:themeColor="text1"/>
          <w:lang w:val="en-GB"/>
        </w:rPr>
      </w:pPr>
    </w:p>
    <w:p w14:paraId="73D42054" w14:textId="2D644E37" w:rsidR="00437109" w:rsidRPr="00853F57" w:rsidRDefault="00437109" w:rsidP="00437109">
      <w:pPr>
        <w:rPr>
          <w:rFonts w:ascii="Arial" w:hAnsi="Arial" w:cs="Arial"/>
          <w:color w:val="000000" w:themeColor="text1"/>
          <w:sz w:val="16"/>
          <w:szCs w:val="16"/>
          <w:lang w:val="en-GB"/>
        </w:rPr>
      </w:pPr>
      <w:r w:rsidRPr="00853F57">
        <w:rPr>
          <w:rFonts w:ascii="Arial" w:hAnsi="Arial" w:cs="Arial"/>
          <w:color w:val="000000" w:themeColor="text1"/>
          <w:sz w:val="16"/>
          <w:szCs w:val="16"/>
          <w:lang w:val="en-GB"/>
        </w:rPr>
        <w:t xml:space="preserve">Source: </w:t>
      </w:r>
      <w:r w:rsidR="00DC6188" w:rsidRPr="00853F57">
        <w:rPr>
          <w:rFonts w:ascii="Arial" w:hAnsi="Arial" w:cs="Arial"/>
          <w:color w:val="000000" w:themeColor="text1"/>
          <w:sz w:val="16"/>
          <w:szCs w:val="16"/>
          <w:lang w:val="en-GB"/>
        </w:rPr>
        <w:t>“</w:t>
      </w:r>
      <w:r w:rsidR="00E77C8C">
        <w:rPr>
          <w:rFonts w:ascii="Arial" w:hAnsi="Arial" w:cs="Arial"/>
          <w:color w:val="000000" w:themeColor="text1"/>
          <w:sz w:val="16"/>
          <w:szCs w:val="16"/>
          <w:lang w:val="en-GB"/>
        </w:rPr>
        <w:t>Holcim Philippines Financials/Valuation – Balance Sheet</w:t>
      </w:r>
      <w:r w:rsidR="00DC6188" w:rsidRPr="00853F57">
        <w:rPr>
          <w:rFonts w:ascii="Arial" w:hAnsi="Arial" w:cs="Arial"/>
          <w:color w:val="000000" w:themeColor="text1"/>
          <w:sz w:val="16"/>
          <w:szCs w:val="16"/>
          <w:lang w:val="en-GB"/>
        </w:rPr>
        <w:t xml:space="preserve">,” </w:t>
      </w:r>
      <w:r w:rsidRPr="00853F57">
        <w:rPr>
          <w:rFonts w:ascii="Arial" w:hAnsi="Arial" w:cs="Arial"/>
          <w:color w:val="000000" w:themeColor="text1"/>
          <w:sz w:val="16"/>
          <w:szCs w:val="16"/>
          <w:lang w:val="en-GB"/>
        </w:rPr>
        <w:t>S&amp;P Capital IQ, accessed July 26,</w:t>
      </w:r>
      <w:r w:rsidR="00DC6188" w:rsidRPr="00853F57">
        <w:rPr>
          <w:rFonts w:ascii="Arial" w:hAnsi="Arial" w:cs="Arial"/>
          <w:color w:val="000000" w:themeColor="text1"/>
          <w:sz w:val="16"/>
          <w:szCs w:val="16"/>
          <w:lang w:val="en-GB"/>
        </w:rPr>
        <w:t xml:space="preserve"> </w:t>
      </w:r>
      <w:r w:rsidRPr="00853F57">
        <w:rPr>
          <w:rFonts w:ascii="Arial" w:hAnsi="Arial" w:cs="Arial"/>
          <w:color w:val="000000" w:themeColor="text1"/>
          <w:sz w:val="16"/>
          <w:szCs w:val="16"/>
          <w:lang w:val="en-GB"/>
        </w:rPr>
        <w:t>2020.</w:t>
      </w:r>
    </w:p>
    <w:p w14:paraId="123187C6" w14:textId="45A6C10B" w:rsidR="00251D7E" w:rsidRPr="00853F57" w:rsidRDefault="00437109" w:rsidP="00801E94">
      <w:pPr>
        <w:jc w:val="center"/>
        <w:rPr>
          <w:rFonts w:ascii="Arial" w:hAnsi="Arial" w:cs="Arial"/>
          <w:b/>
          <w:caps/>
          <w:color w:val="000000" w:themeColor="text1"/>
          <w:lang w:val="en-GB"/>
        </w:rPr>
      </w:pPr>
      <w:r w:rsidRPr="00853F57">
        <w:rPr>
          <w:b/>
          <w:color w:val="000000" w:themeColor="text1"/>
          <w:lang w:val="en-GB"/>
        </w:rPr>
        <w:br w:type="page"/>
      </w:r>
      <w:r w:rsidR="00251D7E" w:rsidRPr="00853F57">
        <w:rPr>
          <w:rFonts w:ascii="Arial" w:hAnsi="Arial" w:cs="Arial"/>
          <w:b/>
          <w:caps/>
          <w:color w:val="000000" w:themeColor="text1"/>
          <w:lang w:val="en-GB"/>
        </w:rPr>
        <w:lastRenderedPageBreak/>
        <w:t>EXHIBIT 7</w:t>
      </w:r>
      <w:r w:rsidR="00934473" w:rsidRPr="00853F57">
        <w:rPr>
          <w:rFonts w:ascii="Arial" w:hAnsi="Arial" w:cs="Arial"/>
          <w:b/>
          <w:caps/>
          <w:color w:val="000000" w:themeColor="text1"/>
          <w:lang w:val="en-GB"/>
        </w:rPr>
        <w:t>:</w:t>
      </w:r>
      <w:r w:rsidR="00251D7E" w:rsidRPr="00853F57">
        <w:rPr>
          <w:rFonts w:ascii="Arial" w:hAnsi="Arial" w:cs="Arial"/>
          <w:b/>
          <w:caps/>
          <w:color w:val="000000" w:themeColor="text1"/>
          <w:lang w:val="en-GB"/>
        </w:rPr>
        <w:t xml:space="preserve"> ownership</w:t>
      </w:r>
      <w:r w:rsidR="00934473" w:rsidRPr="00853F57">
        <w:rPr>
          <w:rFonts w:ascii="Arial" w:hAnsi="Arial" w:cs="Arial"/>
          <w:b/>
          <w:caps/>
          <w:color w:val="000000" w:themeColor="text1"/>
          <w:lang w:val="en-GB"/>
        </w:rPr>
        <w:t xml:space="preserve"> Structure of </w:t>
      </w:r>
      <w:r w:rsidR="00A34B79" w:rsidRPr="00853F57">
        <w:rPr>
          <w:rFonts w:ascii="Arial" w:hAnsi="Arial" w:cs="Arial"/>
          <w:b/>
          <w:caps/>
          <w:color w:val="000000" w:themeColor="text1"/>
          <w:lang w:val="en-GB"/>
        </w:rPr>
        <w:t>San miguel corporation</w:t>
      </w:r>
      <w:r w:rsidR="00DF55A2">
        <w:rPr>
          <w:rFonts w:ascii="Arial" w:hAnsi="Arial" w:cs="Arial"/>
          <w:b/>
          <w:caps/>
          <w:color w:val="000000" w:themeColor="text1"/>
          <w:lang w:val="en-GB"/>
        </w:rPr>
        <w:t xml:space="preserve"> (SMS)</w:t>
      </w:r>
    </w:p>
    <w:p w14:paraId="7EF43AFF" w14:textId="28AD9CD0" w:rsidR="00934473" w:rsidRPr="00853F57" w:rsidRDefault="00934473" w:rsidP="00034CB9">
      <w:pPr>
        <w:pStyle w:val="Footnote"/>
        <w:rPr>
          <w:lang w:val="en-GB"/>
        </w:rPr>
      </w:pPr>
    </w:p>
    <w:p w14:paraId="6E4DA2E0" w14:textId="1D25D7E8" w:rsidR="00694C87" w:rsidRPr="00853F57" w:rsidRDefault="00504D83" w:rsidP="00E30F09">
      <w:pPr>
        <w:spacing w:after="200" w:line="276" w:lineRule="auto"/>
        <w:jc w:val="center"/>
        <w:rPr>
          <w:rFonts w:ascii="Arial" w:hAnsi="Arial" w:cs="Arial"/>
          <w:b/>
          <w:caps/>
          <w:color w:val="000000" w:themeColor="text1"/>
          <w:lang w:val="en-GB"/>
        </w:rPr>
      </w:pPr>
      <w:r>
        <w:rPr>
          <w:noProof/>
        </w:rPr>
        <w:drawing>
          <wp:inline distT="0" distB="0" distL="0" distR="0" wp14:anchorId="1A68C28E" wp14:editId="06E81E98">
            <wp:extent cx="5929953" cy="2609623"/>
            <wp:effectExtent l="0" t="0" r="0" b="635"/>
            <wp:docPr id="195" name="Picture 195" descr="Ownership structure of San Miguel Corporatio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4089" cy="2624645"/>
                    </a:xfrm>
                    <a:prstGeom prst="rect">
                      <a:avLst/>
                    </a:prstGeom>
                  </pic:spPr>
                </pic:pic>
              </a:graphicData>
            </a:graphic>
          </wp:inline>
        </w:drawing>
      </w:r>
    </w:p>
    <w:p w14:paraId="1BC5218D" w14:textId="73F41E2C" w:rsidR="00366718" w:rsidRPr="00853F57" w:rsidRDefault="00934473" w:rsidP="00034CB9">
      <w:pPr>
        <w:pStyle w:val="Footnote"/>
        <w:rPr>
          <w:lang w:val="en-GB"/>
        </w:rPr>
      </w:pPr>
      <w:r w:rsidRPr="00853F57">
        <w:rPr>
          <w:caps/>
          <w:lang w:val="en-GB"/>
        </w:rPr>
        <w:t>S</w:t>
      </w:r>
      <w:r w:rsidRPr="00853F57">
        <w:rPr>
          <w:lang w:val="en-GB"/>
        </w:rPr>
        <w:t xml:space="preserve">ource: </w:t>
      </w:r>
      <w:r w:rsidR="00E25BAD" w:rsidRPr="00853F57">
        <w:rPr>
          <w:lang w:val="en-GB"/>
        </w:rPr>
        <w:t xml:space="preserve">Created by case authors based on data from </w:t>
      </w:r>
      <w:r w:rsidR="007B55F4" w:rsidRPr="00853F57">
        <w:rPr>
          <w:lang w:val="en-GB"/>
        </w:rPr>
        <w:t xml:space="preserve">Top Frontier Investment Holdings Inc., “PSE Disclosure Form POR-1: </w:t>
      </w:r>
      <w:r w:rsidRPr="00853F57">
        <w:rPr>
          <w:lang w:val="en-GB"/>
        </w:rPr>
        <w:t xml:space="preserve">Public </w:t>
      </w:r>
      <w:r w:rsidR="00F32DCB" w:rsidRPr="00853F57">
        <w:rPr>
          <w:lang w:val="en-GB"/>
        </w:rPr>
        <w:t>O</w:t>
      </w:r>
      <w:r w:rsidRPr="00853F57">
        <w:rPr>
          <w:lang w:val="en-GB"/>
        </w:rPr>
        <w:t xml:space="preserve">wnership </w:t>
      </w:r>
      <w:r w:rsidR="00F32DCB" w:rsidRPr="00853F57">
        <w:rPr>
          <w:lang w:val="en-GB"/>
        </w:rPr>
        <w:t>R</w:t>
      </w:r>
      <w:r w:rsidR="00366718" w:rsidRPr="00853F57">
        <w:rPr>
          <w:lang w:val="en-GB"/>
        </w:rPr>
        <w:t>eport</w:t>
      </w:r>
      <w:r w:rsidR="007B55F4" w:rsidRPr="00853F57">
        <w:rPr>
          <w:lang w:val="en-GB"/>
        </w:rPr>
        <w:t>,”</w:t>
      </w:r>
      <w:r w:rsidR="00AE14FC" w:rsidRPr="00853F57">
        <w:rPr>
          <w:lang w:val="en-GB"/>
        </w:rPr>
        <w:t xml:space="preserve"> </w:t>
      </w:r>
      <w:r w:rsidR="007B55F4" w:rsidRPr="00853F57">
        <w:rPr>
          <w:lang w:val="en-GB"/>
        </w:rPr>
        <w:t xml:space="preserve">Top Frontier, </w:t>
      </w:r>
      <w:r w:rsidR="00AE14FC" w:rsidRPr="00853F57">
        <w:rPr>
          <w:lang w:val="en-GB"/>
        </w:rPr>
        <w:t>March 31, 2019</w:t>
      </w:r>
      <w:r w:rsidR="00F32DCB" w:rsidRPr="00853F57">
        <w:rPr>
          <w:lang w:val="en-GB"/>
        </w:rPr>
        <w:t>,</w:t>
      </w:r>
      <w:r w:rsidR="00366718" w:rsidRPr="00853F57">
        <w:rPr>
          <w:lang w:val="en-GB"/>
        </w:rPr>
        <w:t xml:space="preserve"> </w:t>
      </w:r>
      <w:r w:rsidRPr="00853F57">
        <w:rPr>
          <w:lang w:val="en-GB"/>
        </w:rPr>
        <w:t>accessed January 19, 2021,</w:t>
      </w:r>
      <w:r w:rsidR="00366718" w:rsidRPr="00853F57">
        <w:rPr>
          <w:lang w:val="en-GB"/>
        </w:rPr>
        <w:t xml:space="preserve"> </w:t>
      </w:r>
      <w:r w:rsidR="00E25BAD" w:rsidRPr="00034CB9">
        <w:rPr>
          <w:rFonts w:eastAsia="+mn-ea"/>
          <w:lang w:val="en-GB"/>
        </w:rPr>
        <w:t>www.topfrontier.com.ph/smc_files/disclosure/2019/PublicOwnershipReport/TFHI_PublicOwnershipreportasof31March2019_4.pdf</w:t>
      </w:r>
      <w:r w:rsidR="00F32DCB" w:rsidRPr="00853F57">
        <w:rPr>
          <w:rFonts w:eastAsia="+mn-ea"/>
          <w:kern w:val="24"/>
          <w:lang w:val="en-GB"/>
        </w:rPr>
        <w:t xml:space="preserve">; </w:t>
      </w:r>
      <w:r w:rsidR="00FB5597" w:rsidRPr="00853F57">
        <w:rPr>
          <w:rFonts w:eastAsia="+mn-ea"/>
          <w:kern w:val="24"/>
          <w:lang w:val="en-GB"/>
        </w:rPr>
        <w:t xml:space="preserve">San Miguel </w:t>
      </w:r>
      <w:r w:rsidR="00085603" w:rsidRPr="00853F57">
        <w:rPr>
          <w:rFonts w:eastAsia="+mn-ea"/>
          <w:kern w:val="24"/>
          <w:lang w:val="en-GB"/>
        </w:rPr>
        <w:t xml:space="preserve">Corporation, </w:t>
      </w:r>
      <w:r w:rsidR="00A41016" w:rsidRPr="00853F57">
        <w:rPr>
          <w:rFonts w:eastAsia="+mn-ea"/>
          <w:kern w:val="24"/>
          <w:lang w:val="en-GB"/>
        </w:rPr>
        <w:t xml:space="preserve">“SMC: </w:t>
      </w:r>
      <w:r w:rsidR="00F32DCB" w:rsidRPr="00853F57">
        <w:rPr>
          <w:rFonts w:eastAsia="+mn-ea"/>
          <w:kern w:val="24"/>
          <w:lang w:val="en-GB"/>
        </w:rPr>
        <w:t>Public Ownership Report</w:t>
      </w:r>
      <w:r w:rsidR="00A41016" w:rsidRPr="00853F57">
        <w:rPr>
          <w:rFonts w:eastAsia="+mn-ea"/>
          <w:kern w:val="24"/>
          <w:lang w:val="en-GB"/>
        </w:rPr>
        <w:t>,”</w:t>
      </w:r>
      <w:r w:rsidR="00AE14FC" w:rsidRPr="00853F57">
        <w:rPr>
          <w:rFonts w:eastAsia="+mn-ea"/>
          <w:kern w:val="24"/>
          <w:lang w:val="en-GB"/>
        </w:rPr>
        <w:t xml:space="preserve"> March 31, 2019</w:t>
      </w:r>
      <w:r w:rsidR="00F32DCB" w:rsidRPr="00853F57">
        <w:rPr>
          <w:rFonts w:eastAsia="+mn-ea"/>
          <w:kern w:val="24"/>
          <w:lang w:val="en-GB"/>
        </w:rPr>
        <w:t>, S</w:t>
      </w:r>
      <w:r w:rsidR="00275E90" w:rsidRPr="00853F57">
        <w:rPr>
          <w:rFonts w:eastAsia="+mn-ea"/>
          <w:kern w:val="24"/>
          <w:lang w:val="en-GB"/>
        </w:rPr>
        <w:t>an Miguel Corporation</w:t>
      </w:r>
      <w:r w:rsidR="00F32DCB" w:rsidRPr="00853F57">
        <w:rPr>
          <w:rFonts w:eastAsia="+mn-ea"/>
          <w:kern w:val="24"/>
          <w:lang w:val="en-GB"/>
        </w:rPr>
        <w:t>, accessed January 19, 2021,</w:t>
      </w:r>
      <w:r w:rsidR="00366718" w:rsidRPr="00853F57">
        <w:rPr>
          <w:rFonts w:eastAsia="+mn-ea"/>
          <w:kern w:val="24"/>
          <w:lang w:val="en-GB"/>
        </w:rPr>
        <w:t xml:space="preserve"> </w:t>
      </w:r>
      <w:r w:rsidR="00515BF8" w:rsidRPr="00034CB9">
        <w:rPr>
          <w:rFonts w:eastAsia="+mn-ea"/>
          <w:lang w:val="en-GB"/>
        </w:rPr>
        <w:t>www.sanmiguel.com.ph/files/reports/SMC-Public_Ownership_Report_as_of_March_31,_2019_04.05_.19_.pdf</w:t>
      </w:r>
      <w:r w:rsidR="00AE14FC" w:rsidRPr="00853F57">
        <w:rPr>
          <w:rFonts w:eastAsia="+mn-ea"/>
          <w:kern w:val="24"/>
          <w:lang w:val="en-GB"/>
        </w:rPr>
        <w:t xml:space="preserve">; </w:t>
      </w:r>
      <w:r w:rsidR="00897745" w:rsidRPr="00853F57">
        <w:rPr>
          <w:rFonts w:eastAsia="+mn-ea"/>
          <w:kern w:val="24"/>
          <w:lang w:val="en-GB"/>
        </w:rPr>
        <w:t xml:space="preserve">San Miguel Corporation, </w:t>
      </w:r>
      <w:r w:rsidR="008E7269" w:rsidRPr="00853F57">
        <w:rPr>
          <w:rFonts w:eastAsia="+mn-ea"/>
          <w:kern w:val="24"/>
          <w:lang w:val="en-GB"/>
        </w:rPr>
        <w:t>“Initial Statement of Beneficial Ownership of Securities (SEC Form 23-A) of Master Year Limited; Statement of Changes in Beneficial Ownership of Securities (SEC Form 23-B) of Mr. Ramon S. Ang; and Statement of Changes in Beneficial Ownership of Securities (SEC Form 23-B) of Top Frontier Investment Holdings, Inc.”</w:t>
      </w:r>
      <w:r w:rsidR="00AE14FC" w:rsidRPr="00853F57">
        <w:rPr>
          <w:rFonts w:eastAsia="+mn-ea"/>
          <w:kern w:val="24"/>
          <w:lang w:val="en-GB"/>
        </w:rPr>
        <w:t xml:space="preserve"> </w:t>
      </w:r>
      <w:r w:rsidR="00100B22" w:rsidRPr="00853F57">
        <w:rPr>
          <w:rFonts w:eastAsia="+mn-ea"/>
          <w:kern w:val="24"/>
          <w:lang w:val="en-GB"/>
        </w:rPr>
        <w:t xml:space="preserve">San Miguel Corporation, </w:t>
      </w:r>
      <w:r w:rsidR="00AE14FC" w:rsidRPr="00853F57">
        <w:rPr>
          <w:rFonts w:eastAsia="+mn-ea"/>
          <w:kern w:val="24"/>
          <w:lang w:val="en-GB"/>
        </w:rPr>
        <w:t xml:space="preserve">July 3, 2012, accessed January 19, 2021, </w:t>
      </w:r>
      <w:r w:rsidR="0072544B" w:rsidRPr="00853F57">
        <w:rPr>
          <w:rFonts w:eastAsia="+mn-ea"/>
          <w:kern w:val="24"/>
          <w:lang w:val="en-GB"/>
        </w:rPr>
        <w:t>www.sanmiguel.com.ph/smc_files/disclosures/2012/07_J</w:t>
      </w:r>
      <w:bookmarkStart w:id="13" w:name="_GoBack"/>
      <w:bookmarkEnd w:id="13"/>
      <w:r w:rsidR="0072544B" w:rsidRPr="00853F57">
        <w:rPr>
          <w:rFonts w:eastAsia="+mn-ea"/>
          <w:kern w:val="24"/>
          <w:lang w:val="en-GB"/>
        </w:rPr>
        <w:t>uly/23-A%20&amp;%2023-Bs%20Master%20Year%20Limited,%20Ramon%20Ang%20and%20Top%20Frontier.pdf</w:t>
      </w:r>
      <w:r w:rsidR="00694C87" w:rsidRPr="00853F57">
        <w:rPr>
          <w:rFonts w:eastAsia="+mn-ea"/>
          <w:kern w:val="24"/>
          <w:lang w:val="en-GB"/>
        </w:rPr>
        <w:t>;</w:t>
      </w:r>
      <w:r w:rsidR="00366718" w:rsidRPr="00853F57">
        <w:rPr>
          <w:kern w:val="24"/>
          <w:lang w:val="en-GB"/>
        </w:rPr>
        <w:t xml:space="preserve"> </w:t>
      </w:r>
      <w:r w:rsidR="00F32DCB" w:rsidRPr="00853F57">
        <w:rPr>
          <w:kern w:val="24"/>
          <w:lang w:val="en-GB"/>
        </w:rPr>
        <w:t xml:space="preserve">Neil Morales, </w:t>
      </w:r>
      <w:r w:rsidR="00366718" w:rsidRPr="00853F57">
        <w:rPr>
          <w:kern w:val="24"/>
          <w:lang w:val="en-GB"/>
        </w:rPr>
        <w:t>“RSA Secures Full Ownership of Privado Holdings</w:t>
      </w:r>
      <w:r w:rsidR="0082739F" w:rsidRPr="00853F57">
        <w:rPr>
          <w:kern w:val="24"/>
          <w:lang w:val="en-GB"/>
        </w:rPr>
        <w:t>,”</w:t>
      </w:r>
      <w:r w:rsidR="00366718" w:rsidRPr="00853F57">
        <w:rPr>
          <w:kern w:val="24"/>
          <w:lang w:val="en-GB"/>
        </w:rPr>
        <w:t xml:space="preserve"> </w:t>
      </w:r>
      <w:r w:rsidR="00366718" w:rsidRPr="00034CB9">
        <w:rPr>
          <w:i/>
          <w:iCs/>
          <w:kern w:val="24"/>
          <w:lang w:val="en-GB"/>
        </w:rPr>
        <w:t>Philippine Star</w:t>
      </w:r>
      <w:r w:rsidR="00366718" w:rsidRPr="00853F57">
        <w:rPr>
          <w:kern w:val="24"/>
          <w:lang w:val="en-GB"/>
        </w:rPr>
        <w:t xml:space="preserve">, April 8, 2014, accessed January 19, 2021, </w:t>
      </w:r>
      <w:r w:rsidR="00366718" w:rsidRPr="00853F57">
        <w:rPr>
          <w:rFonts w:eastAsia="+mn-ea"/>
          <w:kern w:val="24"/>
          <w:lang w:val="en-GB"/>
        </w:rPr>
        <w:t>www.philstar.com/business/2014/04/08/1309984/rsa-secures-full-ownership-privado-holdings</w:t>
      </w:r>
      <w:r w:rsidR="00E25BAD" w:rsidRPr="00853F57">
        <w:rPr>
          <w:rFonts w:eastAsia="+mn-ea"/>
          <w:kern w:val="24"/>
          <w:lang w:val="en-GB"/>
        </w:rPr>
        <w:t>.</w:t>
      </w:r>
    </w:p>
    <w:p w14:paraId="32E07B2B" w14:textId="74A4EE8B" w:rsidR="00366718" w:rsidRPr="00853F57" w:rsidRDefault="00366718" w:rsidP="00366718">
      <w:pPr>
        <w:pStyle w:val="NormalWeb"/>
        <w:spacing w:before="0" w:beforeAutospacing="0" w:after="0" w:afterAutospacing="0"/>
        <w:rPr>
          <w:color w:val="000000" w:themeColor="text1"/>
          <w:sz w:val="17"/>
          <w:szCs w:val="17"/>
          <w:lang w:val="en-GB"/>
        </w:rPr>
      </w:pPr>
    </w:p>
    <w:p w14:paraId="7C9625BD" w14:textId="6C9FFFD2" w:rsidR="00251D7E" w:rsidRPr="00853F57" w:rsidRDefault="00251D7E">
      <w:pPr>
        <w:spacing w:after="200" w:line="276" w:lineRule="auto"/>
        <w:rPr>
          <w:rFonts w:ascii="Arial" w:hAnsi="Arial" w:cs="Arial"/>
          <w:b/>
          <w:caps/>
          <w:color w:val="000000" w:themeColor="text1"/>
          <w:lang w:val="en-GB"/>
        </w:rPr>
      </w:pPr>
      <w:r w:rsidRPr="00853F57">
        <w:rPr>
          <w:rFonts w:ascii="Arial" w:hAnsi="Arial" w:cs="Arial"/>
          <w:b/>
          <w:caps/>
          <w:color w:val="000000" w:themeColor="text1"/>
          <w:lang w:val="en-GB"/>
        </w:rPr>
        <w:br w:type="page"/>
      </w:r>
    </w:p>
    <w:p w14:paraId="29AC07A2" w14:textId="71D5BC2D" w:rsidR="00437109" w:rsidRDefault="00437109" w:rsidP="00437109">
      <w:pPr>
        <w:jc w:val="center"/>
        <w:rPr>
          <w:rFonts w:ascii="Arial" w:hAnsi="Arial" w:cs="Arial"/>
          <w:b/>
          <w:caps/>
          <w:color w:val="000000" w:themeColor="text1"/>
          <w:lang w:val="en-GB"/>
        </w:rPr>
      </w:pPr>
      <w:r w:rsidRPr="00853F57">
        <w:rPr>
          <w:rFonts w:ascii="Arial" w:hAnsi="Arial" w:cs="Arial"/>
          <w:b/>
          <w:caps/>
          <w:color w:val="000000" w:themeColor="text1"/>
          <w:lang w:val="en-GB"/>
        </w:rPr>
        <w:lastRenderedPageBreak/>
        <w:t xml:space="preserve">Exhibit </w:t>
      </w:r>
      <w:r w:rsidR="00251D7E" w:rsidRPr="00853F57">
        <w:rPr>
          <w:rFonts w:ascii="Arial" w:hAnsi="Arial" w:cs="Arial"/>
          <w:b/>
          <w:caps/>
          <w:color w:val="000000" w:themeColor="text1"/>
          <w:lang w:val="en-GB"/>
        </w:rPr>
        <w:t>8</w:t>
      </w:r>
      <w:r w:rsidRPr="00853F57">
        <w:rPr>
          <w:rFonts w:ascii="Arial" w:hAnsi="Arial" w:cs="Arial"/>
          <w:b/>
          <w:caps/>
          <w:color w:val="000000" w:themeColor="text1"/>
          <w:lang w:val="en-GB"/>
        </w:rPr>
        <w:t xml:space="preserve">: </w:t>
      </w:r>
      <w:r w:rsidR="000B5B77" w:rsidRPr="00853F57">
        <w:rPr>
          <w:rFonts w:ascii="Arial" w:hAnsi="Arial" w:cs="Arial"/>
          <w:b/>
          <w:caps/>
          <w:color w:val="000000" w:themeColor="text1"/>
          <w:lang w:val="en-GB"/>
        </w:rPr>
        <w:t>HOLCIM PHILIPPINES INC.</w:t>
      </w:r>
      <w:r w:rsidR="00FA17FB">
        <w:rPr>
          <w:rFonts w:ascii="Arial" w:hAnsi="Arial" w:cs="Arial"/>
          <w:b/>
          <w:caps/>
          <w:color w:val="000000" w:themeColor="text1"/>
          <w:lang w:val="en-GB"/>
        </w:rPr>
        <w:t xml:space="preserve"> </w:t>
      </w:r>
      <w:r w:rsidRPr="00853F57">
        <w:rPr>
          <w:rFonts w:ascii="Arial" w:hAnsi="Arial" w:cs="Arial"/>
          <w:b/>
          <w:caps/>
          <w:color w:val="000000" w:themeColor="text1"/>
          <w:lang w:val="en-GB"/>
        </w:rPr>
        <w:t xml:space="preserve">Stock prices </w:t>
      </w:r>
      <w:r w:rsidR="00345AA3" w:rsidRPr="00853F57">
        <w:rPr>
          <w:rFonts w:ascii="Arial" w:hAnsi="Arial" w:cs="Arial"/>
          <w:b/>
          <w:caps/>
          <w:color w:val="000000" w:themeColor="text1"/>
          <w:lang w:val="en-GB"/>
        </w:rPr>
        <w:t>(</w:t>
      </w:r>
      <w:r w:rsidRPr="00853F57">
        <w:rPr>
          <w:rFonts w:ascii="Arial" w:hAnsi="Arial" w:cs="Arial"/>
          <w:b/>
          <w:caps/>
          <w:color w:val="000000" w:themeColor="text1"/>
          <w:lang w:val="en-GB"/>
        </w:rPr>
        <w:t xml:space="preserve">in </w:t>
      </w:r>
      <w:r w:rsidRPr="00853F57">
        <w:rPr>
          <w:rFonts w:ascii="Arial" w:hAnsi="Arial" w:cs="Arial"/>
          <w:b/>
          <w:bCs/>
          <w:color w:val="000000" w:themeColor="text1"/>
          <w:lang w:val="en-GB"/>
        </w:rPr>
        <w:t>₱</w:t>
      </w:r>
      <w:r w:rsidR="00345AA3" w:rsidRPr="00853F57">
        <w:rPr>
          <w:rFonts w:ascii="Arial" w:hAnsi="Arial" w:cs="Arial"/>
          <w:b/>
          <w:bCs/>
          <w:color w:val="000000" w:themeColor="text1"/>
          <w:lang w:val="en-GB"/>
        </w:rPr>
        <w:t>)</w:t>
      </w:r>
      <w:r w:rsidRPr="00853F57">
        <w:rPr>
          <w:rFonts w:ascii="Arial" w:hAnsi="Arial" w:cs="Arial"/>
          <w:b/>
          <w:caps/>
          <w:color w:val="000000" w:themeColor="text1"/>
          <w:lang w:val="en-GB"/>
        </w:rPr>
        <w:t xml:space="preserve"> and PSEi values</w:t>
      </w:r>
    </w:p>
    <w:p w14:paraId="2ED02D33" w14:textId="77777777" w:rsidR="006B5EB8" w:rsidRPr="00853F57" w:rsidRDefault="006B5EB8" w:rsidP="00437109">
      <w:pPr>
        <w:jc w:val="center"/>
        <w:rPr>
          <w:rFonts w:ascii="Arial" w:hAnsi="Arial" w:cs="Arial"/>
          <w:b/>
          <w:caps/>
          <w:color w:val="000000" w:themeColor="text1"/>
          <w:lang w:val="en-GB"/>
        </w:rPr>
      </w:pPr>
    </w:p>
    <w:tbl>
      <w:tblPr>
        <w:tblW w:w="7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4A0" w:firstRow="1" w:lastRow="0" w:firstColumn="1" w:lastColumn="0" w:noHBand="0" w:noVBand="1"/>
        <w:tblCaption w:val="Exhibit 8"/>
        <w:tblDescription w:val="Holcim Phillipines Inc. stock prices  and PSEi values"/>
      </w:tblPr>
      <w:tblGrid>
        <w:gridCol w:w="2262"/>
        <w:gridCol w:w="1171"/>
        <w:gridCol w:w="800"/>
        <w:gridCol w:w="1833"/>
        <w:gridCol w:w="1110"/>
        <w:gridCol w:w="800"/>
      </w:tblGrid>
      <w:tr w:rsidR="003A6DCE" w:rsidRPr="00853F57" w14:paraId="3FF91014" w14:textId="77777777" w:rsidTr="003A6DCE">
        <w:trPr>
          <w:trHeight w:val="177"/>
          <w:tblHeader/>
          <w:jc w:val="center"/>
        </w:trPr>
        <w:tc>
          <w:tcPr>
            <w:tcW w:w="0" w:type="auto"/>
            <w:shd w:val="clear" w:color="auto" w:fill="auto"/>
            <w:noWrap/>
            <w:vAlign w:val="bottom"/>
            <w:hideMark/>
          </w:tcPr>
          <w:p w14:paraId="47ADA4B9" w14:textId="68869386" w:rsidR="003A6DCE" w:rsidRPr="00034CB9" w:rsidRDefault="003A6DCE" w:rsidP="00034CB9">
            <w:pPr>
              <w:jc w:val="center"/>
              <w:rPr>
                <w:rFonts w:ascii="Arial" w:hAnsi="Arial" w:cs="Arial"/>
                <w:b/>
                <w:bCs/>
                <w:color w:val="000000" w:themeColor="text1"/>
                <w:lang w:val="en-GB"/>
              </w:rPr>
            </w:pPr>
            <w:r w:rsidRPr="00034CB9">
              <w:rPr>
                <w:rFonts w:ascii="Arial" w:hAnsi="Arial" w:cs="Arial"/>
                <w:b/>
                <w:bCs/>
                <w:color w:val="000000" w:themeColor="text1"/>
                <w:lang w:val="en-GB"/>
              </w:rPr>
              <w:t>Date</w:t>
            </w:r>
          </w:p>
        </w:tc>
        <w:tc>
          <w:tcPr>
            <w:tcW w:w="0" w:type="auto"/>
            <w:shd w:val="clear" w:color="auto" w:fill="auto"/>
            <w:noWrap/>
            <w:vAlign w:val="bottom"/>
            <w:hideMark/>
          </w:tcPr>
          <w:p w14:paraId="6B9522FF" w14:textId="59230138" w:rsidR="003A6DCE" w:rsidRPr="00034CB9" w:rsidRDefault="003A6DCE" w:rsidP="00034CB9">
            <w:pPr>
              <w:jc w:val="center"/>
              <w:rPr>
                <w:rFonts w:ascii="Arial" w:hAnsi="Arial" w:cs="Arial"/>
                <w:b/>
                <w:bCs/>
                <w:color w:val="000000" w:themeColor="text1"/>
                <w:lang w:val="en-GB"/>
              </w:rPr>
            </w:pPr>
            <w:proofErr w:type="spellStart"/>
            <w:r w:rsidRPr="00034CB9">
              <w:rPr>
                <w:rFonts w:ascii="Arial" w:hAnsi="Arial" w:cs="Arial"/>
                <w:b/>
                <w:bCs/>
                <w:color w:val="000000" w:themeColor="text1"/>
                <w:lang w:val="en-GB"/>
              </w:rPr>
              <w:t>PSEi</w:t>
            </w:r>
            <w:proofErr w:type="spellEnd"/>
          </w:p>
        </w:tc>
        <w:tc>
          <w:tcPr>
            <w:tcW w:w="0" w:type="auto"/>
            <w:shd w:val="clear" w:color="auto" w:fill="auto"/>
            <w:noWrap/>
            <w:vAlign w:val="bottom"/>
            <w:hideMark/>
          </w:tcPr>
          <w:p w14:paraId="536C9004" w14:textId="77777777" w:rsidR="003A6DCE" w:rsidRPr="00034CB9" w:rsidRDefault="003A6DCE" w:rsidP="00034CB9">
            <w:pPr>
              <w:jc w:val="center"/>
              <w:rPr>
                <w:rFonts w:ascii="Arial" w:hAnsi="Arial" w:cs="Arial"/>
                <w:b/>
                <w:bCs/>
                <w:color w:val="000000" w:themeColor="text1"/>
                <w:lang w:val="en-GB"/>
              </w:rPr>
            </w:pPr>
            <w:r w:rsidRPr="00034CB9">
              <w:rPr>
                <w:rFonts w:ascii="Arial" w:hAnsi="Arial" w:cs="Arial"/>
                <w:b/>
                <w:bCs/>
                <w:color w:val="000000" w:themeColor="text1"/>
                <w:lang w:val="en-GB"/>
              </w:rPr>
              <w:t>HPI</w:t>
            </w:r>
          </w:p>
        </w:tc>
        <w:tc>
          <w:tcPr>
            <w:tcW w:w="1833" w:type="dxa"/>
            <w:shd w:val="clear" w:color="auto" w:fill="auto"/>
            <w:noWrap/>
            <w:vAlign w:val="bottom"/>
            <w:hideMark/>
          </w:tcPr>
          <w:p w14:paraId="036373E4" w14:textId="5AE737C9" w:rsidR="003A6DCE" w:rsidRPr="00034CB9" w:rsidRDefault="003A6DCE" w:rsidP="00034CB9">
            <w:pPr>
              <w:jc w:val="center"/>
              <w:rPr>
                <w:rFonts w:ascii="Arial" w:hAnsi="Arial" w:cs="Arial"/>
                <w:b/>
                <w:bCs/>
                <w:color w:val="000000" w:themeColor="text1"/>
                <w:lang w:val="en-GB"/>
              </w:rPr>
            </w:pPr>
            <w:r w:rsidRPr="00034CB9">
              <w:rPr>
                <w:rFonts w:ascii="Arial" w:hAnsi="Arial" w:cs="Arial"/>
                <w:b/>
                <w:bCs/>
                <w:color w:val="000000" w:themeColor="text1"/>
                <w:lang w:val="en-GB"/>
              </w:rPr>
              <w:t>Date</w:t>
            </w:r>
          </w:p>
        </w:tc>
        <w:tc>
          <w:tcPr>
            <w:tcW w:w="0" w:type="auto"/>
            <w:shd w:val="clear" w:color="auto" w:fill="auto"/>
            <w:noWrap/>
            <w:vAlign w:val="bottom"/>
            <w:hideMark/>
          </w:tcPr>
          <w:p w14:paraId="19619592" w14:textId="26AF18D1" w:rsidR="003A6DCE" w:rsidRPr="00034CB9" w:rsidRDefault="003A6DCE" w:rsidP="00034CB9">
            <w:pPr>
              <w:jc w:val="center"/>
              <w:rPr>
                <w:rFonts w:ascii="Arial" w:hAnsi="Arial" w:cs="Arial"/>
                <w:b/>
                <w:bCs/>
                <w:color w:val="000000" w:themeColor="text1"/>
                <w:lang w:val="en-GB"/>
              </w:rPr>
            </w:pPr>
            <w:proofErr w:type="spellStart"/>
            <w:r w:rsidRPr="00034CB9">
              <w:rPr>
                <w:rFonts w:ascii="Arial" w:hAnsi="Arial" w:cs="Arial"/>
                <w:b/>
                <w:bCs/>
                <w:color w:val="000000" w:themeColor="text1"/>
                <w:lang w:val="en-GB"/>
              </w:rPr>
              <w:t>PSEi</w:t>
            </w:r>
            <w:proofErr w:type="spellEnd"/>
          </w:p>
        </w:tc>
        <w:tc>
          <w:tcPr>
            <w:tcW w:w="0" w:type="auto"/>
            <w:shd w:val="clear" w:color="auto" w:fill="auto"/>
            <w:noWrap/>
            <w:vAlign w:val="bottom"/>
            <w:hideMark/>
          </w:tcPr>
          <w:p w14:paraId="4FB3CE2A" w14:textId="77777777" w:rsidR="003A6DCE" w:rsidRPr="00034CB9" w:rsidRDefault="003A6DCE" w:rsidP="00034CB9">
            <w:pPr>
              <w:jc w:val="center"/>
              <w:rPr>
                <w:rFonts w:ascii="Arial" w:hAnsi="Arial" w:cs="Arial"/>
                <w:b/>
                <w:bCs/>
                <w:color w:val="000000" w:themeColor="text1"/>
                <w:lang w:val="en-GB"/>
              </w:rPr>
            </w:pPr>
            <w:r w:rsidRPr="00034CB9">
              <w:rPr>
                <w:rFonts w:ascii="Arial" w:hAnsi="Arial" w:cs="Arial"/>
                <w:b/>
                <w:bCs/>
                <w:color w:val="000000" w:themeColor="text1"/>
                <w:lang w:val="en-GB"/>
              </w:rPr>
              <w:t>HPI</w:t>
            </w:r>
          </w:p>
        </w:tc>
      </w:tr>
      <w:tr w:rsidR="003A6DCE" w:rsidRPr="00853F57" w14:paraId="35CA1E8A" w14:textId="77777777" w:rsidTr="003A6DCE">
        <w:trPr>
          <w:trHeight w:val="73"/>
          <w:tblHeader/>
          <w:jc w:val="center"/>
        </w:trPr>
        <w:tc>
          <w:tcPr>
            <w:tcW w:w="0" w:type="auto"/>
            <w:shd w:val="clear" w:color="auto" w:fill="auto"/>
            <w:noWrap/>
            <w:hideMark/>
          </w:tcPr>
          <w:p w14:paraId="50EA9B8B" w14:textId="2FA0F978" w:rsidR="003A6DCE" w:rsidRPr="00853F57" w:rsidRDefault="003A6DCE" w:rsidP="00A0446F">
            <w:pPr>
              <w:jc w:val="center"/>
              <w:rPr>
                <w:rFonts w:ascii="Arial" w:hAnsi="Arial" w:cs="Arial"/>
                <w:color w:val="000000" w:themeColor="text1"/>
                <w:lang w:val="en-GB"/>
              </w:rPr>
            </w:pPr>
            <w:r w:rsidRPr="00771591">
              <w:rPr>
                <w:rFonts w:ascii="Arial" w:hAnsi="Arial" w:cs="Arial"/>
              </w:rPr>
              <w:t>April 30, 2016</w:t>
            </w:r>
          </w:p>
        </w:tc>
        <w:tc>
          <w:tcPr>
            <w:tcW w:w="0" w:type="auto"/>
            <w:shd w:val="clear" w:color="auto" w:fill="auto"/>
            <w:noWrap/>
            <w:vAlign w:val="bottom"/>
            <w:hideMark/>
          </w:tcPr>
          <w:p w14:paraId="535DF9E3" w14:textId="4D8F3275"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7,159.29 </w:t>
            </w:r>
          </w:p>
        </w:tc>
        <w:tc>
          <w:tcPr>
            <w:tcW w:w="0" w:type="auto"/>
            <w:shd w:val="clear" w:color="auto" w:fill="auto"/>
            <w:noWrap/>
            <w:vAlign w:val="bottom"/>
            <w:hideMark/>
          </w:tcPr>
          <w:p w14:paraId="574863DD" w14:textId="098F7F62"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14.04 </w:t>
            </w:r>
          </w:p>
        </w:tc>
        <w:tc>
          <w:tcPr>
            <w:tcW w:w="1833" w:type="dxa"/>
            <w:shd w:val="clear" w:color="auto" w:fill="auto"/>
            <w:noWrap/>
            <w:hideMark/>
          </w:tcPr>
          <w:p w14:paraId="2319F4F4" w14:textId="61169403" w:rsidR="003A6DCE" w:rsidRPr="00853F57" w:rsidRDefault="003A6DCE" w:rsidP="00A0446F">
            <w:pPr>
              <w:jc w:val="center"/>
              <w:rPr>
                <w:rFonts w:ascii="Arial" w:hAnsi="Arial" w:cs="Arial"/>
                <w:color w:val="000000" w:themeColor="text1"/>
                <w:lang w:val="en-GB"/>
              </w:rPr>
            </w:pPr>
            <w:r w:rsidRPr="00771591">
              <w:rPr>
                <w:rFonts w:ascii="Arial" w:hAnsi="Arial" w:cs="Arial"/>
              </w:rPr>
              <w:t>May 31, 2018</w:t>
            </w:r>
          </w:p>
        </w:tc>
        <w:tc>
          <w:tcPr>
            <w:tcW w:w="0" w:type="auto"/>
            <w:shd w:val="clear" w:color="auto" w:fill="auto"/>
            <w:noWrap/>
            <w:vAlign w:val="bottom"/>
            <w:hideMark/>
          </w:tcPr>
          <w:p w14:paraId="35D708F0" w14:textId="3A3926E2"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7,497.17 </w:t>
            </w:r>
          </w:p>
        </w:tc>
        <w:tc>
          <w:tcPr>
            <w:tcW w:w="0" w:type="auto"/>
            <w:shd w:val="clear" w:color="auto" w:fill="auto"/>
            <w:noWrap/>
            <w:vAlign w:val="bottom"/>
            <w:hideMark/>
          </w:tcPr>
          <w:p w14:paraId="157E9FEE" w14:textId="3D95863E"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8.75 </w:t>
            </w:r>
          </w:p>
        </w:tc>
      </w:tr>
      <w:tr w:rsidR="003A6DCE" w:rsidRPr="00853F57" w14:paraId="45C741D5" w14:textId="77777777" w:rsidTr="003A6DCE">
        <w:trPr>
          <w:trHeight w:val="177"/>
          <w:tblHeader/>
          <w:jc w:val="center"/>
        </w:trPr>
        <w:tc>
          <w:tcPr>
            <w:tcW w:w="0" w:type="auto"/>
            <w:shd w:val="clear" w:color="auto" w:fill="auto"/>
            <w:noWrap/>
            <w:hideMark/>
          </w:tcPr>
          <w:p w14:paraId="26026D00" w14:textId="2C4BBFB5" w:rsidR="003A6DCE" w:rsidRPr="00853F57" w:rsidRDefault="003A6DCE" w:rsidP="00A0446F">
            <w:pPr>
              <w:jc w:val="center"/>
              <w:rPr>
                <w:rFonts w:ascii="Arial" w:hAnsi="Arial" w:cs="Arial"/>
                <w:color w:val="000000" w:themeColor="text1"/>
                <w:lang w:val="en-GB"/>
              </w:rPr>
            </w:pPr>
            <w:r w:rsidRPr="00771591">
              <w:rPr>
                <w:rFonts w:ascii="Arial" w:hAnsi="Arial" w:cs="Arial"/>
              </w:rPr>
              <w:t>May 31, 2016</w:t>
            </w:r>
          </w:p>
        </w:tc>
        <w:tc>
          <w:tcPr>
            <w:tcW w:w="0" w:type="auto"/>
            <w:shd w:val="clear" w:color="auto" w:fill="auto"/>
            <w:noWrap/>
            <w:vAlign w:val="bottom"/>
            <w:hideMark/>
          </w:tcPr>
          <w:p w14:paraId="461C5CCF" w14:textId="71064BA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7,401.60 </w:t>
            </w:r>
          </w:p>
        </w:tc>
        <w:tc>
          <w:tcPr>
            <w:tcW w:w="0" w:type="auto"/>
            <w:shd w:val="clear" w:color="auto" w:fill="auto"/>
            <w:noWrap/>
            <w:vAlign w:val="bottom"/>
            <w:hideMark/>
          </w:tcPr>
          <w:p w14:paraId="492159CD" w14:textId="1991621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15.10 </w:t>
            </w:r>
          </w:p>
        </w:tc>
        <w:tc>
          <w:tcPr>
            <w:tcW w:w="1833" w:type="dxa"/>
            <w:shd w:val="clear" w:color="auto" w:fill="auto"/>
            <w:noWrap/>
            <w:hideMark/>
          </w:tcPr>
          <w:p w14:paraId="6004562F" w14:textId="796DFCED" w:rsidR="003A6DCE" w:rsidRPr="00853F57" w:rsidRDefault="003A6DCE" w:rsidP="00A0446F">
            <w:pPr>
              <w:jc w:val="center"/>
              <w:rPr>
                <w:rFonts w:ascii="Arial" w:hAnsi="Arial" w:cs="Arial"/>
                <w:color w:val="000000" w:themeColor="text1"/>
                <w:lang w:val="en-GB"/>
              </w:rPr>
            </w:pPr>
            <w:r w:rsidRPr="00771591">
              <w:rPr>
                <w:rFonts w:ascii="Arial" w:hAnsi="Arial" w:cs="Arial"/>
              </w:rPr>
              <w:t>June 30, 2018</w:t>
            </w:r>
          </w:p>
        </w:tc>
        <w:tc>
          <w:tcPr>
            <w:tcW w:w="0" w:type="auto"/>
            <w:shd w:val="clear" w:color="auto" w:fill="auto"/>
            <w:noWrap/>
            <w:vAlign w:val="bottom"/>
            <w:hideMark/>
          </w:tcPr>
          <w:p w14:paraId="216B3ABE" w14:textId="0B8CFCB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7,193.68 </w:t>
            </w:r>
          </w:p>
        </w:tc>
        <w:tc>
          <w:tcPr>
            <w:tcW w:w="0" w:type="auto"/>
            <w:shd w:val="clear" w:color="auto" w:fill="auto"/>
            <w:noWrap/>
            <w:vAlign w:val="bottom"/>
            <w:hideMark/>
          </w:tcPr>
          <w:p w14:paraId="29B9538E" w14:textId="3AC8ED8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7.30 </w:t>
            </w:r>
          </w:p>
        </w:tc>
      </w:tr>
      <w:tr w:rsidR="003A6DCE" w:rsidRPr="00853F57" w14:paraId="593BE2E8" w14:textId="77777777" w:rsidTr="003A6DCE">
        <w:trPr>
          <w:trHeight w:val="185"/>
          <w:tblHeader/>
          <w:jc w:val="center"/>
        </w:trPr>
        <w:tc>
          <w:tcPr>
            <w:tcW w:w="0" w:type="auto"/>
            <w:shd w:val="clear" w:color="auto" w:fill="auto"/>
            <w:noWrap/>
            <w:hideMark/>
          </w:tcPr>
          <w:p w14:paraId="08355AA7" w14:textId="494DFC9C" w:rsidR="003A6DCE" w:rsidRPr="00853F57" w:rsidRDefault="003A6DCE" w:rsidP="00A0446F">
            <w:pPr>
              <w:jc w:val="center"/>
              <w:rPr>
                <w:rFonts w:ascii="Arial" w:hAnsi="Arial" w:cs="Arial"/>
                <w:color w:val="000000" w:themeColor="text1"/>
                <w:lang w:val="en-GB"/>
              </w:rPr>
            </w:pPr>
            <w:r w:rsidRPr="00771591">
              <w:rPr>
                <w:rFonts w:ascii="Arial" w:hAnsi="Arial" w:cs="Arial"/>
              </w:rPr>
              <w:t>June 30, 2016</w:t>
            </w:r>
          </w:p>
        </w:tc>
        <w:tc>
          <w:tcPr>
            <w:tcW w:w="0" w:type="auto"/>
            <w:shd w:val="clear" w:color="auto" w:fill="auto"/>
            <w:noWrap/>
            <w:vAlign w:val="bottom"/>
            <w:hideMark/>
          </w:tcPr>
          <w:p w14:paraId="01E37D15" w14:textId="4FE0C3F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7,796.25 </w:t>
            </w:r>
          </w:p>
        </w:tc>
        <w:tc>
          <w:tcPr>
            <w:tcW w:w="0" w:type="auto"/>
            <w:shd w:val="clear" w:color="auto" w:fill="auto"/>
            <w:noWrap/>
            <w:vAlign w:val="bottom"/>
            <w:hideMark/>
          </w:tcPr>
          <w:p w14:paraId="0F423BE4" w14:textId="7CCAA5A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15.10 </w:t>
            </w:r>
          </w:p>
        </w:tc>
        <w:tc>
          <w:tcPr>
            <w:tcW w:w="1833" w:type="dxa"/>
            <w:shd w:val="clear" w:color="auto" w:fill="auto"/>
            <w:noWrap/>
            <w:hideMark/>
          </w:tcPr>
          <w:p w14:paraId="53F92526" w14:textId="05421073" w:rsidR="003A6DCE" w:rsidRPr="00853F57" w:rsidRDefault="003A6DCE" w:rsidP="00A0446F">
            <w:pPr>
              <w:jc w:val="center"/>
              <w:rPr>
                <w:rFonts w:ascii="Arial" w:hAnsi="Arial" w:cs="Arial"/>
                <w:color w:val="000000" w:themeColor="text1"/>
                <w:lang w:val="en-GB"/>
              </w:rPr>
            </w:pPr>
            <w:r w:rsidRPr="00771591">
              <w:rPr>
                <w:rFonts w:ascii="Arial" w:hAnsi="Arial" w:cs="Arial"/>
              </w:rPr>
              <w:t>July 31, 2018</w:t>
            </w:r>
          </w:p>
        </w:tc>
        <w:tc>
          <w:tcPr>
            <w:tcW w:w="0" w:type="auto"/>
            <w:shd w:val="clear" w:color="auto" w:fill="auto"/>
            <w:noWrap/>
            <w:vAlign w:val="bottom"/>
            <w:hideMark/>
          </w:tcPr>
          <w:p w14:paraId="181315AC" w14:textId="527DCD57"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7,672.00 </w:t>
            </w:r>
          </w:p>
        </w:tc>
        <w:tc>
          <w:tcPr>
            <w:tcW w:w="0" w:type="auto"/>
            <w:shd w:val="clear" w:color="auto" w:fill="auto"/>
            <w:noWrap/>
            <w:vAlign w:val="bottom"/>
            <w:hideMark/>
          </w:tcPr>
          <w:p w14:paraId="2F332C6B" w14:textId="3F3B59F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7.45 </w:t>
            </w:r>
          </w:p>
        </w:tc>
      </w:tr>
      <w:tr w:rsidR="003A6DCE" w:rsidRPr="00853F57" w14:paraId="5C33A990" w14:textId="77777777" w:rsidTr="003A6DCE">
        <w:trPr>
          <w:trHeight w:val="347"/>
          <w:tblHeader/>
          <w:jc w:val="center"/>
        </w:trPr>
        <w:tc>
          <w:tcPr>
            <w:tcW w:w="0" w:type="auto"/>
            <w:shd w:val="clear" w:color="auto" w:fill="auto"/>
            <w:noWrap/>
            <w:hideMark/>
          </w:tcPr>
          <w:p w14:paraId="697CB68B" w14:textId="62F7775A" w:rsidR="003A6DCE" w:rsidRPr="00853F57" w:rsidRDefault="003A6DCE" w:rsidP="00A0446F">
            <w:pPr>
              <w:jc w:val="center"/>
              <w:rPr>
                <w:rFonts w:ascii="Arial" w:hAnsi="Arial" w:cs="Arial"/>
                <w:color w:val="000000" w:themeColor="text1"/>
                <w:lang w:val="en-GB"/>
              </w:rPr>
            </w:pPr>
            <w:r w:rsidRPr="00771591">
              <w:rPr>
                <w:rFonts w:ascii="Arial" w:hAnsi="Arial" w:cs="Arial"/>
              </w:rPr>
              <w:t>July 31, 2016</w:t>
            </w:r>
          </w:p>
        </w:tc>
        <w:tc>
          <w:tcPr>
            <w:tcW w:w="0" w:type="auto"/>
            <w:shd w:val="clear" w:color="auto" w:fill="auto"/>
            <w:noWrap/>
            <w:vAlign w:val="bottom"/>
            <w:hideMark/>
          </w:tcPr>
          <w:p w14:paraId="7073F1A6" w14:textId="4AAAA5F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7,963.11 </w:t>
            </w:r>
          </w:p>
        </w:tc>
        <w:tc>
          <w:tcPr>
            <w:tcW w:w="0" w:type="auto"/>
            <w:shd w:val="clear" w:color="auto" w:fill="auto"/>
            <w:noWrap/>
            <w:vAlign w:val="bottom"/>
            <w:hideMark/>
          </w:tcPr>
          <w:p w14:paraId="2B0A5083" w14:textId="0FAEC324"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16.46 </w:t>
            </w:r>
          </w:p>
        </w:tc>
        <w:tc>
          <w:tcPr>
            <w:tcW w:w="1833" w:type="dxa"/>
            <w:shd w:val="clear" w:color="auto" w:fill="auto"/>
            <w:noWrap/>
            <w:hideMark/>
          </w:tcPr>
          <w:p w14:paraId="5D696E42" w14:textId="3E80E297" w:rsidR="003A6DCE" w:rsidRPr="00853F57" w:rsidRDefault="003A6DCE" w:rsidP="00A0446F">
            <w:pPr>
              <w:jc w:val="center"/>
              <w:rPr>
                <w:rFonts w:ascii="Arial" w:hAnsi="Arial" w:cs="Arial"/>
                <w:color w:val="000000" w:themeColor="text1"/>
                <w:lang w:val="en-GB"/>
              </w:rPr>
            </w:pPr>
            <w:r w:rsidRPr="00771591">
              <w:rPr>
                <w:rFonts w:ascii="Arial" w:hAnsi="Arial" w:cs="Arial"/>
              </w:rPr>
              <w:t>August 31, 2018</w:t>
            </w:r>
          </w:p>
        </w:tc>
        <w:tc>
          <w:tcPr>
            <w:tcW w:w="0" w:type="auto"/>
            <w:shd w:val="clear" w:color="auto" w:fill="auto"/>
            <w:noWrap/>
            <w:vAlign w:val="bottom"/>
            <w:hideMark/>
          </w:tcPr>
          <w:p w14:paraId="30B7B0AB" w14:textId="7181A2A1"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7,855.71 </w:t>
            </w:r>
          </w:p>
        </w:tc>
        <w:tc>
          <w:tcPr>
            <w:tcW w:w="0" w:type="auto"/>
            <w:shd w:val="clear" w:color="auto" w:fill="auto"/>
            <w:noWrap/>
            <w:vAlign w:val="bottom"/>
            <w:hideMark/>
          </w:tcPr>
          <w:p w14:paraId="12017008" w14:textId="1548EA4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7.40 </w:t>
            </w:r>
          </w:p>
        </w:tc>
      </w:tr>
      <w:tr w:rsidR="003A6DCE" w:rsidRPr="00853F57" w14:paraId="50E3A815" w14:textId="77777777" w:rsidTr="003A6DCE">
        <w:trPr>
          <w:trHeight w:val="355"/>
          <w:tblHeader/>
          <w:jc w:val="center"/>
        </w:trPr>
        <w:tc>
          <w:tcPr>
            <w:tcW w:w="0" w:type="auto"/>
            <w:shd w:val="clear" w:color="auto" w:fill="auto"/>
            <w:noWrap/>
            <w:hideMark/>
          </w:tcPr>
          <w:p w14:paraId="44FCDE2A" w14:textId="2950A64C" w:rsidR="003A6DCE" w:rsidRPr="00853F57" w:rsidRDefault="003A6DCE" w:rsidP="00A0446F">
            <w:pPr>
              <w:jc w:val="center"/>
              <w:rPr>
                <w:rFonts w:ascii="Arial" w:hAnsi="Arial" w:cs="Arial"/>
                <w:color w:val="000000" w:themeColor="text1"/>
                <w:lang w:val="en-GB"/>
              </w:rPr>
            </w:pPr>
            <w:r w:rsidRPr="00771591">
              <w:rPr>
                <w:rFonts w:ascii="Arial" w:hAnsi="Arial" w:cs="Arial"/>
              </w:rPr>
              <w:t>August 31, 2016</w:t>
            </w:r>
          </w:p>
        </w:tc>
        <w:tc>
          <w:tcPr>
            <w:tcW w:w="0" w:type="auto"/>
            <w:shd w:val="clear" w:color="auto" w:fill="auto"/>
            <w:noWrap/>
            <w:vAlign w:val="bottom"/>
            <w:hideMark/>
          </w:tcPr>
          <w:p w14:paraId="33E3DDD4" w14:textId="160878CB"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7,787.37 </w:t>
            </w:r>
          </w:p>
        </w:tc>
        <w:tc>
          <w:tcPr>
            <w:tcW w:w="0" w:type="auto"/>
            <w:shd w:val="clear" w:color="auto" w:fill="auto"/>
            <w:noWrap/>
            <w:vAlign w:val="bottom"/>
            <w:hideMark/>
          </w:tcPr>
          <w:p w14:paraId="47C1EF6C" w14:textId="5E0ECCA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16.60 </w:t>
            </w:r>
          </w:p>
        </w:tc>
        <w:tc>
          <w:tcPr>
            <w:tcW w:w="1833" w:type="dxa"/>
            <w:shd w:val="clear" w:color="auto" w:fill="auto"/>
            <w:noWrap/>
            <w:hideMark/>
          </w:tcPr>
          <w:p w14:paraId="1A6D0DC8" w14:textId="78CDF263" w:rsidR="003A6DCE" w:rsidRPr="00853F57" w:rsidRDefault="003A6DCE" w:rsidP="00A0446F">
            <w:pPr>
              <w:jc w:val="center"/>
              <w:rPr>
                <w:rFonts w:ascii="Arial" w:hAnsi="Arial" w:cs="Arial"/>
                <w:color w:val="000000" w:themeColor="text1"/>
                <w:lang w:val="en-GB"/>
              </w:rPr>
            </w:pPr>
            <w:r w:rsidRPr="00771591">
              <w:rPr>
                <w:rFonts w:ascii="Arial" w:hAnsi="Arial" w:cs="Arial"/>
              </w:rPr>
              <w:t>September 30, 2018</w:t>
            </w:r>
          </w:p>
        </w:tc>
        <w:tc>
          <w:tcPr>
            <w:tcW w:w="0" w:type="auto"/>
            <w:shd w:val="clear" w:color="auto" w:fill="auto"/>
            <w:noWrap/>
            <w:vAlign w:val="bottom"/>
            <w:hideMark/>
          </w:tcPr>
          <w:p w14:paraId="64B67F81" w14:textId="0FD8CA5C"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7,276.82 </w:t>
            </w:r>
          </w:p>
        </w:tc>
        <w:tc>
          <w:tcPr>
            <w:tcW w:w="0" w:type="auto"/>
            <w:shd w:val="clear" w:color="auto" w:fill="auto"/>
            <w:noWrap/>
            <w:vAlign w:val="bottom"/>
            <w:hideMark/>
          </w:tcPr>
          <w:p w14:paraId="48466D80" w14:textId="0AD7F1C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6.92 </w:t>
            </w:r>
          </w:p>
        </w:tc>
      </w:tr>
      <w:tr w:rsidR="003A6DCE" w:rsidRPr="00853F57" w14:paraId="1188BE39" w14:textId="77777777" w:rsidTr="003A6DCE">
        <w:trPr>
          <w:trHeight w:val="347"/>
          <w:tblHeader/>
          <w:jc w:val="center"/>
        </w:trPr>
        <w:tc>
          <w:tcPr>
            <w:tcW w:w="0" w:type="auto"/>
            <w:shd w:val="clear" w:color="auto" w:fill="auto"/>
            <w:noWrap/>
            <w:hideMark/>
          </w:tcPr>
          <w:p w14:paraId="48B40CA3" w14:textId="19634EA4" w:rsidR="003A6DCE" w:rsidRPr="00853F57" w:rsidRDefault="003A6DCE" w:rsidP="00A0446F">
            <w:pPr>
              <w:jc w:val="center"/>
              <w:rPr>
                <w:rFonts w:ascii="Arial" w:hAnsi="Arial" w:cs="Arial"/>
                <w:color w:val="000000" w:themeColor="text1"/>
                <w:lang w:val="en-GB"/>
              </w:rPr>
            </w:pPr>
            <w:r w:rsidRPr="00771591">
              <w:rPr>
                <w:rFonts w:ascii="Arial" w:hAnsi="Arial" w:cs="Arial"/>
              </w:rPr>
              <w:t>September 30, 2016</w:t>
            </w:r>
          </w:p>
        </w:tc>
        <w:tc>
          <w:tcPr>
            <w:tcW w:w="0" w:type="auto"/>
            <w:shd w:val="clear" w:color="auto" w:fill="auto"/>
            <w:noWrap/>
            <w:vAlign w:val="bottom"/>
            <w:hideMark/>
          </w:tcPr>
          <w:p w14:paraId="3E55AF58" w14:textId="11CC99E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7,629.73 </w:t>
            </w:r>
          </w:p>
        </w:tc>
        <w:tc>
          <w:tcPr>
            <w:tcW w:w="0" w:type="auto"/>
            <w:shd w:val="clear" w:color="auto" w:fill="auto"/>
            <w:noWrap/>
            <w:vAlign w:val="bottom"/>
            <w:hideMark/>
          </w:tcPr>
          <w:p w14:paraId="78348C8C" w14:textId="7139393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16.40 </w:t>
            </w:r>
          </w:p>
        </w:tc>
        <w:tc>
          <w:tcPr>
            <w:tcW w:w="1833" w:type="dxa"/>
            <w:shd w:val="clear" w:color="auto" w:fill="auto"/>
            <w:noWrap/>
            <w:hideMark/>
          </w:tcPr>
          <w:p w14:paraId="1EA9BC34" w14:textId="3B53D375" w:rsidR="003A6DCE" w:rsidRPr="00853F57" w:rsidRDefault="003A6DCE" w:rsidP="00A0446F">
            <w:pPr>
              <w:jc w:val="center"/>
              <w:rPr>
                <w:rFonts w:ascii="Arial" w:hAnsi="Arial" w:cs="Arial"/>
                <w:color w:val="000000" w:themeColor="text1"/>
                <w:lang w:val="en-GB"/>
              </w:rPr>
            </w:pPr>
            <w:r w:rsidRPr="00771591">
              <w:rPr>
                <w:rFonts w:ascii="Arial" w:hAnsi="Arial" w:cs="Arial"/>
              </w:rPr>
              <w:t>October 31, 2018</w:t>
            </w:r>
          </w:p>
        </w:tc>
        <w:tc>
          <w:tcPr>
            <w:tcW w:w="0" w:type="auto"/>
            <w:shd w:val="clear" w:color="auto" w:fill="auto"/>
            <w:noWrap/>
            <w:vAlign w:val="bottom"/>
            <w:hideMark/>
          </w:tcPr>
          <w:p w14:paraId="70A5E783" w14:textId="19E4146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7,140.29 </w:t>
            </w:r>
          </w:p>
        </w:tc>
        <w:tc>
          <w:tcPr>
            <w:tcW w:w="0" w:type="auto"/>
            <w:shd w:val="clear" w:color="auto" w:fill="auto"/>
            <w:noWrap/>
            <w:vAlign w:val="bottom"/>
            <w:hideMark/>
          </w:tcPr>
          <w:p w14:paraId="27AF7784" w14:textId="5DF0B38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6.44 </w:t>
            </w:r>
          </w:p>
        </w:tc>
      </w:tr>
      <w:tr w:rsidR="003A6DCE" w:rsidRPr="00853F57" w14:paraId="4F7A7E5C" w14:textId="77777777" w:rsidTr="003A6DCE">
        <w:trPr>
          <w:trHeight w:val="355"/>
          <w:tblHeader/>
          <w:jc w:val="center"/>
        </w:trPr>
        <w:tc>
          <w:tcPr>
            <w:tcW w:w="0" w:type="auto"/>
            <w:shd w:val="clear" w:color="auto" w:fill="auto"/>
            <w:noWrap/>
            <w:hideMark/>
          </w:tcPr>
          <w:p w14:paraId="45F65E2F" w14:textId="762312C8" w:rsidR="003A6DCE" w:rsidRPr="00853F57" w:rsidRDefault="003A6DCE" w:rsidP="00A0446F">
            <w:pPr>
              <w:jc w:val="center"/>
              <w:rPr>
                <w:rFonts w:ascii="Arial" w:hAnsi="Arial" w:cs="Arial"/>
                <w:color w:val="000000" w:themeColor="text1"/>
                <w:lang w:val="en-GB"/>
              </w:rPr>
            </w:pPr>
            <w:r w:rsidRPr="00771591">
              <w:rPr>
                <w:rFonts w:ascii="Arial" w:hAnsi="Arial" w:cs="Arial"/>
              </w:rPr>
              <w:t>October 31, 2016</w:t>
            </w:r>
          </w:p>
        </w:tc>
        <w:tc>
          <w:tcPr>
            <w:tcW w:w="0" w:type="auto"/>
            <w:shd w:val="clear" w:color="auto" w:fill="auto"/>
            <w:noWrap/>
            <w:vAlign w:val="bottom"/>
            <w:hideMark/>
          </w:tcPr>
          <w:p w14:paraId="178803DF" w14:textId="3A948854"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7,404.80 </w:t>
            </w:r>
          </w:p>
        </w:tc>
        <w:tc>
          <w:tcPr>
            <w:tcW w:w="0" w:type="auto"/>
            <w:shd w:val="clear" w:color="auto" w:fill="auto"/>
            <w:noWrap/>
            <w:vAlign w:val="bottom"/>
            <w:hideMark/>
          </w:tcPr>
          <w:p w14:paraId="580950D6" w14:textId="6F3EDA2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16.60 </w:t>
            </w:r>
          </w:p>
        </w:tc>
        <w:tc>
          <w:tcPr>
            <w:tcW w:w="1833" w:type="dxa"/>
            <w:shd w:val="clear" w:color="auto" w:fill="auto"/>
            <w:noWrap/>
            <w:hideMark/>
          </w:tcPr>
          <w:p w14:paraId="5534CF1C" w14:textId="5943E9A0" w:rsidR="003A6DCE" w:rsidRPr="00853F57" w:rsidRDefault="003A6DCE" w:rsidP="00A0446F">
            <w:pPr>
              <w:jc w:val="center"/>
              <w:rPr>
                <w:rFonts w:ascii="Arial" w:hAnsi="Arial" w:cs="Arial"/>
                <w:color w:val="000000" w:themeColor="text1"/>
                <w:lang w:val="en-GB"/>
              </w:rPr>
            </w:pPr>
            <w:r w:rsidRPr="00771591">
              <w:rPr>
                <w:rFonts w:ascii="Arial" w:hAnsi="Arial" w:cs="Arial"/>
              </w:rPr>
              <w:t>November 30, 2018</w:t>
            </w:r>
          </w:p>
        </w:tc>
        <w:tc>
          <w:tcPr>
            <w:tcW w:w="0" w:type="auto"/>
            <w:shd w:val="clear" w:color="auto" w:fill="auto"/>
            <w:noWrap/>
            <w:vAlign w:val="bottom"/>
            <w:hideMark/>
          </w:tcPr>
          <w:p w14:paraId="65FA4933" w14:textId="1D6688DA"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7,367.85 </w:t>
            </w:r>
          </w:p>
        </w:tc>
        <w:tc>
          <w:tcPr>
            <w:tcW w:w="0" w:type="auto"/>
            <w:shd w:val="clear" w:color="auto" w:fill="auto"/>
            <w:noWrap/>
            <w:vAlign w:val="bottom"/>
            <w:hideMark/>
          </w:tcPr>
          <w:p w14:paraId="4DD7162C" w14:textId="019CD1F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5.80 </w:t>
            </w:r>
          </w:p>
        </w:tc>
      </w:tr>
      <w:tr w:rsidR="003A6DCE" w:rsidRPr="00853F57" w14:paraId="1C26450E" w14:textId="77777777" w:rsidTr="003A6DCE">
        <w:trPr>
          <w:trHeight w:val="347"/>
          <w:tblHeader/>
          <w:jc w:val="center"/>
        </w:trPr>
        <w:tc>
          <w:tcPr>
            <w:tcW w:w="0" w:type="auto"/>
            <w:shd w:val="clear" w:color="auto" w:fill="auto"/>
            <w:noWrap/>
            <w:hideMark/>
          </w:tcPr>
          <w:p w14:paraId="294E6A3D" w14:textId="783092A0" w:rsidR="003A6DCE" w:rsidRPr="00853F57" w:rsidRDefault="003A6DCE" w:rsidP="00A0446F">
            <w:pPr>
              <w:jc w:val="center"/>
              <w:rPr>
                <w:rFonts w:ascii="Arial" w:hAnsi="Arial" w:cs="Arial"/>
                <w:color w:val="000000" w:themeColor="text1"/>
                <w:lang w:val="en-GB"/>
              </w:rPr>
            </w:pPr>
            <w:r w:rsidRPr="00771591">
              <w:rPr>
                <w:rFonts w:ascii="Arial" w:hAnsi="Arial" w:cs="Arial"/>
              </w:rPr>
              <w:t>November 30, 2016</w:t>
            </w:r>
          </w:p>
        </w:tc>
        <w:tc>
          <w:tcPr>
            <w:tcW w:w="0" w:type="auto"/>
            <w:shd w:val="clear" w:color="auto" w:fill="auto"/>
            <w:noWrap/>
            <w:vAlign w:val="bottom"/>
            <w:hideMark/>
          </w:tcPr>
          <w:p w14:paraId="404E5F55" w14:textId="7A75FB6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6,781.20 </w:t>
            </w:r>
          </w:p>
        </w:tc>
        <w:tc>
          <w:tcPr>
            <w:tcW w:w="0" w:type="auto"/>
            <w:shd w:val="clear" w:color="auto" w:fill="auto"/>
            <w:noWrap/>
            <w:vAlign w:val="bottom"/>
            <w:hideMark/>
          </w:tcPr>
          <w:p w14:paraId="19AC0A10" w14:textId="1B3AD71E"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15.64 </w:t>
            </w:r>
          </w:p>
        </w:tc>
        <w:tc>
          <w:tcPr>
            <w:tcW w:w="1833" w:type="dxa"/>
            <w:shd w:val="clear" w:color="auto" w:fill="auto"/>
            <w:noWrap/>
            <w:hideMark/>
          </w:tcPr>
          <w:p w14:paraId="4DBD2332" w14:textId="3B5B69FF" w:rsidR="003A6DCE" w:rsidRPr="00853F57" w:rsidRDefault="003A6DCE" w:rsidP="00A0446F">
            <w:pPr>
              <w:jc w:val="center"/>
              <w:rPr>
                <w:rFonts w:ascii="Arial" w:hAnsi="Arial" w:cs="Arial"/>
                <w:color w:val="000000" w:themeColor="text1"/>
                <w:lang w:val="en-GB"/>
              </w:rPr>
            </w:pPr>
            <w:r w:rsidRPr="00771591">
              <w:rPr>
                <w:rFonts w:ascii="Arial" w:hAnsi="Arial" w:cs="Arial"/>
              </w:rPr>
              <w:t>December 31, 2018</w:t>
            </w:r>
          </w:p>
        </w:tc>
        <w:tc>
          <w:tcPr>
            <w:tcW w:w="0" w:type="auto"/>
            <w:shd w:val="clear" w:color="auto" w:fill="auto"/>
            <w:noWrap/>
            <w:vAlign w:val="bottom"/>
            <w:hideMark/>
          </w:tcPr>
          <w:p w14:paraId="6BFC01D0" w14:textId="3CFE3C25"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7,466.02 </w:t>
            </w:r>
          </w:p>
        </w:tc>
        <w:tc>
          <w:tcPr>
            <w:tcW w:w="0" w:type="auto"/>
            <w:shd w:val="clear" w:color="auto" w:fill="auto"/>
            <w:noWrap/>
            <w:vAlign w:val="bottom"/>
            <w:hideMark/>
          </w:tcPr>
          <w:p w14:paraId="3DDE81CC" w14:textId="00562F7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5.80 </w:t>
            </w:r>
          </w:p>
        </w:tc>
      </w:tr>
      <w:tr w:rsidR="003A6DCE" w:rsidRPr="00853F57" w14:paraId="3FCB1D6A" w14:textId="77777777" w:rsidTr="003A6DCE">
        <w:trPr>
          <w:trHeight w:val="355"/>
          <w:tblHeader/>
          <w:jc w:val="center"/>
        </w:trPr>
        <w:tc>
          <w:tcPr>
            <w:tcW w:w="0" w:type="auto"/>
            <w:shd w:val="clear" w:color="auto" w:fill="auto"/>
            <w:noWrap/>
            <w:hideMark/>
          </w:tcPr>
          <w:p w14:paraId="0333EAAE" w14:textId="05686BF0" w:rsidR="003A6DCE" w:rsidRPr="00853F57" w:rsidRDefault="003A6DCE" w:rsidP="00A0446F">
            <w:pPr>
              <w:jc w:val="center"/>
              <w:rPr>
                <w:rFonts w:ascii="Arial" w:hAnsi="Arial" w:cs="Arial"/>
                <w:color w:val="000000" w:themeColor="text1"/>
                <w:lang w:val="en-GB"/>
              </w:rPr>
            </w:pPr>
            <w:r w:rsidRPr="00771591">
              <w:rPr>
                <w:rFonts w:ascii="Arial" w:hAnsi="Arial" w:cs="Arial"/>
              </w:rPr>
              <w:t>December 31, 2016</w:t>
            </w:r>
          </w:p>
        </w:tc>
        <w:tc>
          <w:tcPr>
            <w:tcW w:w="0" w:type="auto"/>
            <w:shd w:val="clear" w:color="auto" w:fill="auto"/>
            <w:noWrap/>
            <w:vAlign w:val="bottom"/>
            <w:hideMark/>
          </w:tcPr>
          <w:p w14:paraId="79BEB859" w14:textId="1201790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6,840.64 </w:t>
            </w:r>
          </w:p>
        </w:tc>
        <w:tc>
          <w:tcPr>
            <w:tcW w:w="0" w:type="auto"/>
            <w:shd w:val="clear" w:color="auto" w:fill="auto"/>
            <w:noWrap/>
            <w:vAlign w:val="bottom"/>
            <w:hideMark/>
          </w:tcPr>
          <w:p w14:paraId="24B335CF" w14:textId="5D8CFB83"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16.50 </w:t>
            </w:r>
          </w:p>
        </w:tc>
        <w:tc>
          <w:tcPr>
            <w:tcW w:w="1833" w:type="dxa"/>
            <w:shd w:val="clear" w:color="auto" w:fill="auto"/>
            <w:noWrap/>
            <w:hideMark/>
          </w:tcPr>
          <w:p w14:paraId="2139B301" w14:textId="0499AED1" w:rsidR="003A6DCE" w:rsidRPr="00853F57" w:rsidRDefault="003A6DCE" w:rsidP="00A0446F">
            <w:pPr>
              <w:jc w:val="center"/>
              <w:rPr>
                <w:rFonts w:ascii="Arial" w:hAnsi="Arial" w:cs="Arial"/>
                <w:color w:val="000000" w:themeColor="text1"/>
                <w:lang w:val="en-GB"/>
              </w:rPr>
            </w:pPr>
            <w:r w:rsidRPr="00771591">
              <w:rPr>
                <w:rFonts w:ascii="Arial" w:hAnsi="Arial" w:cs="Arial"/>
              </w:rPr>
              <w:t>January 31, 2019</w:t>
            </w:r>
          </w:p>
        </w:tc>
        <w:tc>
          <w:tcPr>
            <w:tcW w:w="0" w:type="auto"/>
            <w:shd w:val="clear" w:color="auto" w:fill="auto"/>
            <w:noWrap/>
            <w:vAlign w:val="bottom"/>
            <w:hideMark/>
          </w:tcPr>
          <w:p w14:paraId="3D94F645" w14:textId="16D4380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8,007.48 </w:t>
            </w:r>
          </w:p>
        </w:tc>
        <w:tc>
          <w:tcPr>
            <w:tcW w:w="0" w:type="auto"/>
            <w:shd w:val="clear" w:color="auto" w:fill="auto"/>
            <w:noWrap/>
            <w:vAlign w:val="bottom"/>
            <w:hideMark/>
          </w:tcPr>
          <w:p w14:paraId="16B884CB" w14:textId="667655E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8.57 </w:t>
            </w:r>
          </w:p>
        </w:tc>
      </w:tr>
      <w:tr w:rsidR="003A6DCE" w:rsidRPr="00853F57" w14:paraId="1CA373D4" w14:textId="77777777" w:rsidTr="003A6DCE">
        <w:trPr>
          <w:trHeight w:val="347"/>
          <w:tblHeader/>
          <w:jc w:val="center"/>
        </w:trPr>
        <w:tc>
          <w:tcPr>
            <w:tcW w:w="0" w:type="auto"/>
            <w:shd w:val="clear" w:color="auto" w:fill="auto"/>
            <w:noWrap/>
            <w:hideMark/>
          </w:tcPr>
          <w:p w14:paraId="6E3431CA" w14:textId="64CA9EAA" w:rsidR="003A6DCE" w:rsidRPr="00853F57" w:rsidRDefault="003A6DCE" w:rsidP="00A0446F">
            <w:pPr>
              <w:jc w:val="center"/>
              <w:rPr>
                <w:rFonts w:ascii="Arial" w:hAnsi="Arial" w:cs="Arial"/>
                <w:color w:val="000000" w:themeColor="text1"/>
                <w:lang w:val="en-GB"/>
              </w:rPr>
            </w:pPr>
            <w:r w:rsidRPr="00771591">
              <w:rPr>
                <w:rFonts w:ascii="Arial" w:hAnsi="Arial" w:cs="Arial"/>
              </w:rPr>
              <w:t>January 31, 2017</w:t>
            </w:r>
          </w:p>
        </w:tc>
        <w:tc>
          <w:tcPr>
            <w:tcW w:w="0" w:type="auto"/>
            <w:shd w:val="clear" w:color="auto" w:fill="auto"/>
            <w:noWrap/>
            <w:vAlign w:val="bottom"/>
            <w:hideMark/>
          </w:tcPr>
          <w:p w14:paraId="6366FAC2" w14:textId="4C35C37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7,229.66 </w:t>
            </w:r>
          </w:p>
        </w:tc>
        <w:tc>
          <w:tcPr>
            <w:tcW w:w="0" w:type="auto"/>
            <w:shd w:val="clear" w:color="auto" w:fill="auto"/>
            <w:noWrap/>
            <w:vAlign w:val="bottom"/>
            <w:hideMark/>
          </w:tcPr>
          <w:p w14:paraId="00AEBF5E" w14:textId="4599632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16.60 </w:t>
            </w:r>
          </w:p>
        </w:tc>
        <w:tc>
          <w:tcPr>
            <w:tcW w:w="1833" w:type="dxa"/>
            <w:shd w:val="clear" w:color="auto" w:fill="auto"/>
            <w:noWrap/>
            <w:hideMark/>
          </w:tcPr>
          <w:p w14:paraId="7CD291F0" w14:textId="287ED492" w:rsidR="003A6DCE" w:rsidRPr="00853F57" w:rsidRDefault="003A6DCE" w:rsidP="00A0446F">
            <w:pPr>
              <w:jc w:val="center"/>
              <w:rPr>
                <w:rFonts w:ascii="Arial" w:hAnsi="Arial" w:cs="Arial"/>
                <w:color w:val="000000" w:themeColor="text1"/>
                <w:lang w:val="en-GB"/>
              </w:rPr>
            </w:pPr>
            <w:r w:rsidRPr="00771591">
              <w:rPr>
                <w:rFonts w:ascii="Arial" w:hAnsi="Arial" w:cs="Arial"/>
              </w:rPr>
              <w:t>February 28, 2019</w:t>
            </w:r>
          </w:p>
        </w:tc>
        <w:tc>
          <w:tcPr>
            <w:tcW w:w="0" w:type="auto"/>
            <w:shd w:val="clear" w:color="auto" w:fill="auto"/>
            <w:noWrap/>
            <w:vAlign w:val="bottom"/>
            <w:hideMark/>
          </w:tcPr>
          <w:p w14:paraId="3535A97C" w14:textId="24ADBE5B"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7,705.49 </w:t>
            </w:r>
          </w:p>
        </w:tc>
        <w:tc>
          <w:tcPr>
            <w:tcW w:w="0" w:type="auto"/>
            <w:shd w:val="clear" w:color="auto" w:fill="auto"/>
            <w:noWrap/>
            <w:vAlign w:val="bottom"/>
            <w:hideMark/>
          </w:tcPr>
          <w:p w14:paraId="66B3D947" w14:textId="386C7051"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9.32 </w:t>
            </w:r>
          </w:p>
        </w:tc>
      </w:tr>
      <w:tr w:rsidR="003A6DCE" w:rsidRPr="00853F57" w14:paraId="3F8E14BF" w14:textId="77777777" w:rsidTr="003A6DCE">
        <w:trPr>
          <w:trHeight w:val="177"/>
          <w:tblHeader/>
          <w:jc w:val="center"/>
        </w:trPr>
        <w:tc>
          <w:tcPr>
            <w:tcW w:w="0" w:type="auto"/>
            <w:shd w:val="clear" w:color="auto" w:fill="auto"/>
            <w:noWrap/>
            <w:hideMark/>
          </w:tcPr>
          <w:p w14:paraId="459F493B" w14:textId="331DA34D" w:rsidR="003A6DCE" w:rsidRPr="00853F57" w:rsidRDefault="003A6DCE" w:rsidP="00A0446F">
            <w:pPr>
              <w:jc w:val="center"/>
              <w:rPr>
                <w:rFonts w:ascii="Arial" w:hAnsi="Arial" w:cs="Arial"/>
                <w:color w:val="000000" w:themeColor="text1"/>
                <w:lang w:val="en-GB"/>
              </w:rPr>
            </w:pPr>
            <w:r w:rsidRPr="00771591">
              <w:rPr>
                <w:rFonts w:ascii="Arial" w:hAnsi="Arial" w:cs="Arial"/>
              </w:rPr>
              <w:t>February 28, 2017</w:t>
            </w:r>
          </w:p>
        </w:tc>
        <w:tc>
          <w:tcPr>
            <w:tcW w:w="0" w:type="auto"/>
            <w:shd w:val="clear" w:color="auto" w:fill="auto"/>
            <w:noWrap/>
            <w:vAlign w:val="bottom"/>
            <w:hideMark/>
          </w:tcPr>
          <w:p w14:paraId="0AC945A3" w14:textId="130E8C94"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7,212.09 </w:t>
            </w:r>
          </w:p>
        </w:tc>
        <w:tc>
          <w:tcPr>
            <w:tcW w:w="0" w:type="auto"/>
            <w:shd w:val="clear" w:color="auto" w:fill="auto"/>
            <w:noWrap/>
            <w:vAlign w:val="bottom"/>
            <w:hideMark/>
          </w:tcPr>
          <w:p w14:paraId="66813296" w14:textId="3033C7C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17.00 </w:t>
            </w:r>
          </w:p>
        </w:tc>
        <w:tc>
          <w:tcPr>
            <w:tcW w:w="1833" w:type="dxa"/>
            <w:shd w:val="clear" w:color="auto" w:fill="auto"/>
            <w:noWrap/>
            <w:hideMark/>
          </w:tcPr>
          <w:p w14:paraId="66503488" w14:textId="4D8512F6" w:rsidR="003A6DCE" w:rsidRPr="00853F57" w:rsidRDefault="003A6DCE" w:rsidP="00A0446F">
            <w:pPr>
              <w:jc w:val="center"/>
              <w:rPr>
                <w:rFonts w:ascii="Arial" w:hAnsi="Arial" w:cs="Arial"/>
                <w:color w:val="000000" w:themeColor="text1"/>
                <w:lang w:val="en-GB"/>
              </w:rPr>
            </w:pPr>
            <w:r w:rsidRPr="00771591">
              <w:rPr>
                <w:rFonts w:ascii="Arial" w:hAnsi="Arial" w:cs="Arial"/>
              </w:rPr>
              <w:t>March 31, 2019</w:t>
            </w:r>
          </w:p>
        </w:tc>
        <w:tc>
          <w:tcPr>
            <w:tcW w:w="0" w:type="auto"/>
            <w:shd w:val="clear" w:color="auto" w:fill="auto"/>
            <w:noWrap/>
            <w:vAlign w:val="bottom"/>
            <w:hideMark/>
          </w:tcPr>
          <w:p w14:paraId="2DFC3E7E" w14:textId="05353B24"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7,920.93 </w:t>
            </w:r>
          </w:p>
        </w:tc>
        <w:tc>
          <w:tcPr>
            <w:tcW w:w="0" w:type="auto"/>
            <w:shd w:val="clear" w:color="auto" w:fill="auto"/>
            <w:noWrap/>
            <w:vAlign w:val="bottom"/>
            <w:hideMark/>
          </w:tcPr>
          <w:p w14:paraId="40F62FA1" w14:textId="662A8A6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10.22 </w:t>
            </w:r>
          </w:p>
        </w:tc>
      </w:tr>
      <w:tr w:rsidR="003A6DCE" w:rsidRPr="00853F57" w14:paraId="6A074E20" w14:textId="77777777" w:rsidTr="003A6DCE">
        <w:trPr>
          <w:trHeight w:val="177"/>
          <w:tblHeader/>
          <w:jc w:val="center"/>
        </w:trPr>
        <w:tc>
          <w:tcPr>
            <w:tcW w:w="0" w:type="auto"/>
            <w:shd w:val="clear" w:color="auto" w:fill="auto"/>
            <w:noWrap/>
            <w:hideMark/>
          </w:tcPr>
          <w:p w14:paraId="48BEB462" w14:textId="090C5F59" w:rsidR="003A6DCE" w:rsidRPr="00853F57" w:rsidRDefault="003A6DCE" w:rsidP="00A0446F">
            <w:pPr>
              <w:jc w:val="center"/>
              <w:rPr>
                <w:rFonts w:ascii="Arial" w:hAnsi="Arial" w:cs="Arial"/>
                <w:color w:val="000000" w:themeColor="text1"/>
                <w:lang w:val="en-GB"/>
              </w:rPr>
            </w:pPr>
            <w:r w:rsidRPr="00771591">
              <w:rPr>
                <w:rFonts w:ascii="Arial" w:hAnsi="Arial" w:cs="Arial"/>
              </w:rPr>
              <w:t>March 31, 2017</w:t>
            </w:r>
          </w:p>
        </w:tc>
        <w:tc>
          <w:tcPr>
            <w:tcW w:w="0" w:type="auto"/>
            <w:shd w:val="clear" w:color="auto" w:fill="auto"/>
            <w:noWrap/>
            <w:vAlign w:val="bottom"/>
            <w:hideMark/>
          </w:tcPr>
          <w:p w14:paraId="571AFB00" w14:textId="3AB2893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7,311.72 </w:t>
            </w:r>
          </w:p>
        </w:tc>
        <w:tc>
          <w:tcPr>
            <w:tcW w:w="0" w:type="auto"/>
            <w:shd w:val="clear" w:color="auto" w:fill="auto"/>
            <w:noWrap/>
            <w:vAlign w:val="bottom"/>
            <w:hideMark/>
          </w:tcPr>
          <w:p w14:paraId="411C2251" w14:textId="6E46B914"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15.10 </w:t>
            </w:r>
          </w:p>
        </w:tc>
        <w:tc>
          <w:tcPr>
            <w:tcW w:w="1833" w:type="dxa"/>
            <w:shd w:val="clear" w:color="auto" w:fill="auto"/>
            <w:noWrap/>
            <w:hideMark/>
          </w:tcPr>
          <w:p w14:paraId="684BDB81" w14:textId="2A3713A7" w:rsidR="003A6DCE" w:rsidRPr="00853F57" w:rsidRDefault="003A6DCE" w:rsidP="00A0446F">
            <w:pPr>
              <w:jc w:val="center"/>
              <w:rPr>
                <w:rFonts w:ascii="Arial" w:hAnsi="Arial" w:cs="Arial"/>
                <w:color w:val="000000" w:themeColor="text1"/>
                <w:lang w:val="en-GB"/>
              </w:rPr>
            </w:pPr>
            <w:r w:rsidRPr="00771591">
              <w:rPr>
                <w:rFonts w:ascii="Arial" w:hAnsi="Arial" w:cs="Arial"/>
              </w:rPr>
              <w:t>April 30, 2019</w:t>
            </w:r>
          </w:p>
        </w:tc>
        <w:tc>
          <w:tcPr>
            <w:tcW w:w="0" w:type="auto"/>
            <w:shd w:val="clear" w:color="auto" w:fill="auto"/>
            <w:noWrap/>
            <w:vAlign w:val="bottom"/>
            <w:hideMark/>
          </w:tcPr>
          <w:p w14:paraId="4130E4D1" w14:textId="1DF9A9FD"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7,952.72 </w:t>
            </w:r>
          </w:p>
        </w:tc>
        <w:tc>
          <w:tcPr>
            <w:tcW w:w="0" w:type="auto"/>
            <w:shd w:val="clear" w:color="auto" w:fill="auto"/>
            <w:noWrap/>
            <w:vAlign w:val="bottom"/>
            <w:hideMark/>
          </w:tcPr>
          <w:p w14:paraId="0BC6F08F" w14:textId="0DFB0ADB"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12.68 </w:t>
            </w:r>
          </w:p>
        </w:tc>
      </w:tr>
      <w:tr w:rsidR="003A6DCE" w:rsidRPr="00853F57" w14:paraId="1B4952D2" w14:textId="77777777" w:rsidTr="003A6DCE">
        <w:trPr>
          <w:trHeight w:val="185"/>
          <w:tblHeader/>
          <w:jc w:val="center"/>
        </w:trPr>
        <w:tc>
          <w:tcPr>
            <w:tcW w:w="0" w:type="auto"/>
            <w:shd w:val="clear" w:color="auto" w:fill="auto"/>
            <w:noWrap/>
            <w:hideMark/>
          </w:tcPr>
          <w:p w14:paraId="354D19F6" w14:textId="72DC3305" w:rsidR="003A6DCE" w:rsidRPr="00853F57" w:rsidRDefault="003A6DCE" w:rsidP="00A0446F">
            <w:pPr>
              <w:jc w:val="center"/>
              <w:rPr>
                <w:rFonts w:ascii="Arial" w:hAnsi="Arial" w:cs="Arial"/>
                <w:color w:val="000000" w:themeColor="text1"/>
                <w:lang w:val="en-GB"/>
              </w:rPr>
            </w:pPr>
            <w:r w:rsidRPr="00771591">
              <w:rPr>
                <w:rFonts w:ascii="Arial" w:hAnsi="Arial" w:cs="Arial"/>
              </w:rPr>
              <w:t>April 30, 2017</w:t>
            </w:r>
          </w:p>
        </w:tc>
        <w:tc>
          <w:tcPr>
            <w:tcW w:w="0" w:type="auto"/>
            <w:shd w:val="clear" w:color="auto" w:fill="auto"/>
            <w:noWrap/>
            <w:vAlign w:val="bottom"/>
            <w:hideMark/>
          </w:tcPr>
          <w:p w14:paraId="69E9C144" w14:textId="049E4141"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7,661.01 </w:t>
            </w:r>
          </w:p>
        </w:tc>
        <w:tc>
          <w:tcPr>
            <w:tcW w:w="0" w:type="auto"/>
            <w:shd w:val="clear" w:color="auto" w:fill="auto"/>
            <w:noWrap/>
            <w:vAlign w:val="bottom"/>
            <w:hideMark/>
          </w:tcPr>
          <w:p w14:paraId="47A831CF" w14:textId="463A069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15.40 </w:t>
            </w:r>
          </w:p>
        </w:tc>
        <w:tc>
          <w:tcPr>
            <w:tcW w:w="1833" w:type="dxa"/>
            <w:shd w:val="clear" w:color="auto" w:fill="auto"/>
            <w:noWrap/>
            <w:vAlign w:val="bottom"/>
            <w:hideMark/>
          </w:tcPr>
          <w:p w14:paraId="7970E307"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7AC28517" w14:textId="3E1783FD"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1378C5CF" w14:textId="77777777" w:rsidR="003A6DCE" w:rsidRPr="00853F57" w:rsidRDefault="003A6DCE" w:rsidP="00A0446F">
            <w:pPr>
              <w:jc w:val="center"/>
              <w:rPr>
                <w:rFonts w:ascii="Arial" w:hAnsi="Arial" w:cs="Arial"/>
                <w:color w:val="000000" w:themeColor="text1"/>
                <w:lang w:val="en-GB"/>
              </w:rPr>
            </w:pPr>
          </w:p>
        </w:tc>
      </w:tr>
      <w:tr w:rsidR="003A6DCE" w:rsidRPr="00853F57" w14:paraId="19B9756F" w14:textId="77777777" w:rsidTr="003A6DCE">
        <w:trPr>
          <w:trHeight w:val="177"/>
          <w:tblHeader/>
          <w:jc w:val="center"/>
        </w:trPr>
        <w:tc>
          <w:tcPr>
            <w:tcW w:w="0" w:type="auto"/>
            <w:shd w:val="clear" w:color="auto" w:fill="auto"/>
            <w:noWrap/>
            <w:hideMark/>
          </w:tcPr>
          <w:p w14:paraId="66FAF3BD" w14:textId="3B1BE6F6" w:rsidR="003A6DCE" w:rsidRPr="00853F57" w:rsidRDefault="003A6DCE" w:rsidP="00A0446F">
            <w:pPr>
              <w:jc w:val="center"/>
              <w:rPr>
                <w:rFonts w:ascii="Arial" w:hAnsi="Arial" w:cs="Arial"/>
                <w:color w:val="000000" w:themeColor="text1"/>
                <w:lang w:val="en-GB"/>
              </w:rPr>
            </w:pPr>
            <w:r w:rsidRPr="00771591">
              <w:rPr>
                <w:rFonts w:ascii="Arial" w:hAnsi="Arial" w:cs="Arial"/>
              </w:rPr>
              <w:t>May 31, 2017</w:t>
            </w:r>
          </w:p>
        </w:tc>
        <w:tc>
          <w:tcPr>
            <w:tcW w:w="0" w:type="auto"/>
            <w:shd w:val="clear" w:color="auto" w:fill="auto"/>
            <w:noWrap/>
            <w:vAlign w:val="bottom"/>
            <w:hideMark/>
          </w:tcPr>
          <w:p w14:paraId="4465955E" w14:textId="38783ADE"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7,837.12 </w:t>
            </w:r>
          </w:p>
        </w:tc>
        <w:tc>
          <w:tcPr>
            <w:tcW w:w="0" w:type="auto"/>
            <w:shd w:val="clear" w:color="auto" w:fill="auto"/>
            <w:noWrap/>
            <w:vAlign w:val="bottom"/>
            <w:hideMark/>
          </w:tcPr>
          <w:p w14:paraId="08200CB8" w14:textId="777725C5"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14.72 </w:t>
            </w:r>
          </w:p>
        </w:tc>
        <w:tc>
          <w:tcPr>
            <w:tcW w:w="1833" w:type="dxa"/>
            <w:shd w:val="clear" w:color="auto" w:fill="auto"/>
            <w:noWrap/>
            <w:vAlign w:val="bottom"/>
            <w:hideMark/>
          </w:tcPr>
          <w:p w14:paraId="73A218BF"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2C9C5CFC" w14:textId="6045F793"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5A8044B" w14:textId="77777777" w:rsidR="003A6DCE" w:rsidRPr="00853F57" w:rsidRDefault="003A6DCE" w:rsidP="00A0446F">
            <w:pPr>
              <w:jc w:val="center"/>
              <w:rPr>
                <w:rFonts w:ascii="Arial" w:hAnsi="Arial" w:cs="Arial"/>
                <w:color w:val="000000" w:themeColor="text1"/>
                <w:lang w:val="en-GB"/>
              </w:rPr>
            </w:pPr>
          </w:p>
        </w:tc>
      </w:tr>
      <w:tr w:rsidR="003A6DCE" w:rsidRPr="00853F57" w14:paraId="2CDC61B0" w14:textId="77777777" w:rsidTr="003A6DCE">
        <w:trPr>
          <w:trHeight w:val="177"/>
          <w:tblHeader/>
          <w:jc w:val="center"/>
        </w:trPr>
        <w:tc>
          <w:tcPr>
            <w:tcW w:w="0" w:type="auto"/>
            <w:shd w:val="clear" w:color="auto" w:fill="auto"/>
            <w:noWrap/>
            <w:hideMark/>
          </w:tcPr>
          <w:p w14:paraId="7ADAE209" w14:textId="30F0EF94" w:rsidR="003A6DCE" w:rsidRPr="00853F57" w:rsidRDefault="003A6DCE" w:rsidP="00A0446F">
            <w:pPr>
              <w:jc w:val="center"/>
              <w:rPr>
                <w:rFonts w:ascii="Arial" w:hAnsi="Arial" w:cs="Arial"/>
                <w:color w:val="000000" w:themeColor="text1"/>
                <w:lang w:val="en-GB"/>
              </w:rPr>
            </w:pPr>
            <w:r w:rsidRPr="00771591">
              <w:rPr>
                <w:rFonts w:ascii="Arial" w:hAnsi="Arial" w:cs="Arial"/>
              </w:rPr>
              <w:t>June 30, 2017</w:t>
            </w:r>
          </w:p>
        </w:tc>
        <w:tc>
          <w:tcPr>
            <w:tcW w:w="0" w:type="auto"/>
            <w:shd w:val="clear" w:color="auto" w:fill="auto"/>
            <w:noWrap/>
            <w:vAlign w:val="bottom"/>
            <w:hideMark/>
          </w:tcPr>
          <w:p w14:paraId="3A1E74BF" w14:textId="2623C1BB"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7,843.16 </w:t>
            </w:r>
          </w:p>
        </w:tc>
        <w:tc>
          <w:tcPr>
            <w:tcW w:w="0" w:type="auto"/>
            <w:shd w:val="clear" w:color="auto" w:fill="auto"/>
            <w:noWrap/>
            <w:vAlign w:val="bottom"/>
            <w:hideMark/>
          </w:tcPr>
          <w:p w14:paraId="3D71986E" w14:textId="44CBE8EB"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13.20 </w:t>
            </w:r>
          </w:p>
        </w:tc>
        <w:tc>
          <w:tcPr>
            <w:tcW w:w="1833" w:type="dxa"/>
            <w:shd w:val="clear" w:color="auto" w:fill="auto"/>
            <w:noWrap/>
            <w:vAlign w:val="bottom"/>
            <w:hideMark/>
          </w:tcPr>
          <w:p w14:paraId="53C85869"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47F490C1" w14:textId="2C633D55"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C622970" w14:textId="77777777" w:rsidR="003A6DCE" w:rsidRPr="00853F57" w:rsidRDefault="003A6DCE" w:rsidP="00A0446F">
            <w:pPr>
              <w:jc w:val="center"/>
              <w:rPr>
                <w:rFonts w:ascii="Arial" w:hAnsi="Arial" w:cs="Arial"/>
                <w:color w:val="000000" w:themeColor="text1"/>
                <w:lang w:val="en-GB"/>
              </w:rPr>
            </w:pPr>
          </w:p>
        </w:tc>
      </w:tr>
      <w:tr w:rsidR="003A6DCE" w:rsidRPr="00853F57" w14:paraId="1EC39880" w14:textId="77777777" w:rsidTr="003A6DCE">
        <w:trPr>
          <w:trHeight w:val="177"/>
          <w:tblHeader/>
          <w:jc w:val="center"/>
        </w:trPr>
        <w:tc>
          <w:tcPr>
            <w:tcW w:w="0" w:type="auto"/>
            <w:shd w:val="clear" w:color="auto" w:fill="auto"/>
            <w:noWrap/>
            <w:hideMark/>
          </w:tcPr>
          <w:p w14:paraId="1D9C7907" w14:textId="5DB34BDF" w:rsidR="003A6DCE" w:rsidRPr="00853F57" w:rsidRDefault="003A6DCE" w:rsidP="00A0446F">
            <w:pPr>
              <w:jc w:val="center"/>
              <w:rPr>
                <w:rFonts w:ascii="Arial" w:hAnsi="Arial" w:cs="Arial"/>
                <w:color w:val="000000" w:themeColor="text1"/>
                <w:lang w:val="en-GB"/>
              </w:rPr>
            </w:pPr>
            <w:r w:rsidRPr="00771591">
              <w:rPr>
                <w:rFonts w:ascii="Arial" w:hAnsi="Arial" w:cs="Arial"/>
              </w:rPr>
              <w:t>July 31, 2017</w:t>
            </w:r>
          </w:p>
        </w:tc>
        <w:tc>
          <w:tcPr>
            <w:tcW w:w="0" w:type="auto"/>
            <w:shd w:val="clear" w:color="auto" w:fill="auto"/>
            <w:noWrap/>
            <w:vAlign w:val="bottom"/>
            <w:hideMark/>
          </w:tcPr>
          <w:p w14:paraId="16DBBE16" w14:textId="4272954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8,018.05 </w:t>
            </w:r>
          </w:p>
        </w:tc>
        <w:tc>
          <w:tcPr>
            <w:tcW w:w="0" w:type="auto"/>
            <w:shd w:val="clear" w:color="auto" w:fill="auto"/>
            <w:noWrap/>
            <w:vAlign w:val="bottom"/>
            <w:hideMark/>
          </w:tcPr>
          <w:p w14:paraId="071822D8" w14:textId="40D6D5BC"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12.90 </w:t>
            </w:r>
          </w:p>
        </w:tc>
        <w:tc>
          <w:tcPr>
            <w:tcW w:w="1833" w:type="dxa"/>
            <w:shd w:val="clear" w:color="auto" w:fill="auto"/>
            <w:noWrap/>
            <w:vAlign w:val="bottom"/>
            <w:hideMark/>
          </w:tcPr>
          <w:p w14:paraId="6C14953B"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6CADE66D" w14:textId="607DC995"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666DD650" w14:textId="77777777" w:rsidR="003A6DCE" w:rsidRPr="00853F57" w:rsidRDefault="003A6DCE" w:rsidP="00A0446F">
            <w:pPr>
              <w:jc w:val="center"/>
              <w:rPr>
                <w:rFonts w:ascii="Arial" w:hAnsi="Arial" w:cs="Arial"/>
                <w:color w:val="000000" w:themeColor="text1"/>
                <w:lang w:val="en-GB"/>
              </w:rPr>
            </w:pPr>
          </w:p>
        </w:tc>
      </w:tr>
      <w:tr w:rsidR="003A6DCE" w:rsidRPr="00853F57" w14:paraId="1B686800" w14:textId="77777777" w:rsidTr="003A6DCE">
        <w:trPr>
          <w:trHeight w:val="177"/>
          <w:tblHeader/>
          <w:jc w:val="center"/>
        </w:trPr>
        <w:tc>
          <w:tcPr>
            <w:tcW w:w="0" w:type="auto"/>
            <w:shd w:val="clear" w:color="auto" w:fill="auto"/>
            <w:noWrap/>
            <w:hideMark/>
          </w:tcPr>
          <w:p w14:paraId="50BE2D62" w14:textId="0CD26591" w:rsidR="003A6DCE" w:rsidRPr="00853F57" w:rsidRDefault="003A6DCE" w:rsidP="00A0446F">
            <w:pPr>
              <w:jc w:val="center"/>
              <w:rPr>
                <w:rFonts w:ascii="Arial" w:hAnsi="Arial" w:cs="Arial"/>
                <w:color w:val="000000" w:themeColor="text1"/>
                <w:lang w:val="en-GB"/>
              </w:rPr>
            </w:pPr>
            <w:r w:rsidRPr="00771591">
              <w:rPr>
                <w:rFonts w:ascii="Arial" w:hAnsi="Arial" w:cs="Arial"/>
              </w:rPr>
              <w:t>August 31, 2017</w:t>
            </w:r>
          </w:p>
        </w:tc>
        <w:tc>
          <w:tcPr>
            <w:tcW w:w="0" w:type="auto"/>
            <w:shd w:val="clear" w:color="auto" w:fill="auto"/>
            <w:noWrap/>
            <w:vAlign w:val="bottom"/>
            <w:hideMark/>
          </w:tcPr>
          <w:p w14:paraId="2ADFDC00" w14:textId="7E8F1E19"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7,958.57 </w:t>
            </w:r>
          </w:p>
        </w:tc>
        <w:tc>
          <w:tcPr>
            <w:tcW w:w="0" w:type="auto"/>
            <w:shd w:val="clear" w:color="auto" w:fill="auto"/>
            <w:noWrap/>
            <w:vAlign w:val="bottom"/>
            <w:hideMark/>
          </w:tcPr>
          <w:p w14:paraId="6907A5D8" w14:textId="5382AEA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12.24 </w:t>
            </w:r>
          </w:p>
        </w:tc>
        <w:tc>
          <w:tcPr>
            <w:tcW w:w="1833" w:type="dxa"/>
            <w:shd w:val="clear" w:color="auto" w:fill="auto"/>
            <w:noWrap/>
            <w:vAlign w:val="bottom"/>
            <w:hideMark/>
          </w:tcPr>
          <w:p w14:paraId="68F4FE5E"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19CF4A39" w14:textId="4AE576B1"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405F19AA" w14:textId="77777777" w:rsidR="003A6DCE" w:rsidRPr="00853F57" w:rsidRDefault="003A6DCE" w:rsidP="00A0446F">
            <w:pPr>
              <w:jc w:val="center"/>
              <w:rPr>
                <w:rFonts w:ascii="Arial" w:hAnsi="Arial" w:cs="Arial"/>
                <w:color w:val="000000" w:themeColor="text1"/>
                <w:lang w:val="en-GB"/>
              </w:rPr>
            </w:pPr>
          </w:p>
        </w:tc>
      </w:tr>
      <w:tr w:rsidR="003A6DCE" w:rsidRPr="00853F57" w14:paraId="643F7643" w14:textId="77777777" w:rsidTr="003A6DCE">
        <w:trPr>
          <w:trHeight w:val="177"/>
          <w:tblHeader/>
          <w:jc w:val="center"/>
        </w:trPr>
        <w:tc>
          <w:tcPr>
            <w:tcW w:w="0" w:type="auto"/>
            <w:shd w:val="clear" w:color="auto" w:fill="auto"/>
            <w:noWrap/>
            <w:hideMark/>
          </w:tcPr>
          <w:p w14:paraId="0F6A884B" w14:textId="57730306" w:rsidR="003A6DCE" w:rsidRPr="00853F57" w:rsidRDefault="003A6DCE" w:rsidP="00A0446F">
            <w:pPr>
              <w:jc w:val="center"/>
              <w:rPr>
                <w:rFonts w:ascii="Arial" w:hAnsi="Arial" w:cs="Arial"/>
                <w:color w:val="000000" w:themeColor="text1"/>
                <w:lang w:val="en-GB"/>
              </w:rPr>
            </w:pPr>
            <w:r w:rsidRPr="00771591">
              <w:rPr>
                <w:rFonts w:ascii="Arial" w:hAnsi="Arial" w:cs="Arial"/>
              </w:rPr>
              <w:t>September 30, 2017</w:t>
            </w:r>
          </w:p>
        </w:tc>
        <w:tc>
          <w:tcPr>
            <w:tcW w:w="0" w:type="auto"/>
            <w:shd w:val="clear" w:color="auto" w:fill="auto"/>
            <w:noWrap/>
            <w:vAlign w:val="bottom"/>
            <w:hideMark/>
          </w:tcPr>
          <w:p w14:paraId="04FB52E2" w14:textId="7247EC85"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8,171.43 </w:t>
            </w:r>
          </w:p>
        </w:tc>
        <w:tc>
          <w:tcPr>
            <w:tcW w:w="0" w:type="auto"/>
            <w:shd w:val="clear" w:color="auto" w:fill="auto"/>
            <w:noWrap/>
            <w:vAlign w:val="bottom"/>
            <w:hideMark/>
          </w:tcPr>
          <w:p w14:paraId="38A74CF8" w14:textId="4C49A75F"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12.42 </w:t>
            </w:r>
          </w:p>
        </w:tc>
        <w:tc>
          <w:tcPr>
            <w:tcW w:w="1833" w:type="dxa"/>
            <w:shd w:val="clear" w:color="auto" w:fill="auto"/>
            <w:noWrap/>
            <w:vAlign w:val="bottom"/>
            <w:hideMark/>
          </w:tcPr>
          <w:p w14:paraId="17A10F67"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18D88DF4" w14:textId="10410441"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46CA9192" w14:textId="77777777" w:rsidR="003A6DCE" w:rsidRPr="00853F57" w:rsidRDefault="003A6DCE" w:rsidP="00A0446F">
            <w:pPr>
              <w:jc w:val="center"/>
              <w:rPr>
                <w:rFonts w:ascii="Arial" w:hAnsi="Arial" w:cs="Arial"/>
                <w:color w:val="000000" w:themeColor="text1"/>
                <w:lang w:val="en-GB"/>
              </w:rPr>
            </w:pPr>
          </w:p>
        </w:tc>
      </w:tr>
      <w:tr w:rsidR="003A6DCE" w:rsidRPr="00853F57" w14:paraId="5C101E7B" w14:textId="77777777" w:rsidTr="003A6DCE">
        <w:trPr>
          <w:trHeight w:val="177"/>
          <w:tblHeader/>
          <w:jc w:val="center"/>
        </w:trPr>
        <w:tc>
          <w:tcPr>
            <w:tcW w:w="0" w:type="auto"/>
            <w:shd w:val="clear" w:color="auto" w:fill="auto"/>
            <w:noWrap/>
            <w:hideMark/>
          </w:tcPr>
          <w:p w14:paraId="71A8DB94" w14:textId="40A6C77F" w:rsidR="003A6DCE" w:rsidRPr="00853F57" w:rsidRDefault="003A6DCE" w:rsidP="00A0446F">
            <w:pPr>
              <w:jc w:val="center"/>
              <w:rPr>
                <w:rFonts w:ascii="Arial" w:hAnsi="Arial" w:cs="Arial"/>
                <w:color w:val="000000" w:themeColor="text1"/>
                <w:lang w:val="en-GB"/>
              </w:rPr>
            </w:pPr>
            <w:r w:rsidRPr="00771591">
              <w:rPr>
                <w:rFonts w:ascii="Arial" w:hAnsi="Arial" w:cs="Arial"/>
              </w:rPr>
              <w:t>October 31, 2017</w:t>
            </w:r>
          </w:p>
        </w:tc>
        <w:tc>
          <w:tcPr>
            <w:tcW w:w="0" w:type="auto"/>
            <w:shd w:val="clear" w:color="auto" w:fill="auto"/>
            <w:noWrap/>
            <w:vAlign w:val="bottom"/>
            <w:hideMark/>
          </w:tcPr>
          <w:p w14:paraId="75FCA48A" w14:textId="594020C3"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8,365.26 </w:t>
            </w:r>
          </w:p>
        </w:tc>
        <w:tc>
          <w:tcPr>
            <w:tcW w:w="0" w:type="auto"/>
            <w:shd w:val="clear" w:color="auto" w:fill="auto"/>
            <w:noWrap/>
            <w:vAlign w:val="bottom"/>
            <w:hideMark/>
          </w:tcPr>
          <w:p w14:paraId="784131FF" w14:textId="0C35B993"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12.00 </w:t>
            </w:r>
          </w:p>
        </w:tc>
        <w:tc>
          <w:tcPr>
            <w:tcW w:w="1833" w:type="dxa"/>
            <w:shd w:val="clear" w:color="auto" w:fill="auto"/>
            <w:noWrap/>
            <w:vAlign w:val="bottom"/>
            <w:hideMark/>
          </w:tcPr>
          <w:p w14:paraId="3341D42E"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7F75B4E9" w14:textId="073F668C"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61AA446E" w14:textId="77777777" w:rsidR="003A6DCE" w:rsidRPr="00853F57" w:rsidRDefault="003A6DCE" w:rsidP="00A0446F">
            <w:pPr>
              <w:jc w:val="center"/>
              <w:rPr>
                <w:rFonts w:ascii="Arial" w:hAnsi="Arial" w:cs="Arial"/>
                <w:color w:val="000000" w:themeColor="text1"/>
                <w:lang w:val="en-GB"/>
              </w:rPr>
            </w:pPr>
          </w:p>
        </w:tc>
      </w:tr>
      <w:tr w:rsidR="003A6DCE" w:rsidRPr="00853F57" w14:paraId="2438E976" w14:textId="77777777" w:rsidTr="003A6DCE">
        <w:trPr>
          <w:trHeight w:val="177"/>
          <w:tblHeader/>
          <w:jc w:val="center"/>
        </w:trPr>
        <w:tc>
          <w:tcPr>
            <w:tcW w:w="0" w:type="auto"/>
            <w:shd w:val="clear" w:color="auto" w:fill="auto"/>
            <w:noWrap/>
            <w:hideMark/>
          </w:tcPr>
          <w:p w14:paraId="716E2B73" w14:textId="041D02FD" w:rsidR="003A6DCE" w:rsidRPr="00853F57" w:rsidRDefault="003A6DCE" w:rsidP="00A0446F">
            <w:pPr>
              <w:jc w:val="center"/>
              <w:rPr>
                <w:rFonts w:ascii="Arial" w:hAnsi="Arial" w:cs="Arial"/>
                <w:color w:val="000000" w:themeColor="text1"/>
                <w:lang w:val="en-GB"/>
              </w:rPr>
            </w:pPr>
            <w:r w:rsidRPr="00771591">
              <w:rPr>
                <w:rFonts w:ascii="Arial" w:hAnsi="Arial" w:cs="Arial"/>
              </w:rPr>
              <w:t>November 30, 2017</w:t>
            </w:r>
          </w:p>
        </w:tc>
        <w:tc>
          <w:tcPr>
            <w:tcW w:w="0" w:type="auto"/>
            <w:shd w:val="clear" w:color="auto" w:fill="auto"/>
            <w:noWrap/>
            <w:vAlign w:val="bottom"/>
            <w:hideMark/>
          </w:tcPr>
          <w:p w14:paraId="2A85C1A8" w14:textId="68085B6E"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8,254.03 </w:t>
            </w:r>
          </w:p>
        </w:tc>
        <w:tc>
          <w:tcPr>
            <w:tcW w:w="0" w:type="auto"/>
            <w:shd w:val="clear" w:color="auto" w:fill="auto"/>
            <w:noWrap/>
            <w:vAlign w:val="bottom"/>
            <w:hideMark/>
          </w:tcPr>
          <w:p w14:paraId="68630CA4" w14:textId="23A87BA8"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11.60 </w:t>
            </w:r>
          </w:p>
        </w:tc>
        <w:tc>
          <w:tcPr>
            <w:tcW w:w="1833" w:type="dxa"/>
            <w:shd w:val="clear" w:color="auto" w:fill="auto"/>
            <w:noWrap/>
            <w:vAlign w:val="bottom"/>
            <w:hideMark/>
          </w:tcPr>
          <w:p w14:paraId="12441FDC"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5A870819" w14:textId="0EFFC3C3"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94E845F" w14:textId="77777777" w:rsidR="003A6DCE" w:rsidRPr="00853F57" w:rsidRDefault="003A6DCE" w:rsidP="00A0446F">
            <w:pPr>
              <w:jc w:val="center"/>
              <w:rPr>
                <w:rFonts w:ascii="Arial" w:hAnsi="Arial" w:cs="Arial"/>
                <w:color w:val="000000" w:themeColor="text1"/>
                <w:lang w:val="en-GB"/>
              </w:rPr>
            </w:pPr>
          </w:p>
        </w:tc>
      </w:tr>
      <w:tr w:rsidR="003A6DCE" w:rsidRPr="00853F57" w14:paraId="0EA225C8" w14:textId="77777777" w:rsidTr="003A6DCE">
        <w:trPr>
          <w:trHeight w:val="185"/>
          <w:tblHeader/>
          <w:jc w:val="center"/>
        </w:trPr>
        <w:tc>
          <w:tcPr>
            <w:tcW w:w="0" w:type="auto"/>
            <w:shd w:val="clear" w:color="auto" w:fill="auto"/>
            <w:noWrap/>
            <w:hideMark/>
          </w:tcPr>
          <w:p w14:paraId="36610924" w14:textId="119C96B4" w:rsidR="003A6DCE" w:rsidRPr="00853F57" w:rsidRDefault="003A6DCE" w:rsidP="00A0446F">
            <w:pPr>
              <w:jc w:val="center"/>
              <w:rPr>
                <w:rFonts w:ascii="Arial" w:hAnsi="Arial" w:cs="Arial"/>
                <w:color w:val="000000" w:themeColor="text1"/>
                <w:lang w:val="en-GB"/>
              </w:rPr>
            </w:pPr>
            <w:r w:rsidRPr="00771591">
              <w:rPr>
                <w:rFonts w:ascii="Arial" w:hAnsi="Arial" w:cs="Arial"/>
              </w:rPr>
              <w:t>December 31, 2017</w:t>
            </w:r>
          </w:p>
        </w:tc>
        <w:tc>
          <w:tcPr>
            <w:tcW w:w="0" w:type="auto"/>
            <w:shd w:val="clear" w:color="auto" w:fill="auto"/>
            <w:noWrap/>
            <w:vAlign w:val="bottom"/>
            <w:hideMark/>
          </w:tcPr>
          <w:p w14:paraId="43A88989" w14:textId="3F4E337C"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8,558.42 </w:t>
            </w:r>
          </w:p>
        </w:tc>
        <w:tc>
          <w:tcPr>
            <w:tcW w:w="0" w:type="auto"/>
            <w:shd w:val="clear" w:color="auto" w:fill="auto"/>
            <w:noWrap/>
            <w:vAlign w:val="bottom"/>
            <w:hideMark/>
          </w:tcPr>
          <w:p w14:paraId="33B13658" w14:textId="3619E973"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10.78 </w:t>
            </w:r>
          </w:p>
        </w:tc>
        <w:tc>
          <w:tcPr>
            <w:tcW w:w="1833" w:type="dxa"/>
            <w:shd w:val="clear" w:color="auto" w:fill="auto"/>
            <w:noWrap/>
            <w:vAlign w:val="bottom"/>
            <w:hideMark/>
          </w:tcPr>
          <w:p w14:paraId="0593E667"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15FAA73B" w14:textId="4B2834D2"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4BEE438C" w14:textId="77777777" w:rsidR="003A6DCE" w:rsidRPr="00853F57" w:rsidRDefault="003A6DCE" w:rsidP="00A0446F">
            <w:pPr>
              <w:jc w:val="center"/>
              <w:rPr>
                <w:rFonts w:ascii="Arial" w:hAnsi="Arial" w:cs="Arial"/>
                <w:color w:val="000000" w:themeColor="text1"/>
                <w:lang w:val="en-GB"/>
              </w:rPr>
            </w:pPr>
          </w:p>
        </w:tc>
      </w:tr>
      <w:tr w:rsidR="003A6DCE" w:rsidRPr="00853F57" w14:paraId="6143E3C8" w14:textId="77777777" w:rsidTr="003A6DCE">
        <w:trPr>
          <w:trHeight w:val="177"/>
          <w:tblHeader/>
          <w:jc w:val="center"/>
        </w:trPr>
        <w:tc>
          <w:tcPr>
            <w:tcW w:w="0" w:type="auto"/>
            <w:shd w:val="clear" w:color="auto" w:fill="auto"/>
            <w:noWrap/>
            <w:hideMark/>
          </w:tcPr>
          <w:p w14:paraId="7D902DEA" w14:textId="1B1DAC9B" w:rsidR="003A6DCE" w:rsidRPr="00853F57" w:rsidRDefault="003A6DCE" w:rsidP="00A0446F">
            <w:pPr>
              <w:jc w:val="center"/>
              <w:rPr>
                <w:rFonts w:ascii="Arial" w:hAnsi="Arial" w:cs="Arial"/>
                <w:color w:val="000000" w:themeColor="text1"/>
                <w:lang w:val="en-GB"/>
              </w:rPr>
            </w:pPr>
            <w:r w:rsidRPr="00771591">
              <w:rPr>
                <w:rFonts w:ascii="Arial" w:hAnsi="Arial" w:cs="Arial"/>
              </w:rPr>
              <w:t>January 31, 2018</w:t>
            </w:r>
          </w:p>
        </w:tc>
        <w:tc>
          <w:tcPr>
            <w:tcW w:w="0" w:type="auto"/>
            <w:shd w:val="clear" w:color="auto" w:fill="auto"/>
            <w:noWrap/>
            <w:vAlign w:val="bottom"/>
            <w:hideMark/>
          </w:tcPr>
          <w:p w14:paraId="1F3E560F" w14:textId="5C738941"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8,764.01 </w:t>
            </w:r>
          </w:p>
        </w:tc>
        <w:tc>
          <w:tcPr>
            <w:tcW w:w="0" w:type="auto"/>
            <w:shd w:val="clear" w:color="auto" w:fill="auto"/>
            <w:noWrap/>
            <w:vAlign w:val="bottom"/>
            <w:hideMark/>
          </w:tcPr>
          <w:p w14:paraId="35782E3A" w14:textId="57655F6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10.50 </w:t>
            </w:r>
          </w:p>
        </w:tc>
        <w:tc>
          <w:tcPr>
            <w:tcW w:w="1833" w:type="dxa"/>
            <w:shd w:val="clear" w:color="auto" w:fill="auto"/>
            <w:noWrap/>
            <w:vAlign w:val="bottom"/>
            <w:hideMark/>
          </w:tcPr>
          <w:p w14:paraId="2D3E0BE5"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405B10EE" w14:textId="094CB8AF"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0A551E8" w14:textId="77777777" w:rsidR="003A6DCE" w:rsidRPr="00853F57" w:rsidRDefault="003A6DCE" w:rsidP="00A0446F">
            <w:pPr>
              <w:jc w:val="center"/>
              <w:rPr>
                <w:rFonts w:ascii="Arial" w:hAnsi="Arial" w:cs="Arial"/>
                <w:color w:val="000000" w:themeColor="text1"/>
                <w:lang w:val="en-GB"/>
              </w:rPr>
            </w:pPr>
          </w:p>
        </w:tc>
      </w:tr>
      <w:tr w:rsidR="003A6DCE" w:rsidRPr="00853F57" w14:paraId="3AE27EB1" w14:textId="77777777" w:rsidTr="003A6DCE">
        <w:trPr>
          <w:trHeight w:val="177"/>
          <w:tblHeader/>
          <w:jc w:val="center"/>
        </w:trPr>
        <w:tc>
          <w:tcPr>
            <w:tcW w:w="0" w:type="auto"/>
            <w:shd w:val="clear" w:color="auto" w:fill="auto"/>
            <w:noWrap/>
            <w:hideMark/>
          </w:tcPr>
          <w:p w14:paraId="048659D6" w14:textId="6708BAC4" w:rsidR="003A6DCE" w:rsidRPr="00853F57" w:rsidRDefault="003A6DCE" w:rsidP="00A0446F">
            <w:pPr>
              <w:jc w:val="center"/>
              <w:rPr>
                <w:rFonts w:ascii="Arial" w:hAnsi="Arial" w:cs="Arial"/>
                <w:color w:val="000000" w:themeColor="text1"/>
                <w:lang w:val="en-GB"/>
              </w:rPr>
            </w:pPr>
            <w:r w:rsidRPr="00771591">
              <w:rPr>
                <w:rFonts w:ascii="Arial" w:hAnsi="Arial" w:cs="Arial"/>
              </w:rPr>
              <w:t>February 28, 2018</w:t>
            </w:r>
          </w:p>
        </w:tc>
        <w:tc>
          <w:tcPr>
            <w:tcW w:w="0" w:type="auto"/>
            <w:shd w:val="clear" w:color="auto" w:fill="auto"/>
            <w:noWrap/>
            <w:vAlign w:val="bottom"/>
            <w:hideMark/>
          </w:tcPr>
          <w:p w14:paraId="31310E15" w14:textId="54F1E9B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8,475.29 </w:t>
            </w:r>
          </w:p>
        </w:tc>
        <w:tc>
          <w:tcPr>
            <w:tcW w:w="0" w:type="auto"/>
            <w:shd w:val="clear" w:color="auto" w:fill="auto"/>
            <w:noWrap/>
            <w:vAlign w:val="bottom"/>
            <w:hideMark/>
          </w:tcPr>
          <w:p w14:paraId="41F5FCF7" w14:textId="5F9EE1C6"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9.90 </w:t>
            </w:r>
          </w:p>
        </w:tc>
        <w:tc>
          <w:tcPr>
            <w:tcW w:w="1833" w:type="dxa"/>
            <w:shd w:val="clear" w:color="auto" w:fill="auto"/>
            <w:noWrap/>
            <w:vAlign w:val="bottom"/>
            <w:hideMark/>
          </w:tcPr>
          <w:p w14:paraId="4E7BBDD8"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7C2EF4A3" w14:textId="79164E26"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306C0402" w14:textId="77777777" w:rsidR="003A6DCE" w:rsidRPr="00853F57" w:rsidRDefault="003A6DCE" w:rsidP="00A0446F">
            <w:pPr>
              <w:jc w:val="center"/>
              <w:rPr>
                <w:rFonts w:ascii="Arial" w:hAnsi="Arial" w:cs="Arial"/>
                <w:color w:val="000000" w:themeColor="text1"/>
                <w:lang w:val="en-GB"/>
              </w:rPr>
            </w:pPr>
          </w:p>
        </w:tc>
      </w:tr>
      <w:tr w:rsidR="003A6DCE" w:rsidRPr="00853F57" w14:paraId="7EF8FEC9" w14:textId="77777777" w:rsidTr="003A6DCE">
        <w:trPr>
          <w:trHeight w:val="177"/>
          <w:tblHeader/>
          <w:jc w:val="center"/>
        </w:trPr>
        <w:tc>
          <w:tcPr>
            <w:tcW w:w="0" w:type="auto"/>
            <w:shd w:val="clear" w:color="auto" w:fill="auto"/>
            <w:noWrap/>
            <w:hideMark/>
          </w:tcPr>
          <w:p w14:paraId="1E232E76" w14:textId="6D4844CA" w:rsidR="003A6DCE" w:rsidRPr="00853F57" w:rsidRDefault="003A6DCE" w:rsidP="00A0446F">
            <w:pPr>
              <w:jc w:val="center"/>
              <w:rPr>
                <w:rFonts w:ascii="Arial" w:hAnsi="Arial" w:cs="Arial"/>
                <w:color w:val="000000" w:themeColor="text1"/>
                <w:lang w:val="en-GB"/>
              </w:rPr>
            </w:pPr>
            <w:r w:rsidRPr="00771591">
              <w:rPr>
                <w:rFonts w:ascii="Arial" w:hAnsi="Arial" w:cs="Arial"/>
              </w:rPr>
              <w:t>March 31, 2018</w:t>
            </w:r>
          </w:p>
        </w:tc>
        <w:tc>
          <w:tcPr>
            <w:tcW w:w="0" w:type="auto"/>
            <w:shd w:val="clear" w:color="auto" w:fill="auto"/>
            <w:noWrap/>
            <w:vAlign w:val="bottom"/>
            <w:hideMark/>
          </w:tcPr>
          <w:p w14:paraId="46BA1665" w14:textId="0883EDC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7,979.83 </w:t>
            </w:r>
          </w:p>
        </w:tc>
        <w:tc>
          <w:tcPr>
            <w:tcW w:w="0" w:type="auto"/>
            <w:shd w:val="clear" w:color="auto" w:fill="auto"/>
            <w:noWrap/>
            <w:vAlign w:val="bottom"/>
            <w:hideMark/>
          </w:tcPr>
          <w:p w14:paraId="6BF9FD00" w14:textId="484495AC"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9.60 </w:t>
            </w:r>
          </w:p>
        </w:tc>
        <w:tc>
          <w:tcPr>
            <w:tcW w:w="1833" w:type="dxa"/>
            <w:shd w:val="clear" w:color="auto" w:fill="auto"/>
            <w:noWrap/>
            <w:vAlign w:val="bottom"/>
            <w:hideMark/>
          </w:tcPr>
          <w:p w14:paraId="759C501E"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8BA96E6" w14:textId="7334C848"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793B9CBD" w14:textId="77777777" w:rsidR="003A6DCE" w:rsidRPr="00853F57" w:rsidRDefault="003A6DCE" w:rsidP="00A0446F">
            <w:pPr>
              <w:jc w:val="center"/>
              <w:rPr>
                <w:rFonts w:ascii="Arial" w:hAnsi="Arial" w:cs="Arial"/>
                <w:color w:val="000000" w:themeColor="text1"/>
                <w:lang w:val="en-GB"/>
              </w:rPr>
            </w:pPr>
          </w:p>
        </w:tc>
      </w:tr>
      <w:tr w:rsidR="003A6DCE" w:rsidRPr="00853F57" w14:paraId="3659B99E" w14:textId="77777777" w:rsidTr="003A6DCE">
        <w:trPr>
          <w:trHeight w:val="177"/>
          <w:tblHeader/>
          <w:jc w:val="center"/>
        </w:trPr>
        <w:tc>
          <w:tcPr>
            <w:tcW w:w="0" w:type="auto"/>
            <w:shd w:val="clear" w:color="auto" w:fill="auto"/>
            <w:noWrap/>
            <w:hideMark/>
          </w:tcPr>
          <w:p w14:paraId="3153563D" w14:textId="0A2EC6CC" w:rsidR="003A6DCE" w:rsidRPr="00853F57" w:rsidRDefault="003A6DCE" w:rsidP="00A0446F">
            <w:pPr>
              <w:jc w:val="center"/>
              <w:rPr>
                <w:rFonts w:ascii="Arial" w:hAnsi="Arial" w:cs="Arial"/>
                <w:color w:val="000000" w:themeColor="text1"/>
                <w:lang w:val="en-GB"/>
              </w:rPr>
            </w:pPr>
            <w:r w:rsidRPr="00771591">
              <w:rPr>
                <w:rFonts w:ascii="Arial" w:hAnsi="Arial" w:cs="Arial"/>
              </w:rPr>
              <w:t>April 30, 2018</w:t>
            </w:r>
          </w:p>
        </w:tc>
        <w:tc>
          <w:tcPr>
            <w:tcW w:w="0" w:type="auto"/>
            <w:shd w:val="clear" w:color="auto" w:fill="auto"/>
            <w:noWrap/>
            <w:vAlign w:val="bottom"/>
            <w:hideMark/>
          </w:tcPr>
          <w:p w14:paraId="65202751" w14:textId="3F8D3562"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7,819.25 </w:t>
            </w:r>
          </w:p>
        </w:tc>
        <w:tc>
          <w:tcPr>
            <w:tcW w:w="0" w:type="auto"/>
            <w:shd w:val="clear" w:color="auto" w:fill="auto"/>
            <w:noWrap/>
            <w:vAlign w:val="bottom"/>
            <w:hideMark/>
          </w:tcPr>
          <w:p w14:paraId="1D91415E" w14:textId="2745D010" w:rsidR="003A6DCE" w:rsidRPr="00853F57" w:rsidRDefault="003A6DCE" w:rsidP="00A0446F">
            <w:pPr>
              <w:jc w:val="center"/>
              <w:rPr>
                <w:rFonts w:ascii="Arial" w:hAnsi="Arial" w:cs="Arial"/>
                <w:color w:val="000000" w:themeColor="text1"/>
                <w:lang w:val="en-GB"/>
              </w:rPr>
            </w:pPr>
            <w:r w:rsidRPr="00853F57">
              <w:rPr>
                <w:rFonts w:ascii="Arial" w:hAnsi="Arial" w:cs="Arial"/>
                <w:color w:val="000000" w:themeColor="text1"/>
                <w:lang w:val="en-GB"/>
              </w:rPr>
              <w:t xml:space="preserve">  9.29 </w:t>
            </w:r>
          </w:p>
        </w:tc>
        <w:tc>
          <w:tcPr>
            <w:tcW w:w="1833" w:type="dxa"/>
            <w:shd w:val="clear" w:color="auto" w:fill="auto"/>
            <w:noWrap/>
            <w:vAlign w:val="bottom"/>
            <w:hideMark/>
          </w:tcPr>
          <w:p w14:paraId="6467EFA2" w14:textId="77777777"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026118DC" w14:textId="1CF3FAB2" w:rsidR="003A6DCE" w:rsidRPr="00853F57" w:rsidRDefault="003A6DCE" w:rsidP="00A0446F">
            <w:pPr>
              <w:jc w:val="center"/>
              <w:rPr>
                <w:rFonts w:ascii="Arial" w:hAnsi="Arial" w:cs="Arial"/>
                <w:color w:val="000000" w:themeColor="text1"/>
                <w:lang w:val="en-GB"/>
              </w:rPr>
            </w:pPr>
          </w:p>
        </w:tc>
        <w:tc>
          <w:tcPr>
            <w:tcW w:w="0" w:type="auto"/>
            <w:shd w:val="clear" w:color="auto" w:fill="auto"/>
            <w:noWrap/>
            <w:vAlign w:val="bottom"/>
            <w:hideMark/>
          </w:tcPr>
          <w:p w14:paraId="62035ED3" w14:textId="77777777" w:rsidR="003A6DCE" w:rsidRPr="00853F57" w:rsidRDefault="003A6DCE" w:rsidP="00A0446F">
            <w:pPr>
              <w:jc w:val="center"/>
              <w:rPr>
                <w:rFonts w:ascii="Arial" w:hAnsi="Arial" w:cs="Arial"/>
                <w:color w:val="000000" w:themeColor="text1"/>
                <w:lang w:val="en-GB"/>
              </w:rPr>
            </w:pPr>
          </w:p>
        </w:tc>
      </w:tr>
    </w:tbl>
    <w:p w14:paraId="2B32C1A2" w14:textId="1FD15DC7" w:rsidR="00437109" w:rsidRPr="00853F57" w:rsidRDefault="00437109" w:rsidP="00437109">
      <w:pPr>
        <w:rPr>
          <w:rFonts w:ascii="Arial" w:hAnsi="Arial" w:cs="Arial"/>
          <w:color w:val="000000" w:themeColor="text1"/>
          <w:sz w:val="16"/>
          <w:szCs w:val="16"/>
          <w:lang w:val="en-GB"/>
        </w:rPr>
      </w:pPr>
    </w:p>
    <w:p w14:paraId="3E076AB8" w14:textId="45A2D2DC" w:rsidR="000B5B77" w:rsidRPr="00853F57" w:rsidRDefault="00645A5F" w:rsidP="007D3515">
      <w:pPr>
        <w:pStyle w:val="Footnote"/>
        <w:rPr>
          <w:sz w:val="16"/>
          <w:szCs w:val="16"/>
          <w:lang w:val="en-GB"/>
        </w:rPr>
      </w:pPr>
      <w:r w:rsidRPr="00853F57">
        <w:rPr>
          <w:sz w:val="16"/>
          <w:szCs w:val="16"/>
          <w:lang w:val="en-GB"/>
        </w:rPr>
        <w:t xml:space="preserve">Note: </w:t>
      </w:r>
      <w:proofErr w:type="spellStart"/>
      <w:r w:rsidRPr="00B06BC1">
        <w:rPr>
          <w:spacing w:val="-4"/>
          <w:sz w:val="16"/>
          <w:szCs w:val="16"/>
          <w:lang w:val="en-GB"/>
        </w:rPr>
        <w:t>PSEi</w:t>
      </w:r>
      <w:proofErr w:type="spellEnd"/>
      <w:r w:rsidRPr="00B06BC1">
        <w:rPr>
          <w:spacing w:val="-4"/>
          <w:sz w:val="16"/>
          <w:szCs w:val="16"/>
          <w:lang w:val="en-GB"/>
        </w:rPr>
        <w:t xml:space="preserve"> </w:t>
      </w:r>
      <w:r w:rsidR="00BD1896" w:rsidRPr="00B06BC1">
        <w:rPr>
          <w:spacing w:val="-4"/>
          <w:sz w:val="16"/>
          <w:szCs w:val="16"/>
          <w:lang w:val="en-GB"/>
        </w:rPr>
        <w:t>wa</w:t>
      </w:r>
      <w:r w:rsidRPr="00B06BC1">
        <w:rPr>
          <w:spacing w:val="-4"/>
          <w:sz w:val="16"/>
          <w:szCs w:val="16"/>
          <w:lang w:val="en-GB"/>
        </w:rPr>
        <w:t>s the Philippine Stock Exchange index</w:t>
      </w:r>
      <w:r w:rsidR="00BD1896" w:rsidRPr="00B06BC1">
        <w:rPr>
          <w:spacing w:val="-4"/>
          <w:sz w:val="16"/>
          <w:szCs w:val="16"/>
          <w:lang w:val="en-GB"/>
        </w:rPr>
        <w:t>,</w:t>
      </w:r>
      <w:r w:rsidR="000B5B77" w:rsidRPr="00B06BC1">
        <w:rPr>
          <w:spacing w:val="-4"/>
          <w:lang w:val="en-GB"/>
        </w:rPr>
        <w:t xml:space="preserve"> a </w:t>
      </w:r>
      <w:r w:rsidR="00A8380E" w:rsidRPr="00B06BC1">
        <w:rPr>
          <w:spacing w:val="-4"/>
          <w:lang w:val="en-GB"/>
        </w:rPr>
        <w:t>“</w:t>
      </w:r>
      <w:r w:rsidR="000B5B77" w:rsidRPr="00B06BC1">
        <w:rPr>
          <w:spacing w:val="-4"/>
          <w:lang w:val="en-GB"/>
        </w:rPr>
        <w:t xml:space="preserve">fixed basket of </w:t>
      </w:r>
      <w:r w:rsidR="00A8380E" w:rsidRPr="00B06BC1">
        <w:rPr>
          <w:spacing w:val="-4"/>
          <w:lang w:val="en-GB"/>
        </w:rPr>
        <w:t>thirty (</w:t>
      </w:r>
      <w:r w:rsidR="000B5B77" w:rsidRPr="00B06BC1">
        <w:rPr>
          <w:spacing w:val="-4"/>
          <w:lang w:val="en-GB"/>
        </w:rPr>
        <w:t>30</w:t>
      </w:r>
      <w:r w:rsidR="00A8380E" w:rsidRPr="00B06BC1">
        <w:rPr>
          <w:spacing w:val="-4"/>
          <w:lang w:val="en-GB"/>
        </w:rPr>
        <w:t>)</w:t>
      </w:r>
      <w:r w:rsidR="000B5B77" w:rsidRPr="00B06BC1">
        <w:rPr>
          <w:spacing w:val="-4"/>
          <w:lang w:val="en-GB"/>
        </w:rPr>
        <w:t xml:space="preserve"> common stocks </w:t>
      </w:r>
      <w:r w:rsidR="00A8380E" w:rsidRPr="00B06BC1">
        <w:rPr>
          <w:spacing w:val="-4"/>
          <w:lang w:val="en-GB"/>
        </w:rPr>
        <w:t xml:space="preserve">of listed companies, </w:t>
      </w:r>
      <w:r w:rsidR="000B5B77" w:rsidRPr="00B06BC1">
        <w:rPr>
          <w:spacing w:val="-4"/>
          <w:lang w:val="en-GB"/>
        </w:rPr>
        <w:t>carefully selected to represent the general movement of the stock market.</w:t>
      </w:r>
      <w:r w:rsidR="00A8380E" w:rsidRPr="00B06BC1">
        <w:rPr>
          <w:spacing w:val="-4"/>
          <w:lang w:val="en-GB"/>
        </w:rPr>
        <w:t>”</w:t>
      </w:r>
      <w:r w:rsidR="000B5B77" w:rsidRPr="00B06BC1">
        <w:rPr>
          <w:spacing w:val="-4"/>
          <w:lang w:val="en-GB"/>
        </w:rPr>
        <w:t xml:space="preserve"> </w:t>
      </w:r>
      <w:r w:rsidR="00BD1896" w:rsidRPr="00B06BC1">
        <w:rPr>
          <w:spacing w:val="-4"/>
          <w:lang w:val="en-GB"/>
        </w:rPr>
        <w:t>“The PSE Composite Index (</w:t>
      </w:r>
      <w:proofErr w:type="spellStart"/>
      <w:r w:rsidR="00BD1896" w:rsidRPr="00B06BC1">
        <w:rPr>
          <w:spacing w:val="-4"/>
          <w:lang w:val="en-GB"/>
        </w:rPr>
        <w:t>PSEi</w:t>
      </w:r>
      <w:proofErr w:type="spellEnd"/>
      <w:r w:rsidR="00BD1896" w:rsidRPr="00B06BC1">
        <w:rPr>
          <w:spacing w:val="-4"/>
          <w:lang w:val="en-GB"/>
        </w:rPr>
        <w:t>),</w:t>
      </w:r>
      <w:r w:rsidR="00A8380E" w:rsidRPr="00B06BC1">
        <w:rPr>
          <w:spacing w:val="-4"/>
          <w:lang w:val="en-GB"/>
        </w:rPr>
        <w:t>”</w:t>
      </w:r>
      <w:r w:rsidR="00BD1896" w:rsidRPr="00B06BC1">
        <w:rPr>
          <w:spacing w:val="-4"/>
          <w:lang w:val="en-GB"/>
        </w:rPr>
        <w:t xml:space="preserve"> PSE Academy, </w:t>
      </w:r>
      <w:r w:rsidR="000B5B77" w:rsidRPr="00B06BC1">
        <w:rPr>
          <w:spacing w:val="-4"/>
          <w:lang w:val="en-GB"/>
        </w:rPr>
        <w:t>accessed August 19, 2019, www.pseacademy.com.ph/LM/investors~details/id-1317988210702/The_PSE_Composite_Index</w:t>
      </w:r>
      <w:r w:rsidR="00DF55A2" w:rsidRPr="00B06BC1">
        <w:rPr>
          <w:spacing w:val="-4"/>
          <w:lang w:val="en-GB"/>
        </w:rPr>
        <w:t xml:space="preserve"> </w:t>
      </w:r>
      <w:r w:rsidR="000B5B77" w:rsidRPr="00B06BC1">
        <w:rPr>
          <w:spacing w:val="-4"/>
          <w:lang w:val="en-GB"/>
        </w:rPr>
        <w:t>_PSEi.html</w:t>
      </w:r>
      <w:r w:rsidR="00BD1896" w:rsidRPr="00B06BC1">
        <w:rPr>
          <w:spacing w:val="-4"/>
          <w:lang w:val="en-GB"/>
        </w:rPr>
        <w:t>.</w:t>
      </w:r>
      <w:r w:rsidR="000B5B77" w:rsidRPr="00853F57">
        <w:rPr>
          <w:lang w:val="en-GB"/>
        </w:rPr>
        <w:t xml:space="preserve">  </w:t>
      </w:r>
    </w:p>
    <w:p w14:paraId="553B3885" w14:textId="6DFCC479" w:rsidR="00437109" w:rsidRPr="00853F57" w:rsidRDefault="00437109" w:rsidP="007D3515">
      <w:pPr>
        <w:pStyle w:val="Footnote"/>
        <w:rPr>
          <w:sz w:val="16"/>
          <w:szCs w:val="16"/>
          <w:lang w:val="en-GB"/>
        </w:rPr>
      </w:pPr>
      <w:r w:rsidRPr="00853F57">
        <w:rPr>
          <w:sz w:val="16"/>
          <w:szCs w:val="16"/>
          <w:lang w:val="en-GB"/>
        </w:rPr>
        <w:t xml:space="preserve">Source: </w:t>
      </w:r>
      <w:r w:rsidR="00043E59" w:rsidRPr="00853F57">
        <w:rPr>
          <w:sz w:val="16"/>
          <w:szCs w:val="16"/>
          <w:lang w:val="en-GB"/>
        </w:rPr>
        <w:t>“</w:t>
      </w:r>
      <w:r w:rsidRPr="00853F57">
        <w:rPr>
          <w:sz w:val="16"/>
          <w:szCs w:val="16"/>
          <w:lang w:val="en-GB"/>
        </w:rPr>
        <w:t>Holcim Philippines Stock Prices,</w:t>
      </w:r>
      <w:r w:rsidR="00A34B79" w:rsidRPr="00853F57">
        <w:rPr>
          <w:sz w:val="16"/>
          <w:szCs w:val="16"/>
          <w:lang w:val="en-GB"/>
        </w:rPr>
        <w:t>”</w:t>
      </w:r>
      <w:r w:rsidRPr="00853F57">
        <w:rPr>
          <w:sz w:val="16"/>
          <w:szCs w:val="16"/>
          <w:lang w:val="en-GB"/>
        </w:rPr>
        <w:t xml:space="preserve"> S&amp;P Capital IQ, accessed March 30, 2020. </w:t>
      </w:r>
    </w:p>
    <w:p w14:paraId="5BF429E5" w14:textId="77777777" w:rsidR="00437109" w:rsidRPr="00853F57" w:rsidRDefault="00437109" w:rsidP="00437109">
      <w:pPr>
        <w:rPr>
          <w:b/>
          <w:color w:val="000000" w:themeColor="text1"/>
          <w:lang w:val="en-GB"/>
        </w:rPr>
      </w:pPr>
    </w:p>
    <w:p w14:paraId="40F81F64" w14:textId="77777777" w:rsidR="00437109" w:rsidRPr="00853F57" w:rsidRDefault="00437109" w:rsidP="00437109">
      <w:pPr>
        <w:rPr>
          <w:b/>
          <w:color w:val="000000" w:themeColor="text1"/>
          <w:lang w:val="en-GB"/>
        </w:rPr>
      </w:pPr>
    </w:p>
    <w:p w14:paraId="09D91A12" w14:textId="7F958A81" w:rsidR="00437109" w:rsidRPr="00853F57" w:rsidRDefault="00437109" w:rsidP="00034CB9">
      <w:pPr>
        <w:keepNext/>
        <w:keepLines/>
        <w:jc w:val="center"/>
        <w:rPr>
          <w:rFonts w:ascii="Arial" w:hAnsi="Arial" w:cs="Arial"/>
          <w:b/>
          <w:caps/>
          <w:color w:val="000000" w:themeColor="text1"/>
          <w:lang w:val="en-GB"/>
        </w:rPr>
      </w:pPr>
      <w:r w:rsidRPr="00853F57">
        <w:rPr>
          <w:rFonts w:ascii="Arial" w:hAnsi="Arial" w:cs="Arial"/>
          <w:b/>
          <w:caps/>
          <w:color w:val="000000" w:themeColor="text1"/>
          <w:lang w:val="en-GB"/>
        </w:rPr>
        <w:lastRenderedPageBreak/>
        <w:t xml:space="preserve">Exhibit </w:t>
      </w:r>
      <w:r w:rsidR="00251D7E" w:rsidRPr="00853F57">
        <w:rPr>
          <w:rFonts w:ascii="Arial" w:hAnsi="Arial" w:cs="Arial"/>
          <w:b/>
          <w:caps/>
          <w:color w:val="000000" w:themeColor="text1"/>
          <w:lang w:val="en-GB"/>
        </w:rPr>
        <w:t>9</w:t>
      </w:r>
      <w:r w:rsidRPr="00853F57">
        <w:rPr>
          <w:rFonts w:ascii="Arial" w:hAnsi="Arial" w:cs="Arial"/>
          <w:b/>
          <w:caps/>
          <w:color w:val="000000" w:themeColor="text1"/>
          <w:lang w:val="en-GB"/>
        </w:rPr>
        <w:t>: Reference Rates of Philippine Government Securities</w:t>
      </w:r>
    </w:p>
    <w:p w14:paraId="68C9D6BD" w14:textId="77777777" w:rsidR="00437109" w:rsidRPr="00853F57" w:rsidRDefault="00437109" w:rsidP="00034CB9">
      <w:pPr>
        <w:keepNext/>
        <w:keepLines/>
        <w:jc w:val="center"/>
        <w:rPr>
          <w:rFonts w:ascii="Arial" w:hAnsi="Arial" w:cs="Arial"/>
          <w:b/>
          <w:caps/>
          <w:color w:val="000000" w:themeColor="text1"/>
          <w:lang w:val="en-GB"/>
        </w:rPr>
      </w:pPr>
    </w:p>
    <w:tbl>
      <w:tblPr>
        <w:tblStyle w:val="TableGrid"/>
        <w:tblW w:w="0" w:type="auto"/>
        <w:jc w:val="center"/>
        <w:tblCellMar>
          <w:top w:w="58" w:type="dxa"/>
          <w:bottom w:w="58" w:type="dxa"/>
        </w:tblCellMar>
        <w:tblLook w:val="04A0" w:firstRow="1" w:lastRow="0" w:firstColumn="1" w:lastColumn="0" w:noHBand="0" w:noVBand="1"/>
        <w:tblCaption w:val="Exhibit 9"/>
        <w:tblDescription w:val="Reference rates of Phillipine government securities"/>
      </w:tblPr>
      <w:tblGrid>
        <w:gridCol w:w="1435"/>
        <w:gridCol w:w="3240"/>
      </w:tblGrid>
      <w:tr w:rsidR="00437109" w:rsidRPr="00853F57" w14:paraId="161C403C" w14:textId="77777777" w:rsidTr="00002121">
        <w:trPr>
          <w:tblHeader/>
          <w:jc w:val="center"/>
        </w:trPr>
        <w:tc>
          <w:tcPr>
            <w:tcW w:w="1435" w:type="dxa"/>
          </w:tcPr>
          <w:p w14:paraId="22400553" w14:textId="77777777" w:rsidR="00437109" w:rsidRPr="00853F57" w:rsidRDefault="00437109" w:rsidP="00034CB9">
            <w:pPr>
              <w:keepNext/>
              <w:keepLines/>
              <w:jc w:val="center"/>
              <w:rPr>
                <w:rFonts w:ascii="Arial" w:hAnsi="Arial" w:cs="Arial"/>
                <w:b/>
                <w:color w:val="000000" w:themeColor="text1"/>
                <w:lang w:val="en-GB"/>
              </w:rPr>
            </w:pPr>
            <w:r w:rsidRPr="00853F57">
              <w:rPr>
                <w:rFonts w:ascii="Arial" w:hAnsi="Arial" w:cs="Arial"/>
                <w:b/>
                <w:color w:val="000000" w:themeColor="text1"/>
                <w:lang w:val="en-GB"/>
              </w:rPr>
              <w:t>Tenor</w:t>
            </w:r>
          </w:p>
        </w:tc>
        <w:tc>
          <w:tcPr>
            <w:tcW w:w="3240" w:type="dxa"/>
          </w:tcPr>
          <w:p w14:paraId="0D1913E0" w14:textId="624D1113" w:rsidR="00437109" w:rsidRPr="00853F57" w:rsidRDefault="00437109" w:rsidP="00034CB9">
            <w:pPr>
              <w:keepNext/>
              <w:keepLines/>
              <w:jc w:val="center"/>
              <w:rPr>
                <w:rFonts w:ascii="Arial" w:hAnsi="Arial" w:cs="Arial"/>
                <w:b/>
                <w:color w:val="000000" w:themeColor="text1"/>
                <w:lang w:val="en-GB"/>
              </w:rPr>
            </w:pPr>
            <w:r w:rsidRPr="00853F57">
              <w:rPr>
                <w:rFonts w:ascii="Arial" w:hAnsi="Arial" w:cs="Arial"/>
                <w:b/>
                <w:color w:val="000000" w:themeColor="text1"/>
                <w:lang w:val="en-GB"/>
              </w:rPr>
              <w:t>Reference Rate</w:t>
            </w:r>
            <w:r w:rsidR="000B5B77" w:rsidRPr="00853F57">
              <w:rPr>
                <w:rFonts w:ascii="Arial" w:hAnsi="Arial" w:cs="Arial"/>
                <w:b/>
                <w:color w:val="000000" w:themeColor="text1"/>
                <w:lang w:val="en-GB"/>
              </w:rPr>
              <w:t xml:space="preserve"> (%)</w:t>
            </w:r>
          </w:p>
        </w:tc>
      </w:tr>
      <w:tr w:rsidR="00437109" w:rsidRPr="00853F57" w14:paraId="24BF9E03" w14:textId="77777777" w:rsidTr="00002121">
        <w:trPr>
          <w:tblHeader/>
          <w:jc w:val="center"/>
        </w:trPr>
        <w:tc>
          <w:tcPr>
            <w:tcW w:w="1435" w:type="dxa"/>
          </w:tcPr>
          <w:p w14:paraId="54D8F8B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1M</w:t>
            </w:r>
          </w:p>
        </w:tc>
        <w:tc>
          <w:tcPr>
            <w:tcW w:w="3240" w:type="dxa"/>
          </w:tcPr>
          <w:p w14:paraId="22C96F4D"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3.389</w:t>
            </w:r>
          </w:p>
        </w:tc>
      </w:tr>
      <w:tr w:rsidR="00437109" w:rsidRPr="00853F57" w14:paraId="7E829A8B" w14:textId="77777777" w:rsidTr="00002121">
        <w:trPr>
          <w:tblHeader/>
          <w:jc w:val="center"/>
        </w:trPr>
        <w:tc>
          <w:tcPr>
            <w:tcW w:w="1435" w:type="dxa"/>
          </w:tcPr>
          <w:p w14:paraId="661DA60A"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3M</w:t>
            </w:r>
          </w:p>
        </w:tc>
        <w:tc>
          <w:tcPr>
            <w:tcW w:w="3240" w:type="dxa"/>
          </w:tcPr>
          <w:p w14:paraId="1A77BC6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3.439</w:t>
            </w:r>
          </w:p>
        </w:tc>
      </w:tr>
      <w:tr w:rsidR="00437109" w:rsidRPr="00853F57" w14:paraId="1D506F83" w14:textId="77777777" w:rsidTr="00002121">
        <w:trPr>
          <w:tblHeader/>
          <w:jc w:val="center"/>
        </w:trPr>
        <w:tc>
          <w:tcPr>
            <w:tcW w:w="1435" w:type="dxa"/>
          </w:tcPr>
          <w:p w14:paraId="736FC75F"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6M</w:t>
            </w:r>
          </w:p>
        </w:tc>
        <w:tc>
          <w:tcPr>
            <w:tcW w:w="3240" w:type="dxa"/>
          </w:tcPr>
          <w:p w14:paraId="2240718A"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3.649</w:t>
            </w:r>
          </w:p>
        </w:tc>
      </w:tr>
      <w:tr w:rsidR="00437109" w:rsidRPr="00853F57" w14:paraId="61510714" w14:textId="77777777" w:rsidTr="00002121">
        <w:trPr>
          <w:tblHeader/>
          <w:jc w:val="center"/>
        </w:trPr>
        <w:tc>
          <w:tcPr>
            <w:tcW w:w="1435" w:type="dxa"/>
          </w:tcPr>
          <w:p w14:paraId="31D2A6CB"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1Y</w:t>
            </w:r>
          </w:p>
        </w:tc>
        <w:tc>
          <w:tcPr>
            <w:tcW w:w="3240" w:type="dxa"/>
          </w:tcPr>
          <w:p w14:paraId="7955880B"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3.864</w:t>
            </w:r>
          </w:p>
        </w:tc>
      </w:tr>
      <w:tr w:rsidR="00437109" w:rsidRPr="00853F57" w14:paraId="6E91977B" w14:textId="77777777" w:rsidTr="00002121">
        <w:trPr>
          <w:tblHeader/>
          <w:jc w:val="center"/>
        </w:trPr>
        <w:tc>
          <w:tcPr>
            <w:tcW w:w="1435" w:type="dxa"/>
          </w:tcPr>
          <w:p w14:paraId="7C89787B"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2Y</w:t>
            </w:r>
          </w:p>
        </w:tc>
        <w:tc>
          <w:tcPr>
            <w:tcW w:w="3240" w:type="dxa"/>
          </w:tcPr>
          <w:p w14:paraId="40E00E4E"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3.958</w:t>
            </w:r>
          </w:p>
        </w:tc>
      </w:tr>
      <w:tr w:rsidR="00437109" w:rsidRPr="00853F57" w14:paraId="66B0ECB3" w14:textId="77777777" w:rsidTr="00002121">
        <w:trPr>
          <w:tblHeader/>
          <w:jc w:val="center"/>
        </w:trPr>
        <w:tc>
          <w:tcPr>
            <w:tcW w:w="1435" w:type="dxa"/>
          </w:tcPr>
          <w:p w14:paraId="626D3F05"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3Y</w:t>
            </w:r>
          </w:p>
        </w:tc>
        <w:tc>
          <w:tcPr>
            <w:tcW w:w="3240" w:type="dxa"/>
          </w:tcPr>
          <w:p w14:paraId="14178E0B"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4.112</w:t>
            </w:r>
          </w:p>
        </w:tc>
      </w:tr>
      <w:tr w:rsidR="00437109" w:rsidRPr="00853F57" w14:paraId="256BD977" w14:textId="77777777" w:rsidTr="00002121">
        <w:trPr>
          <w:tblHeader/>
          <w:jc w:val="center"/>
        </w:trPr>
        <w:tc>
          <w:tcPr>
            <w:tcW w:w="1435" w:type="dxa"/>
          </w:tcPr>
          <w:p w14:paraId="2C756B6A"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4Y</w:t>
            </w:r>
          </w:p>
        </w:tc>
        <w:tc>
          <w:tcPr>
            <w:tcW w:w="3240" w:type="dxa"/>
          </w:tcPr>
          <w:p w14:paraId="2FA699ED"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4.243</w:t>
            </w:r>
          </w:p>
        </w:tc>
      </w:tr>
      <w:tr w:rsidR="00437109" w:rsidRPr="00853F57" w14:paraId="0189F55A" w14:textId="77777777" w:rsidTr="00002121">
        <w:trPr>
          <w:tblHeader/>
          <w:jc w:val="center"/>
        </w:trPr>
        <w:tc>
          <w:tcPr>
            <w:tcW w:w="1435" w:type="dxa"/>
          </w:tcPr>
          <w:p w14:paraId="35825ED5"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5Y</w:t>
            </w:r>
          </w:p>
        </w:tc>
        <w:tc>
          <w:tcPr>
            <w:tcW w:w="3240" w:type="dxa"/>
          </w:tcPr>
          <w:p w14:paraId="657CD87C"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4.349</w:t>
            </w:r>
          </w:p>
        </w:tc>
      </w:tr>
      <w:tr w:rsidR="00437109" w:rsidRPr="00853F57" w14:paraId="07E198AC" w14:textId="77777777" w:rsidTr="00002121">
        <w:trPr>
          <w:tblHeader/>
          <w:jc w:val="center"/>
        </w:trPr>
        <w:tc>
          <w:tcPr>
            <w:tcW w:w="1435" w:type="dxa"/>
          </w:tcPr>
          <w:p w14:paraId="24962B2E"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7Y</w:t>
            </w:r>
          </w:p>
        </w:tc>
        <w:tc>
          <w:tcPr>
            <w:tcW w:w="3240" w:type="dxa"/>
          </w:tcPr>
          <w:p w14:paraId="3003410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4.487</w:t>
            </w:r>
          </w:p>
        </w:tc>
      </w:tr>
      <w:tr w:rsidR="00437109" w:rsidRPr="00853F57" w14:paraId="3AB8F976" w14:textId="77777777" w:rsidTr="00002121">
        <w:trPr>
          <w:tblHeader/>
          <w:jc w:val="center"/>
        </w:trPr>
        <w:tc>
          <w:tcPr>
            <w:tcW w:w="1435" w:type="dxa"/>
          </w:tcPr>
          <w:p w14:paraId="74AABD62"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10Y</w:t>
            </w:r>
          </w:p>
        </w:tc>
        <w:tc>
          <w:tcPr>
            <w:tcW w:w="3240" w:type="dxa"/>
          </w:tcPr>
          <w:p w14:paraId="5530585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4.556</w:t>
            </w:r>
          </w:p>
        </w:tc>
      </w:tr>
      <w:tr w:rsidR="00437109" w:rsidRPr="00853F57" w14:paraId="0B24B149" w14:textId="77777777" w:rsidTr="00002121">
        <w:trPr>
          <w:tblHeader/>
          <w:jc w:val="center"/>
        </w:trPr>
        <w:tc>
          <w:tcPr>
            <w:tcW w:w="1435" w:type="dxa"/>
          </w:tcPr>
          <w:p w14:paraId="6546FC2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20Y</w:t>
            </w:r>
          </w:p>
        </w:tc>
        <w:tc>
          <w:tcPr>
            <w:tcW w:w="3240" w:type="dxa"/>
          </w:tcPr>
          <w:p w14:paraId="6F437D24"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4.881</w:t>
            </w:r>
          </w:p>
        </w:tc>
      </w:tr>
      <w:tr w:rsidR="00437109" w:rsidRPr="00853F57" w14:paraId="38084489" w14:textId="77777777" w:rsidTr="00002121">
        <w:trPr>
          <w:tblHeader/>
          <w:jc w:val="center"/>
        </w:trPr>
        <w:tc>
          <w:tcPr>
            <w:tcW w:w="1435" w:type="dxa"/>
          </w:tcPr>
          <w:p w14:paraId="19B203E1"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25Y</w:t>
            </w:r>
          </w:p>
        </w:tc>
        <w:tc>
          <w:tcPr>
            <w:tcW w:w="3240" w:type="dxa"/>
          </w:tcPr>
          <w:p w14:paraId="5D4B97B8" w14:textId="77777777" w:rsidR="00437109" w:rsidRPr="00853F57" w:rsidRDefault="00437109" w:rsidP="00034CB9">
            <w:pPr>
              <w:keepNext/>
              <w:keepLines/>
              <w:jc w:val="center"/>
              <w:rPr>
                <w:rFonts w:ascii="Arial" w:hAnsi="Arial" w:cs="Arial"/>
                <w:color w:val="000000" w:themeColor="text1"/>
                <w:lang w:val="en-GB"/>
              </w:rPr>
            </w:pPr>
            <w:r w:rsidRPr="00853F57">
              <w:rPr>
                <w:rFonts w:ascii="Arial" w:hAnsi="Arial" w:cs="Arial"/>
                <w:color w:val="000000" w:themeColor="text1"/>
                <w:lang w:val="en-GB"/>
              </w:rPr>
              <w:t>4.876</w:t>
            </w:r>
          </w:p>
        </w:tc>
      </w:tr>
    </w:tbl>
    <w:p w14:paraId="303A1BAE" w14:textId="77777777" w:rsidR="00437109" w:rsidRPr="00853F57" w:rsidRDefault="00437109" w:rsidP="00034CB9">
      <w:pPr>
        <w:keepNext/>
        <w:keepLines/>
        <w:rPr>
          <w:rFonts w:ascii="Arial" w:hAnsi="Arial" w:cs="Arial"/>
          <w:color w:val="000000" w:themeColor="text1"/>
          <w:sz w:val="16"/>
          <w:szCs w:val="16"/>
          <w:lang w:val="en-GB"/>
        </w:rPr>
      </w:pPr>
    </w:p>
    <w:p w14:paraId="4044A8DE" w14:textId="77777777" w:rsidR="00437109" w:rsidRPr="00853F57" w:rsidRDefault="00437109" w:rsidP="00034CB9">
      <w:pPr>
        <w:keepNext/>
        <w:keepLines/>
        <w:rPr>
          <w:rFonts w:ascii="Arial" w:hAnsi="Arial" w:cs="Arial"/>
          <w:color w:val="000000" w:themeColor="text1"/>
          <w:sz w:val="16"/>
          <w:szCs w:val="16"/>
          <w:lang w:val="en-GB"/>
        </w:rPr>
      </w:pPr>
    </w:p>
    <w:p w14:paraId="105A4B2C" w14:textId="13D92CB1" w:rsidR="00771591" w:rsidRDefault="00771591" w:rsidP="00034CB9">
      <w:pPr>
        <w:keepNext/>
        <w:keepLines/>
        <w:rPr>
          <w:rFonts w:ascii="Arial" w:hAnsi="Arial" w:cs="Arial"/>
          <w:color w:val="000000" w:themeColor="text1"/>
          <w:sz w:val="16"/>
          <w:szCs w:val="16"/>
          <w:lang w:val="en-GB"/>
        </w:rPr>
      </w:pPr>
      <w:r>
        <w:rPr>
          <w:rFonts w:ascii="Arial" w:hAnsi="Arial" w:cs="Arial"/>
          <w:color w:val="000000" w:themeColor="text1"/>
          <w:sz w:val="16"/>
          <w:szCs w:val="16"/>
          <w:lang w:val="en-GB"/>
        </w:rPr>
        <w:t>Note: M = month; Y = year</w:t>
      </w:r>
    </w:p>
    <w:p w14:paraId="0EAAB0FF" w14:textId="3C4BB906" w:rsidR="00437109" w:rsidRPr="00853F57" w:rsidRDefault="00437109" w:rsidP="00DF55A2">
      <w:pPr>
        <w:pStyle w:val="Footnote"/>
        <w:rPr>
          <w:b/>
          <w:lang w:val="en-GB"/>
        </w:rPr>
      </w:pPr>
      <w:r w:rsidRPr="00853F57">
        <w:rPr>
          <w:lang w:val="en-GB"/>
        </w:rPr>
        <w:t xml:space="preserve">Source: </w:t>
      </w:r>
      <w:r w:rsidR="007809BF" w:rsidRPr="00853F57">
        <w:rPr>
          <w:lang w:val="en-GB"/>
        </w:rPr>
        <w:t xml:space="preserve">“PHP BVAL Reference Rates—Benchmark Tenors,” PDS Group, accessed July 26, 2020, </w:t>
      </w:r>
      <w:r w:rsidR="00A34B79" w:rsidRPr="00034CB9">
        <w:rPr>
          <w:lang w:val="en-GB"/>
        </w:rPr>
        <w:t>www.pds.com.ph</w:t>
      </w:r>
      <w:r w:rsidR="00A0446F">
        <w:rPr>
          <w:lang w:val="en-GB"/>
        </w:rPr>
        <w:t>.</w:t>
      </w:r>
      <w:r w:rsidRPr="00853F57">
        <w:rPr>
          <w:b/>
          <w:lang w:val="en-GB"/>
        </w:rPr>
        <w:br w:type="page"/>
      </w:r>
    </w:p>
    <w:p w14:paraId="4554CDF9" w14:textId="4005F266" w:rsidR="00437109" w:rsidRPr="00853F57" w:rsidRDefault="00437109" w:rsidP="00437109">
      <w:pPr>
        <w:pStyle w:val="ExhibitHeading"/>
        <w:rPr>
          <w:lang w:val="en-GB"/>
        </w:rPr>
      </w:pPr>
      <w:r w:rsidRPr="00853F57">
        <w:rPr>
          <w:lang w:val="en-GB"/>
        </w:rPr>
        <w:lastRenderedPageBreak/>
        <w:t xml:space="preserve">Exhibit </w:t>
      </w:r>
      <w:r w:rsidR="00251D7E" w:rsidRPr="00853F57">
        <w:rPr>
          <w:lang w:val="en-GB"/>
        </w:rPr>
        <w:t>10</w:t>
      </w:r>
      <w:r w:rsidRPr="00853F57">
        <w:rPr>
          <w:lang w:val="en-GB"/>
        </w:rPr>
        <w:t xml:space="preserve">: Selected Information and Financial Ratios of Comparable Companies (in </w:t>
      </w:r>
      <w:r w:rsidRPr="00853F57">
        <w:rPr>
          <w:bCs/>
          <w:lang w:val="en-GB"/>
        </w:rPr>
        <w:t>₱</w:t>
      </w:r>
      <w:r w:rsidRPr="00853F57">
        <w:rPr>
          <w:lang w:val="en-GB"/>
        </w:rPr>
        <w:t xml:space="preserve"> million</w:t>
      </w:r>
      <w:r w:rsidR="00C9276C" w:rsidRPr="00853F57">
        <w:rPr>
          <w:lang w:val="en-GB"/>
        </w:rPr>
        <w:t>,</w:t>
      </w:r>
      <w:r w:rsidRPr="00853F57">
        <w:rPr>
          <w:lang w:val="en-GB"/>
        </w:rPr>
        <w:t xml:space="preserve"> except ratios)</w:t>
      </w:r>
    </w:p>
    <w:p w14:paraId="616EB128" w14:textId="77777777" w:rsidR="00437109" w:rsidRPr="00853F57" w:rsidRDefault="00437109" w:rsidP="00437109">
      <w:pPr>
        <w:jc w:val="center"/>
        <w:rPr>
          <w:rFonts w:ascii="Arial" w:hAnsi="Arial" w:cs="Arial"/>
          <w:b/>
          <w:caps/>
          <w:color w:val="000000" w:themeColor="text1"/>
          <w:lang w:val="en-GB"/>
        </w:rPr>
      </w:pP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10"/>
        <w:tblDescription w:val="Selected information and financial ratios of comparable companies"/>
      </w:tblPr>
      <w:tblGrid>
        <w:gridCol w:w="1547"/>
        <w:gridCol w:w="1276"/>
        <w:gridCol w:w="1387"/>
        <w:gridCol w:w="1062"/>
        <w:gridCol w:w="1065"/>
        <w:gridCol w:w="1214"/>
        <w:gridCol w:w="927"/>
      </w:tblGrid>
      <w:tr w:rsidR="00437109" w:rsidRPr="00853F57" w14:paraId="3B6054EB" w14:textId="77777777" w:rsidTr="00002121">
        <w:trPr>
          <w:trHeight w:val="780"/>
          <w:tblHeader/>
          <w:jc w:val="center"/>
        </w:trPr>
        <w:tc>
          <w:tcPr>
            <w:tcW w:w="1618" w:type="dxa"/>
            <w:shd w:val="clear" w:color="auto" w:fill="auto"/>
            <w:hideMark/>
          </w:tcPr>
          <w:p w14:paraId="6E8F345A" w14:textId="77777777" w:rsidR="00437109" w:rsidRPr="00034CB9" w:rsidRDefault="00437109" w:rsidP="00034CB9">
            <w:pPr>
              <w:jc w:val="center"/>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Company Name</w:t>
            </w:r>
          </w:p>
        </w:tc>
        <w:tc>
          <w:tcPr>
            <w:tcW w:w="1223" w:type="dxa"/>
            <w:shd w:val="clear" w:color="auto" w:fill="auto"/>
            <w:hideMark/>
          </w:tcPr>
          <w:p w14:paraId="36B3C1BF" w14:textId="3AA7EBF8" w:rsidR="00437109" w:rsidRPr="00034CB9" w:rsidRDefault="00437109" w:rsidP="00034CB9">
            <w:pPr>
              <w:jc w:val="center"/>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Shares Outstanding</w:t>
            </w:r>
          </w:p>
        </w:tc>
        <w:tc>
          <w:tcPr>
            <w:tcW w:w="1297" w:type="dxa"/>
            <w:shd w:val="clear" w:color="auto" w:fill="auto"/>
            <w:hideMark/>
          </w:tcPr>
          <w:p w14:paraId="291C96C1" w14:textId="77777777" w:rsidR="00437109" w:rsidRPr="00034CB9" w:rsidRDefault="00437109" w:rsidP="00034CB9">
            <w:pPr>
              <w:jc w:val="center"/>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Market Capitalization</w:t>
            </w:r>
          </w:p>
        </w:tc>
        <w:tc>
          <w:tcPr>
            <w:tcW w:w="1072" w:type="dxa"/>
            <w:shd w:val="clear" w:color="auto" w:fill="auto"/>
            <w:hideMark/>
          </w:tcPr>
          <w:p w14:paraId="48D01FD6" w14:textId="5FFE571A" w:rsidR="00437109" w:rsidRPr="00034CB9" w:rsidRDefault="00437109" w:rsidP="00034CB9">
            <w:pPr>
              <w:jc w:val="center"/>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LTM Net Debt</w:t>
            </w:r>
          </w:p>
        </w:tc>
        <w:tc>
          <w:tcPr>
            <w:tcW w:w="1086" w:type="dxa"/>
            <w:shd w:val="clear" w:color="auto" w:fill="auto"/>
            <w:hideMark/>
          </w:tcPr>
          <w:p w14:paraId="736237A5" w14:textId="1E298F65" w:rsidR="00437109" w:rsidRPr="00034CB9" w:rsidRDefault="00437109" w:rsidP="00F46471">
            <w:pPr>
              <w:jc w:val="right"/>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NTM TEV</w:t>
            </w:r>
            <w:r w:rsidRPr="00853F57">
              <w:rPr>
                <w:rFonts w:ascii="Arial" w:hAnsi="Arial" w:cs="Arial"/>
                <w:color w:val="000000" w:themeColor="text1"/>
                <w:sz w:val="18"/>
                <w:szCs w:val="18"/>
                <w:lang w:val="en-GB"/>
              </w:rPr>
              <w:t xml:space="preserve">/ </w:t>
            </w:r>
            <w:r w:rsidRPr="00034CB9">
              <w:rPr>
                <w:rFonts w:ascii="Arial" w:hAnsi="Arial" w:cs="Arial"/>
                <w:b/>
                <w:bCs/>
                <w:color w:val="000000" w:themeColor="text1"/>
                <w:sz w:val="18"/>
                <w:szCs w:val="18"/>
                <w:lang w:val="en-GB"/>
              </w:rPr>
              <w:t>Forward Revenue</w:t>
            </w:r>
          </w:p>
        </w:tc>
        <w:tc>
          <w:tcPr>
            <w:tcW w:w="1277" w:type="dxa"/>
            <w:shd w:val="clear" w:color="auto" w:fill="auto"/>
            <w:hideMark/>
          </w:tcPr>
          <w:p w14:paraId="19FDAC28" w14:textId="518FB7FC" w:rsidR="00437109" w:rsidRPr="00034CB9" w:rsidRDefault="00437109" w:rsidP="00F46471">
            <w:pPr>
              <w:jc w:val="right"/>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NTM TEV</w:t>
            </w:r>
            <w:r w:rsidRPr="00853F57">
              <w:rPr>
                <w:rFonts w:ascii="Arial" w:hAnsi="Arial" w:cs="Arial"/>
                <w:color w:val="000000" w:themeColor="text1"/>
                <w:sz w:val="18"/>
                <w:szCs w:val="18"/>
                <w:lang w:val="en-GB"/>
              </w:rPr>
              <w:t>/</w:t>
            </w:r>
            <w:r w:rsidR="00F46471" w:rsidRPr="00853F57">
              <w:rPr>
                <w:rFonts w:ascii="Arial" w:hAnsi="Arial" w:cs="Arial"/>
                <w:b/>
                <w:bCs/>
                <w:color w:val="000000" w:themeColor="text1"/>
                <w:sz w:val="18"/>
                <w:szCs w:val="18"/>
                <w:lang w:val="en-GB"/>
              </w:rPr>
              <w:t xml:space="preserve"> </w:t>
            </w:r>
            <w:r w:rsidRPr="00034CB9">
              <w:rPr>
                <w:rFonts w:ascii="Arial" w:hAnsi="Arial" w:cs="Arial"/>
                <w:b/>
                <w:bCs/>
                <w:color w:val="000000" w:themeColor="text1"/>
                <w:sz w:val="18"/>
                <w:szCs w:val="18"/>
                <w:lang w:val="en-GB"/>
              </w:rPr>
              <w:t>Forward EBITDA</w:t>
            </w:r>
          </w:p>
        </w:tc>
        <w:tc>
          <w:tcPr>
            <w:tcW w:w="905" w:type="dxa"/>
            <w:shd w:val="clear" w:color="auto" w:fill="auto"/>
            <w:hideMark/>
          </w:tcPr>
          <w:p w14:paraId="33C22DB5" w14:textId="77777777" w:rsidR="00437109" w:rsidRPr="00034CB9" w:rsidRDefault="00437109" w:rsidP="00034CB9">
            <w:pPr>
              <w:jc w:val="center"/>
              <w:rPr>
                <w:rFonts w:ascii="Arial" w:hAnsi="Arial" w:cs="Arial"/>
                <w:b/>
                <w:bCs/>
                <w:color w:val="000000" w:themeColor="text1"/>
                <w:sz w:val="18"/>
                <w:szCs w:val="18"/>
                <w:lang w:val="en-GB"/>
              </w:rPr>
            </w:pPr>
            <w:r w:rsidRPr="00034CB9">
              <w:rPr>
                <w:rFonts w:ascii="Arial" w:hAnsi="Arial" w:cs="Arial"/>
                <w:b/>
                <w:bCs/>
                <w:color w:val="000000" w:themeColor="text1"/>
                <w:sz w:val="18"/>
                <w:szCs w:val="18"/>
                <w:lang w:val="en-GB"/>
              </w:rPr>
              <w:t>NTM Forward P/E</w:t>
            </w:r>
          </w:p>
        </w:tc>
      </w:tr>
      <w:tr w:rsidR="00437109" w:rsidRPr="00853F57" w14:paraId="1D66C9C1" w14:textId="77777777" w:rsidTr="00002121">
        <w:trPr>
          <w:trHeight w:val="480"/>
          <w:tblHeader/>
          <w:jc w:val="center"/>
        </w:trPr>
        <w:tc>
          <w:tcPr>
            <w:tcW w:w="1618" w:type="dxa"/>
            <w:shd w:val="clear" w:color="auto" w:fill="auto"/>
            <w:hideMark/>
          </w:tcPr>
          <w:p w14:paraId="79A67EE1"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Eagle Cement Corporation</w:t>
            </w:r>
          </w:p>
        </w:tc>
        <w:tc>
          <w:tcPr>
            <w:tcW w:w="1223" w:type="dxa"/>
            <w:shd w:val="clear" w:color="auto" w:fill="auto"/>
            <w:hideMark/>
          </w:tcPr>
          <w:p w14:paraId="035E70D5"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5,000.0 </w:t>
            </w:r>
          </w:p>
        </w:tc>
        <w:tc>
          <w:tcPr>
            <w:tcW w:w="1297" w:type="dxa"/>
            <w:shd w:val="clear" w:color="auto" w:fill="auto"/>
            <w:hideMark/>
          </w:tcPr>
          <w:p w14:paraId="591B4EDA"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79,900.0 </w:t>
            </w:r>
          </w:p>
        </w:tc>
        <w:tc>
          <w:tcPr>
            <w:tcW w:w="1072" w:type="dxa"/>
            <w:shd w:val="clear" w:color="auto" w:fill="auto"/>
            <w:hideMark/>
          </w:tcPr>
          <w:p w14:paraId="07ACF93C"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(9,389.2) </w:t>
            </w:r>
          </w:p>
        </w:tc>
        <w:tc>
          <w:tcPr>
            <w:tcW w:w="1086" w:type="dxa"/>
            <w:shd w:val="clear" w:color="auto" w:fill="auto"/>
            <w:hideMark/>
          </w:tcPr>
          <w:p w14:paraId="11E225D4" w14:textId="60CA29EF"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3.54</w:t>
            </w:r>
            <w:r w:rsidR="008F3AF7" w:rsidRPr="00853F57">
              <w:rPr>
                <w:rFonts w:ascii="Arial" w:hAnsi="Arial" w:cs="Arial"/>
                <w:lang w:val="en-GB"/>
              </w:rPr>
              <w:t>×</w:t>
            </w:r>
          </w:p>
        </w:tc>
        <w:tc>
          <w:tcPr>
            <w:tcW w:w="1277" w:type="dxa"/>
            <w:shd w:val="clear" w:color="auto" w:fill="auto"/>
            <w:hideMark/>
          </w:tcPr>
          <w:p w14:paraId="2BD1DDE1" w14:textId="2CFBC52A"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8.85</w:t>
            </w:r>
            <w:r w:rsidR="008F3AF7" w:rsidRPr="00853F57">
              <w:rPr>
                <w:rFonts w:ascii="Arial" w:hAnsi="Arial" w:cs="Arial"/>
                <w:color w:val="000000" w:themeColor="text1"/>
                <w:sz w:val="18"/>
                <w:szCs w:val="18"/>
                <w:lang w:val="en-GB"/>
              </w:rPr>
              <w:t>×</w:t>
            </w:r>
          </w:p>
        </w:tc>
        <w:tc>
          <w:tcPr>
            <w:tcW w:w="905" w:type="dxa"/>
            <w:shd w:val="clear" w:color="auto" w:fill="auto"/>
            <w:hideMark/>
          </w:tcPr>
          <w:p w14:paraId="2D39CC7E" w14:textId="26CA4B34"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13.48</w:t>
            </w:r>
            <w:r w:rsidR="008F3AF7" w:rsidRPr="00853F57">
              <w:rPr>
                <w:rFonts w:ascii="Arial" w:hAnsi="Arial" w:cs="Arial"/>
                <w:color w:val="000000" w:themeColor="text1"/>
                <w:sz w:val="18"/>
                <w:szCs w:val="18"/>
                <w:lang w:val="en-GB"/>
              </w:rPr>
              <w:t>×</w:t>
            </w:r>
          </w:p>
        </w:tc>
      </w:tr>
      <w:tr w:rsidR="00437109" w:rsidRPr="00853F57" w14:paraId="15B065F9" w14:textId="77777777" w:rsidTr="00002121">
        <w:trPr>
          <w:trHeight w:val="525"/>
          <w:tblHeader/>
          <w:jc w:val="center"/>
        </w:trPr>
        <w:tc>
          <w:tcPr>
            <w:tcW w:w="1618" w:type="dxa"/>
            <w:shd w:val="clear" w:color="auto" w:fill="auto"/>
            <w:hideMark/>
          </w:tcPr>
          <w:p w14:paraId="0B56ABA3"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CEMEX Holdings Philippines, Inc.</w:t>
            </w:r>
          </w:p>
        </w:tc>
        <w:tc>
          <w:tcPr>
            <w:tcW w:w="1223" w:type="dxa"/>
            <w:shd w:val="clear" w:color="auto" w:fill="auto"/>
            <w:hideMark/>
          </w:tcPr>
          <w:p w14:paraId="17033A60"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5,195.4 </w:t>
            </w:r>
          </w:p>
        </w:tc>
        <w:tc>
          <w:tcPr>
            <w:tcW w:w="1297" w:type="dxa"/>
            <w:shd w:val="clear" w:color="auto" w:fill="auto"/>
            <w:hideMark/>
          </w:tcPr>
          <w:p w14:paraId="71E32427"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13,767.8 </w:t>
            </w:r>
          </w:p>
        </w:tc>
        <w:tc>
          <w:tcPr>
            <w:tcW w:w="1072" w:type="dxa"/>
            <w:shd w:val="clear" w:color="auto" w:fill="auto"/>
            <w:hideMark/>
          </w:tcPr>
          <w:p w14:paraId="31EEDD9C"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17,333.4 </w:t>
            </w:r>
          </w:p>
        </w:tc>
        <w:tc>
          <w:tcPr>
            <w:tcW w:w="1086" w:type="dxa"/>
            <w:shd w:val="clear" w:color="auto" w:fill="auto"/>
            <w:hideMark/>
          </w:tcPr>
          <w:p w14:paraId="33B883D0" w14:textId="003C7673"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1.11</w:t>
            </w:r>
            <w:r w:rsidR="008F3AF7" w:rsidRPr="00853F57">
              <w:rPr>
                <w:rFonts w:ascii="Arial" w:hAnsi="Arial" w:cs="Arial"/>
                <w:color w:val="000000" w:themeColor="text1"/>
                <w:sz w:val="18"/>
                <w:szCs w:val="18"/>
                <w:lang w:val="en-GB"/>
              </w:rPr>
              <w:t>×</w:t>
            </w:r>
          </w:p>
        </w:tc>
        <w:tc>
          <w:tcPr>
            <w:tcW w:w="1277" w:type="dxa"/>
            <w:shd w:val="clear" w:color="auto" w:fill="auto"/>
            <w:hideMark/>
          </w:tcPr>
          <w:p w14:paraId="48A589BF" w14:textId="18CF20B6"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7.95</w:t>
            </w:r>
            <w:r w:rsidR="008F3AF7" w:rsidRPr="00853F57">
              <w:rPr>
                <w:rFonts w:ascii="Arial" w:hAnsi="Arial" w:cs="Arial"/>
                <w:color w:val="000000" w:themeColor="text1"/>
                <w:sz w:val="18"/>
                <w:szCs w:val="18"/>
                <w:lang w:val="en-GB"/>
              </w:rPr>
              <w:t>×</w:t>
            </w:r>
          </w:p>
        </w:tc>
        <w:tc>
          <w:tcPr>
            <w:tcW w:w="905" w:type="dxa"/>
            <w:shd w:val="clear" w:color="auto" w:fill="auto"/>
            <w:hideMark/>
          </w:tcPr>
          <w:p w14:paraId="11A22D4C" w14:textId="226E3BAE"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13.95</w:t>
            </w:r>
            <w:r w:rsidR="008F3AF7" w:rsidRPr="00853F57">
              <w:rPr>
                <w:rFonts w:ascii="Arial" w:hAnsi="Arial" w:cs="Arial"/>
                <w:color w:val="000000" w:themeColor="text1"/>
                <w:sz w:val="18"/>
                <w:szCs w:val="18"/>
                <w:lang w:val="en-GB"/>
              </w:rPr>
              <w:t>×</w:t>
            </w:r>
          </w:p>
        </w:tc>
      </w:tr>
      <w:tr w:rsidR="00437109" w:rsidRPr="00853F57" w14:paraId="27830D72" w14:textId="77777777" w:rsidTr="00002121">
        <w:trPr>
          <w:trHeight w:val="720"/>
          <w:tblHeader/>
          <w:jc w:val="center"/>
        </w:trPr>
        <w:tc>
          <w:tcPr>
            <w:tcW w:w="1618" w:type="dxa"/>
            <w:shd w:val="clear" w:color="auto" w:fill="auto"/>
            <w:hideMark/>
          </w:tcPr>
          <w:p w14:paraId="2B44BF20" w14:textId="77777777" w:rsidR="00437109" w:rsidRPr="00853F57" w:rsidRDefault="00437109" w:rsidP="00F6167B">
            <w:pPr>
              <w:rPr>
                <w:rFonts w:ascii="Arial" w:hAnsi="Arial" w:cs="Arial"/>
                <w:color w:val="000000" w:themeColor="text1"/>
                <w:sz w:val="18"/>
                <w:szCs w:val="18"/>
                <w:lang w:val="en-GB"/>
              </w:rPr>
            </w:pPr>
            <w:proofErr w:type="spellStart"/>
            <w:r w:rsidRPr="00853F57">
              <w:rPr>
                <w:rFonts w:ascii="Arial" w:hAnsi="Arial" w:cs="Arial"/>
                <w:color w:val="000000" w:themeColor="text1"/>
                <w:sz w:val="18"/>
                <w:szCs w:val="18"/>
                <w:lang w:val="en-GB"/>
              </w:rPr>
              <w:t>Megawide</w:t>
            </w:r>
            <w:proofErr w:type="spellEnd"/>
            <w:r w:rsidRPr="00853F57">
              <w:rPr>
                <w:rFonts w:ascii="Arial" w:hAnsi="Arial" w:cs="Arial"/>
                <w:color w:val="000000" w:themeColor="text1"/>
                <w:sz w:val="18"/>
                <w:szCs w:val="18"/>
                <w:lang w:val="en-GB"/>
              </w:rPr>
              <w:t xml:space="preserve"> Construction Corporation</w:t>
            </w:r>
          </w:p>
        </w:tc>
        <w:tc>
          <w:tcPr>
            <w:tcW w:w="1223" w:type="dxa"/>
            <w:shd w:val="clear" w:color="auto" w:fill="auto"/>
            <w:hideMark/>
          </w:tcPr>
          <w:p w14:paraId="0764F4E9"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2,084.3 </w:t>
            </w:r>
          </w:p>
        </w:tc>
        <w:tc>
          <w:tcPr>
            <w:tcW w:w="1297" w:type="dxa"/>
            <w:shd w:val="clear" w:color="auto" w:fill="auto"/>
            <w:hideMark/>
          </w:tcPr>
          <w:p w14:paraId="471450A8"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45,854.5 </w:t>
            </w:r>
          </w:p>
        </w:tc>
        <w:tc>
          <w:tcPr>
            <w:tcW w:w="1072" w:type="dxa"/>
            <w:shd w:val="clear" w:color="auto" w:fill="auto"/>
            <w:hideMark/>
          </w:tcPr>
          <w:p w14:paraId="716717D7"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33,873.2 </w:t>
            </w:r>
          </w:p>
        </w:tc>
        <w:tc>
          <w:tcPr>
            <w:tcW w:w="1086" w:type="dxa"/>
            <w:shd w:val="clear" w:color="auto" w:fill="auto"/>
            <w:hideMark/>
          </w:tcPr>
          <w:p w14:paraId="1B0A9901" w14:textId="2958C63E"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3.37</w:t>
            </w:r>
            <w:r w:rsidR="008F3AF7" w:rsidRPr="00853F57">
              <w:rPr>
                <w:rFonts w:ascii="Arial" w:hAnsi="Arial" w:cs="Arial"/>
                <w:color w:val="000000" w:themeColor="text1"/>
                <w:sz w:val="18"/>
                <w:szCs w:val="18"/>
                <w:lang w:val="en-GB"/>
              </w:rPr>
              <w:t>×</w:t>
            </w:r>
          </w:p>
        </w:tc>
        <w:tc>
          <w:tcPr>
            <w:tcW w:w="1277" w:type="dxa"/>
            <w:shd w:val="clear" w:color="auto" w:fill="auto"/>
            <w:hideMark/>
          </w:tcPr>
          <w:p w14:paraId="009C859F" w14:textId="4DBA12F6"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12.72</w:t>
            </w:r>
            <w:r w:rsidR="008F3AF7" w:rsidRPr="00853F57">
              <w:rPr>
                <w:rFonts w:ascii="Arial" w:hAnsi="Arial" w:cs="Arial"/>
                <w:color w:val="000000" w:themeColor="text1"/>
                <w:sz w:val="18"/>
                <w:szCs w:val="18"/>
                <w:lang w:val="en-GB"/>
              </w:rPr>
              <w:t>×</w:t>
            </w:r>
          </w:p>
        </w:tc>
        <w:tc>
          <w:tcPr>
            <w:tcW w:w="905" w:type="dxa"/>
            <w:shd w:val="clear" w:color="auto" w:fill="auto"/>
            <w:hideMark/>
          </w:tcPr>
          <w:p w14:paraId="0FBED877" w14:textId="76764A6B"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25.52</w:t>
            </w:r>
            <w:r w:rsidR="008F3AF7" w:rsidRPr="00853F57">
              <w:rPr>
                <w:rFonts w:ascii="Arial" w:hAnsi="Arial" w:cs="Arial"/>
                <w:color w:val="000000" w:themeColor="text1"/>
                <w:sz w:val="18"/>
                <w:szCs w:val="18"/>
                <w:lang w:val="en-GB"/>
              </w:rPr>
              <w:t>×</w:t>
            </w:r>
          </w:p>
        </w:tc>
      </w:tr>
      <w:tr w:rsidR="00437109" w:rsidRPr="00853F57" w14:paraId="0DBDD90A" w14:textId="77777777" w:rsidTr="00002121">
        <w:trPr>
          <w:trHeight w:val="480"/>
          <w:tblHeader/>
          <w:jc w:val="center"/>
        </w:trPr>
        <w:tc>
          <w:tcPr>
            <w:tcW w:w="1618" w:type="dxa"/>
            <w:shd w:val="clear" w:color="auto" w:fill="auto"/>
            <w:hideMark/>
          </w:tcPr>
          <w:p w14:paraId="69A7A6F1"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San Miguel Corporation</w:t>
            </w:r>
          </w:p>
        </w:tc>
        <w:tc>
          <w:tcPr>
            <w:tcW w:w="1223" w:type="dxa"/>
            <w:shd w:val="clear" w:color="auto" w:fill="auto"/>
            <w:hideMark/>
          </w:tcPr>
          <w:p w14:paraId="5FBC498C"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2,383.9 </w:t>
            </w:r>
          </w:p>
        </w:tc>
        <w:tc>
          <w:tcPr>
            <w:tcW w:w="1297" w:type="dxa"/>
            <w:shd w:val="clear" w:color="auto" w:fill="auto"/>
            <w:hideMark/>
          </w:tcPr>
          <w:p w14:paraId="555E67DC"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452,940.4 </w:t>
            </w:r>
          </w:p>
        </w:tc>
        <w:tc>
          <w:tcPr>
            <w:tcW w:w="1072" w:type="dxa"/>
            <w:shd w:val="clear" w:color="auto" w:fill="auto"/>
            <w:hideMark/>
          </w:tcPr>
          <w:p w14:paraId="21C34142" w14:textId="3311F005"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714,215.0 </w:t>
            </w:r>
          </w:p>
        </w:tc>
        <w:tc>
          <w:tcPr>
            <w:tcW w:w="1086" w:type="dxa"/>
            <w:shd w:val="clear" w:color="auto" w:fill="auto"/>
            <w:hideMark/>
          </w:tcPr>
          <w:p w14:paraId="5AAB4EC0" w14:textId="5231C11D"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1.20</w:t>
            </w:r>
            <w:r w:rsidR="008F3AF7" w:rsidRPr="00853F57">
              <w:rPr>
                <w:rFonts w:ascii="Arial" w:hAnsi="Arial" w:cs="Arial"/>
                <w:color w:val="000000" w:themeColor="text1"/>
                <w:sz w:val="18"/>
                <w:szCs w:val="18"/>
                <w:lang w:val="en-GB"/>
              </w:rPr>
              <w:t>×</w:t>
            </w:r>
          </w:p>
        </w:tc>
        <w:tc>
          <w:tcPr>
            <w:tcW w:w="1277" w:type="dxa"/>
            <w:shd w:val="clear" w:color="auto" w:fill="auto"/>
            <w:hideMark/>
          </w:tcPr>
          <w:p w14:paraId="78F90A6A" w14:textId="59CA5272"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7.62</w:t>
            </w:r>
            <w:r w:rsidR="008F3AF7" w:rsidRPr="00853F57">
              <w:rPr>
                <w:rFonts w:ascii="Arial" w:hAnsi="Arial" w:cs="Arial"/>
                <w:color w:val="000000" w:themeColor="text1"/>
                <w:sz w:val="18"/>
                <w:szCs w:val="18"/>
                <w:lang w:val="en-GB"/>
              </w:rPr>
              <w:t>×</w:t>
            </w:r>
          </w:p>
        </w:tc>
        <w:tc>
          <w:tcPr>
            <w:tcW w:w="905" w:type="dxa"/>
            <w:shd w:val="clear" w:color="auto" w:fill="auto"/>
            <w:hideMark/>
          </w:tcPr>
          <w:p w14:paraId="05118F94" w14:textId="41C9C23F"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16.31</w:t>
            </w:r>
            <w:r w:rsidR="008F3AF7" w:rsidRPr="00853F57">
              <w:rPr>
                <w:rFonts w:ascii="Arial" w:hAnsi="Arial" w:cs="Arial"/>
                <w:color w:val="000000" w:themeColor="text1"/>
                <w:sz w:val="18"/>
                <w:szCs w:val="18"/>
                <w:lang w:val="en-GB"/>
              </w:rPr>
              <w:t>×</w:t>
            </w:r>
          </w:p>
        </w:tc>
      </w:tr>
      <w:tr w:rsidR="00437109" w:rsidRPr="00853F57" w14:paraId="2049027B" w14:textId="77777777" w:rsidTr="00002121">
        <w:trPr>
          <w:trHeight w:val="480"/>
          <w:tblHeader/>
          <w:jc w:val="center"/>
        </w:trPr>
        <w:tc>
          <w:tcPr>
            <w:tcW w:w="1618" w:type="dxa"/>
            <w:shd w:val="clear" w:color="auto" w:fill="auto"/>
            <w:hideMark/>
          </w:tcPr>
          <w:p w14:paraId="473C17EB" w14:textId="77777777" w:rsidR="00437109" w:rsidRPr="00853F57" w:rsidRDefault="00437109" w:rsidP="00F6167B">
            <w:pPr>
              <w:rPr>
                <w:rFonts w:ascii="Arial" w:hAnsi="Arial" w:cs="Arial"/>
                <w:color w:val="000000" w:themeColor="text1"/>
                <w:sz w:val="18"/>
                <w:szCs w:val="18"/>
                <w:lang w:val="en-GB"/>
              </w:rPr>
            </w:pPr>
            <w:r w:rsidRPr="00853F57">
              <w:rPr>
                <w:rFonts w:ascii="Arial" w:hAnsi="Arial" w:cs="Arial"/>
                <w:color w:val="000000" w:themeColor="text1"/>
                <w:sz w:val="18"/>
                <w:szCs w:val="18"/>
                <w:lang w:val="en-GB"/>
              </w:rPr>
              <w:t>EEI Corporation</w:t>
            </w:r>
          </w:p>
        </w:tc>
        <w:tc>
          <w:tcPr>
            <w:tcW w:w="1223" w:type="dxa"/>
            <w:shd w:val="clear" w:color="auto" w:fill="auto"/>
            <w:hideMark/>
          </w:tcPr>
          <w:p w14:paraId="676E708E"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1,036.3 </w:t>
            </w:r>
          </w:p>
        </w:tc>
        <w:tc>
          <w:tcPr>
            <w:tcW w:w="1297" w:type="dxa"/>
            <w:shd w:val="clear" w:color="auto" w:fill="auto"/>
            <w:hideMark/>
          </w:tcPr>
          <w:p w14:paraId="12E0DDCB" w14:textId="77777777"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  9,430.2 </w:t>
            </w:r>
          </w:p>
        </w:tc>
        <w:tc>
          <w:tcPr>
            <w:tcW w:w="1072" w:type="dxa"/>
            <w:shd w:val="clear" w:color="auto" w:fill="auto"/>
            <w:hideMark/>
          </w:tcPr>
          <w:p w14:paraId="57A95EEE" w14:textId="742DB4C3"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 xml:space="preserve">8,144.4 </w:t>
            </w:r>
          </w:p>
        </w:tc>
        <w:tc>
          <w:tcPr>
            <w:tcW w:w="1086" w:type="dxa"/>
            <w:shd w:val="clear" w:color="auto" w:fill="auto"/>
            <w:hideMark/>
          </w:tcPr>
          <w:p w14:paraId="17ABB46B" w14:textId="1FD7EDD9"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0.87</w:t>
            </w:r>
            <w:r w:rsidR="008F3AF7" w:rsidRPr="00853F57">
              <w:rPr>
                <w:rFonts w:ascii="Arial" w:hAnsi="Arial" w:cs="Arial"/>
                <w:color w:val="000000" w:themeColor="text1"/>
                <w:sz w:val="18"/>
                <w:szCs w:val="18"/>
                <w:lang w:val="en-GB"/>
              </w:rPr>
              <w:t>×</w:t>
            </w:r>
          </w:p>
        </w:tc>
        <w:tc>
          <w:tcPr>
            <w:tcW w:w="1277" w:type="dxa"/>
            <w:shd w:val="clear" w:color="auto" w:fill="auto"/>
            <w:hideMark/>
          </w:tcPr>
          <w:p w14:paraId="31352C30" w14:textId="3993CC52"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8.54</w:t>
            </w:r>
            <w:r w:rsidR="008F3AF7" w:rsidRPr="00853F57">
              <w:rPr>
                <w:rFonts w:ascii="Arial" w:hAnsi="Arial" w:cs="Arial"/>
                <w:color w:val="000000" w:themeColor="text1"/>
                <w:sz w:val="18"/>
                <w:szCs w:val="18"/>
                <w:lang w:val="en-GB"/>
              </w:rPr>
              <w:t>×</w:t>
            </w:r>
          </w:p>
        </w:tc>
        <w:tc>
          <w:tcPr>
            <w:tcW w:w="905" w:type="dxa"/>
            <w:shd w:val="clear" w:color="auto" w:fill="auto"/>
            <w:hideMark/>
          </w:tcPr>
          <w:p w14:paraId="5FECF392" w14:textId="3C85AFC2" w:rsidR="00437109" w:rsidRPr="00853F57" w:rsidRDefault="00437109" w:rsidP="00F6167B">
            <w:pPr>
              <w:jc w:val="right"/>
              <w:rPr>
                <w:rFonts w:ascii="Arial" w:hAnsi="Arial" w:cs="Arial"/>
                <w:color w:val="000000" w:themeColor="text1"/>
                <w:sz w:val="18"/>
                <w:szCs w:val="18"/>
                <w:lang w:val="en-GB"/>
              </w:rPr>
            </w:pPr>
            <w:r w:rsidRPr="00853F57">
              <w:rPr>
                <w:rFonts w:ascii="Arial" w:hAnsi="Arial" w:cs="Arial"/>
                <w:color w:val="000000" w:themeColor="text1"/>
                <w:sz w:val="18"/>
                <w:szCs w:val="18"/>
                <w:lang w:val="en-GB"/>
              </w:rPr>
              <w:t>8.27</w:t>
            </w:r>
            <w:r w:rsidR="008F3AF7" w:rsidRPr="00853F57">
              <w:rPr>
                <w:rFonts w:ascii="Arial" w:hAnsi="Arial" w:cs="Arial"/>
                <w:color w:val="000000" w:themeColor="text1"/>
                <w:sz w:val="18"/>
                <w:szCs w:val="18"/>
                <w:lang w:val="en-GB"/>
              </w:rPr>
              <w:t>×</w:t>
            </w:r>
          </w:p>
        </w:tc>
      </w:tr>
    </w:tbl>
    <w:p w14:paraId="240619E3" w14:textId="77777777" w:rsidR="00C9276C" w:rsidRPr="00853F57" w:rsidRDefault="00C9276C" w:rsidP="00437109">
      <w:pPr>
        <w:rPr>
          <w:rFonts w:ascii="Arial" w:hAnsi="Arial" w:cs="Arial"/>
          <w:b/>
          <w:color w:val="000000" w:themeColor="text1"/>
          <w:lang w:val="en-GB"/>
        </w:rPr>
      </w:pPr>
    </w:p>
    <w:p w14:paraId="55571957" w14:textId="77777777" w:rsidR="00437109" w:rsidRPr="00853F57" w:rsidRDefault="00437109" w:rsidP="00437109">
      <w:pPr>
        <w:rPr>
          <w:rFonts w:ascii="Arial" w:hAnsi="Arial" w:cs="Arial"/>
          <w:b/>
          <w:color w:val="000000" w:themeColor="text1"/>
          <w:lang w:val="en-GB"/>
        </w:rPr>
      </w:pPr>
      <w:r w:rsidRPr="00853F57">
        <w:rPr>
          <w:rFonts w:ascii="Arial" w:hAnsi="Arial" w:cs="Arial"/>
          <w:b/>
          <w:color w:val="000000" w:themeColor="text1"/>
          <w:lang w:val="en-GB"/>
        </w:rPr>
        <w:t xml:space="preserve">EEI Corporation </w:t>
      </w:r>
    </w:p>
    <w:p w14:paraId="09740590" w14:textId="77777777" w:rsidR="00437109" w:rsidRPr="00853F57" w:rsidRDefault="00437109" w:rsidP="00437109">
      <w:pPr>
        <w:rPr>
          <w:rFonts w:ascii="Arial" w:hAnsi="Arial" w:cs="Arial"/>
          <w:b/>
          <w:color w:val="000000" w:themeColor="text1"/>
          <w:lang w:val="en-GB"/>
        </w:rPr>
      </w:pPr>
    </w:p>
    <w:p w14:paraId="43060874" w14:textId="213876D1" w:rsidR="00437109" w:rsidRPr="00853F57" w:rsidRDefault="00437109" w:rsidP="00437109">
      <w:pPr>
        <w:jc w:val="both"/>
        <w:rPr>
          <w:rFonts w:ascii="Arial" w:hAnsi="Arial" w:cs="Arial"/>
          <w:color w:val="000000" w:themeColor="text1"/>
          <w:lang w:val="en-GB"/>
        </w:rPr>
      </w:pPr>
      <w:r w:rsidRPr="00853F57">
        <w:rPr>
          <w:rFonts w:ascii="Arial" w:hAnsi="Arial" w:cs="Arial"/>
          <w:color w:val="000000" w:themeColor="text1"/>
          <w:lang w:val="en-GB"/>
        </w:rPr>
        <w:t xml:space="preserve">EEI Corporation </w:t>
      </w:r>
      <w:r w:rsidR="00F46471" w:rsidRPr="00853F57">
        <w:rPr>
          <w:rFonts w:ascii="Arial" w:hAnsi="Arial" w:cs="Arial"/>
          <w:color w:val="000000" w:themeColor="text1"/>
          <w:lang w:val="en-GB"/>
        </w:rPr>
        <w:t xml:space="preserve">operated </w:t>
      </w:r>
      <w:r w:rsidRPr="00853F57">
        <w:rPr>
          <w:rFonts w:ascii="Arial" w:hAnsi="Arial" w:cs="Arial"/>
          <w:color w:val="000000" w:themeColor="text1"/>
          <w:lang w:val="en-GB"/>
        </w:rPr>
        <w:t xml:space="preserve">as a construction company in the Philippines and internationally. The company </w:t>
      </w:r>
      <w:r w:rsidR="00F46471" w:rsidRPr="00853F57">
        <w:rPr>
          <w:rFonts w:ascii="Arial" w:hAnsi="Arial" w:cs="Arial"/>
          <w:color w:val="000000" w:themeColor="text1"/>
          <w:lang w:val="en-GB"/>
        </w:rPr>
        <w:t xml:space="preserve">engaged </w:t>
      </w:r>
      <w:r w:rsidRPr="00853F57">
        <w:rPr>
          <w:rFonts w:ascii="Arial" w:hAnsi="Arial" w:cs="Arial"/>
          <w:color w:val="000000" w:themeColor="text1"/>
          <w:lang w:val="en-GB"/>
        </w:rPr>
        <w:t>in the construction, installation, and erection of power generating facilities</w:t>
      </w:r>
      <w:r w:rsidR="00F46471" w:rsidRPr="00853F57">
        <w:rPr>
          <w:rFonts w:ascii="Arial" w:hAnsi="Arial" w:cs="Arial"/>
          <w:color w:val="000000" w:themeColor="text1"/>
          <w:lang w:val="en-GB"/>
        </w:rPr>
        <w:t xml:space="preserve">, </w:t>
      </w:r>
      <w:r w:rsidRPr="00853F57">
        <w:rPr>
          <w:rFonts w:ascii="Arial" w:hAnsi="Arial" w:cs="Arial"/>
          <w:color w:val="000000" w:themeColor="text1"/>
          <w:lang w:val="en-GB"/>
        </w:rPr>
        <w:t>oil refineries</w:t>
      </w:r>
      <w:r w:rsidR="00F46471" w:rsidRPr="00853F57">
        <w:rPr>
          <w:rFonts w:ascii="Arial" w:hAnsi="Arial" w:cs="Arial"/>
          <w:color w:val="000000" w:themeColor="text1"/>
          <w:lang w:val="en-GB"/>
        </w:rPr>
        <w:t xml:space="preserve">, </w:t>
      </w:r>
      <w:r w:rsidRPr="00853F57">
        <w:rPr>
          <w:rFonts w:ascii="Arial" w:hAnsi="Arial" w:cs="Arial"/>
          <w:color w:val="000000" w:themeColor="text1"/>
          <w:lang w:val="en-GB"/>
        </w:rPr>
        <w:t>chemical production plants</w:t>
      </w:r>
      <w:r w:rsidR="00F46471" w:rsidRPr="00853F57">
        <w:rPr>
          <w:rFonts w:ascii="Arial" w:hAnsi="Arial" w:cs="Arial"/>
          <w:color w:val="000000" w:themeColor="text1"/>
          <w:lang w:val="en-GB"/>
        </w:rPr>
        <w:t xml:space="preserve">, </w:t>
      </w:r>
      <w:r w:rsidRPr="00853F57">
        <w:rPr>
          <w:rFonts w:ascii="Arial" w:hAnsi="Arial" w:cs="Arial"/>
          <w:color w:val="000000" w:themeColor="text1"/>
          <w:lang w:val="en-GB"/>
        </w:rPr>
        <w:t>cement plants</w:t>
      </w:r>
      <w:r w:rsidR="00F46471" w:rsidRPr="00853F57">
        <w:rPr>
          <w:rFonts w:ascii="Arial" w:hAnsi="Arial" w:cs="Arial"/>
          <w:color w:val="000000" w:themeColor="text1"/>
          <w:lang w:val="en-GB"/>
        </w:rPr>
        <w:t xml:space="preserve">, and </w:t>
      </w:r>
      <w:r w:rsidRPr="00853F57">
        <w:rPr>
          <w:rFonts w:ascii="Arial" w:hAnsi="Arial" w:cs="Arial"/>
          <w:color w:val="000000" w:themeColor="text1"/>
          <w:lang w:val="en-GB"/>
        </w:rPr>
        <w:t xml:space="preserve">food and beverage manufacturing facilities. It also </w:t>
      </w:r>
      <w:r w:rsidR="00F46471" w:rsidRPr="00853F57">
        <w:rPr>
          <w:rFonts w:ascii="Arial" w:hAnsi="Arial" w:cs="Arial"/>
          <w:color w:val="000000" w:themeColor="text1"/>
          <w:lang w:val="en-GB"/>
        </w:rPr>
        <w:t xml:space="preserve">provided </w:t>
      </w:r>
      <w:r w:rsidRPr="00853F57">
        <w:rPr>
          <w:rFonts w:ascii="Arial" w:hAnsi="Arial" w:cs="Arial"/>
          <w:color w:val="000000" w:themeColor="text1"/>
          <w:lang w:val="en-GB"/>
        </w:rPr>
        <w:t xml:space="preserve">project management and supervision services. </w:t>
      </w:r>
      <w:r w:rsidR="00F46471" w:rsidRPr="00853F57">
        <w:rPr>
          <w:rFonts w:ascii="Arial" w:hAnsi="Arial" w:cs="Arial"/>
          <w:color w:val="000000" w:themeColor="text1"/>
          <w:lang w:val="en-GB"/>
        </w:rPr>
        <w:t>T</w:t>
      </w:r>
      <w:r w:rsidRPr="00853F57">
        <w:rPr>
          <w:rFonts w:ascii="Arial" w:hAnsi="Arial" w:cs="Arial"/>
          <w:color w:val="000000" w:themeColor="text1"/>
          <w:lang w:val="en-GB"/>
        </w:rPr>
        <w:t xml:space="preserve">he company </w:t>
      </w:r>
      <w:r w:rsidR="00F46471" w:rsidRPr="00853F57">
        <w:rPr>
          <w:rFonts w:ascii="Arial" w:hAnsi="Arial" w:cs="Arial"/>
          <w:color w:val="000000" w:themeColor="text1"/>
          <w:lang w:val="en-GB"/>
        </w:rPr>
        <w:t xml:space="preserve">owned </w:t>
      </w:r>
      <w:r w:rsidRPr="00853F57">
        <w:rPr>
          <w:rFonts w:ascii="Arial" w:hAnsi="Arial" w:cs="Arial"/>
          <w:color w:val="000000" w:themeColor="text1"/>
          <w:lang w:val="en-GB"/>
        </w:rPr>
        <w:t xml:space="preserve">and </w:t>
      </w:r>
      <w:r w:rsidR="00F46471" w:rsidRPr="00853F57">
        <w:rPr>
          <w:rFonts w:ascii="Arial" w:hAnsi="Arial" w:cs="Arial"/>
          <w:color w:val="000000" w:themeColor="text1"/>
          <w:lang w:val="en-GB"/>
        </w:rPr>
        <w:t xml:space="preserve">operated </w:t>
      </w:r>
      <w:r w:rsidRPr="00853F57">
        <w:rPr>
          <w:rFonts w:ascii="Arial" w:hAnsi="Arial" w:cs="Arial"/>
          <w:color w:val="000000" w:themeColor="text1"/>
          <w:lang w:val="en-GB"/>
        </w:rPr>
        <w:t xml:space="preserve">a </w:t>
      </w:r>
      <w:proofErr w:type="gramStart"/>
      <w:r w:rsidRPr="00853F57">
        <w:rPr>
          <w:rFonts w:ascii="Arial" w:hAnsi="Arial" w:cs="Arial"/>
          <w:color w:val="000000" w:themeColor="text1"/>
          <w:lang w:val="en-GB"/>
        </w:rPr>
        <w:t xml:space="preserve">15 </w:t>
      </w:r>
      <w:r w:rsidR="00B00CFF" w:rsidRPr="00853F57">
        <w:rPr>
          <w:rFonts w:ascii="Arial" w:hAnsi="Arial" w:cs="Arial"/>
          <w:color w:val="000000" w:themeColor="text1"/>
          <w:lang w:val="en-GB"/>
        </w:rPr>
        <w:t>megawatt</w:t>
      </w:r>
      <w:proofErr w:type="gramEnd"/>
      <w:r w:rsidR="00B00CFF" w:rsidRPr="00853F57">
        <w:rPr>
          <w:rFonts w:ascii="Arial" w:hAnsi="Arial" w:cs="Arial"/>
          <w:color w:val="000000" w:themeColor="text1"/>
          <w:lang w:val="en-GB"/>
        </w:rPr>
        <w:t xml:space="preserve"> </w:t>
      </w:r>
      <w:r w:rsidRPr="00853F57">
        <w:rPr>
          <w:rFonts w:ascii="Arial" w:hAnsi="Arial" w:cs="Arial"/>
          <w:color w:val="000000" w:themeColor="text1"/>
          <w:lang w:val="en-GB"/>
        </w:rPr>
        <w:t>peaking plant</w:t>
      </w:r>
      <w:r w:rsidR="00F46471" w:rsidRPr="00853F57">
        <w:rPr>
          <w:rFonts w:ascii="Arial" w:hAnsi="Arial" w:cs="Arial"/>
          <w:color w:val="000000" w:themeColor="text1"/>
          <w:lang w:val="en-GB"/>
        </w:rPr>
        <w:t xml:space="preserve"> and </w:t>
      </w:r>
      <w:r w:rsidRPr="00853F57">
        <w:rPr>
          <w:rFonts w:ascii="Arial" w:hAnsi="Arial" w:cs="Arial"/>
          <w:color w:val="000000" w:themeColor="text1"/>
          <w:lang w:val="en-GB"/>
        </w:rPr>
        <w:t xml:space="preserve">investments in renewable energy power projects. </w:t>
      </w:r>
    </w:p>
    <w:p w14:paraId="597F2B3F" w14:textId="77777777" w:rsidR="00437109" w:rsidRPr="00853F57" w:rsidRDefault="00437109" w:rsidP="00437109">
      <w:pPr>
        <w:rPr>
          <w:rFonts w:ascii="Arial" w:hAnsi="Arial" w:cs="Arial"/>
          <w:color w:val="000000" w:themeColor="text1"/>
          <w:lang w:val="en-GB"/>
        </w:rPr>
      </w:pPr>
    </w:p>
    <w:p w14:paraId="7EAAF94F" w14:textId="77777777" w:rsidR="00437109" w:rsidRPr="00853F57" w:rsidRDefault="00437109" w:rsidP="00437109">
      <w:pPr>
        <w:rPr>
          <w:rFonts w:ascii="Arial" w:hAnsi="Arial" w:cs="Arial"/>
          <w:b/>
          <w:color w:val="000000" w:themeColor="text1"/>
          <w:lang w:val="en-GB"/>
        </w:rPr>
      </w:pPr>
      <w:proofErr w:type="spellStart"/>
      <w:r w:rsidRPr="00853F57">
        <w:rPr>
          <w:rFonts w:ascii="Arial" w:hAnsi="Arial" w:cs="Arial"/>
          <w:b/>
          <w:color w:val="000000" w:themeColor="text1"/>
          <w:lang w:val="en-GB"/>
        </w:rPr>
        <w:t>Megawide</w:t>
      </w:r>
      <w:proofErr w:type="spellEnd"/>
      <w:r w:rsidRPr="00853F57">
        <w:rPr>
          <w:rFonts w:ascii="Arial" w:hAnsi="Arial" w:cs="Arial"/>
          <w:b/>
          <w:color w:val="000000" w:themeColor="text1"/>
          <w:lang w:val="en-GB"/>
        </w:rPr>
        <w:t xml:space="preserve"> Construction Corporation</w:t>
      </w:r>
    </w:p>
    <w:p w14:paraId="002B3B59" w14:textId="77777777" w:rsidR="00437109" w:rsidRPr="00853F57" w:rsidRDefault="00437109" w:rsidP="00437109">
      <w:pPr>
        <w:rPr>
          <w:rFonts w:ascii="Arial" w:hAnsi="Arial" w:cs="Arial"/>
          <w:b/>
          <w:color w:val="000000" w:themeColor="text1"/>
          <w:lang w:val="en-GB"/>
        </w:rPr>
      </w:pPr>
      <w:r w:rsidRPr="00853F57">
        <w:rPr>
          <w:rFonts w:ascii="Arial" w:hAnsi="Arial" w:cs="Arial"/>
          <w:b/>
          <w:color w:val="000000" w:themeColor="text1"/>
          <w:lang w:val="en-GB"/>
        </w:rPr>
        <w:t xml:space="preserve"> </w:t>
      </w:r>
    </w:p>
    <w:p w14:paraId="15906B53" w14:textId="6662EF1B" w:rsidR="00437109" w:rsidRPr="00853F57" w:rsidRDefault="00437109" w:rsidP="00437109">
      <w:pPr>
        <w:jc w:val="both"/>
        <w:rPr>
          <w:rFonts w:ascii="Arial" w:hAnsi="Arial" w:cs="Arial"/>
          <w:color w:val="000000" w:themeColor="text1"/>
          <w:lang w:val="en-GB"/>
        </w:rPr>
      </w:pPr>
      <w:proofErr w:type="spellStart"/>
      <w:r w:rsidRPr="00853F57">
        <w:rPr>
          <w:rFonts w:ascii="Arial" w:hAnsi="Arial" w:cs="Arial"/>
          <w:color w:val="000000" w:themeColor="text1"/>
          <w:lang w:val="en-GB"/>
        </w:rPr>
        <w:t>Megawide</w:t>
      </w:r>
      <w:proofErr w:type="spellEnd"/>
      <w:r w:rsidRPr="00853F57">
        <w:rPr>
          <w:rFonts w:ascii="Arial" w:hAnsi="Arial" w:cs="Arial"/>
          <w:color w:val="000000" w:themeColor="text1"/>
          <w:lang w:val="en-GB"/>
        </w:rPr>
        <w:t xml:space="preserve"> Construction Corporation, together with its subsidiaries, </w:t>
      </w:r>
      <w:r w:rsidR="00B00CFF" w:rsidRPr="00853F57">
        <w:rPr>
          <w:rFonts w:ascii="Arial" w:hAnsi="Arial" w:cs="Arial"/>
          <w:color w:val="000000" w:themeColor="text1"/>
          <w:lang w:val="en-GB"/>
        </w:rPr>
        <w:t xml:space="preserve">engaged </w:t>
      </w:r>
      <w:r w:rsidRPr="00853F57">
        <w:rPr>
          <w:rFonts w:ascii="Arial" w:hAnsi="Arial" w:cs="Arial"/>
          <w:color w:val="000000" w:themeColor="text1"/>
          <w:lang w:val="en-GB"/>
        </w:rPr>
        <w:t xml:space="preserve">in the general construction business in the Philippines. It </w:t>
      </w:r>
      <w:r w:rsidR="00B00CFF" w:rsidRPr="00853F57">
        <w:rPr>
          <w:rFonts w:ascii="Arial" w:hAnsi="Arial" w:cs="Arial"/>
          <w:color w:val="000000" w:themeColor="text1"/>
          <w:lang w:val="en-GB"/>
        </w:rPr>
        <w:t xml:space="preserve">operated </w:t>
      </w:r>
      <w:r w:rsidRPr="00853F57">
        <w:rPr>
          <w:rFonts w:ascii="Arial" w:hAnsi="Arial" w:cs="Arial"/>
          <w:color w:val="000000" w:themeColor="text1"/>
          <w:lang w:val="en-GB"/>
        </w:rPr>
        <w:t xml:space="preserve">through </w:t>
      </w:r>
      <w:r w:rsidR="00B00CFF" w:rsidRPr="00853F57">
        <w:rPr>
          <w:rFonts w:ascii="Arial" w:hAnsi="Arial" w:cs="Arial"/>
          <w:color w:val="000000" w:themeColor="text1"/>
          <w:lang w:val="en-GB"/>
        </w:rPr>
        <w:t xml:space="preserve">construction </w:t>
      </w:r>
      <w:r w:rsidRPr="00853F57">
        <w:rPr>
          <w:rFonts w:ascii="Arial" w:hAnsi="Arial" w:cs="Arial"/>
          <w:color w:val="000000" w:themeColor="text1"/>
          <w:lang w:val="en-GB"/>
        </w:rPr>
        <w:t xml:space="preserve">and </w:t>
      </w:r>
      <w:r w:rsidR="00B00CFF" w:rsidRPr="00853F57">
        <w:rPr>
          <w:rFonts w:ascii="Arial" w:hAnsi="Arial" w:cs="Arial"/>
          <w:color w:val="000000" w:themeColor="text1"/>
          <w:lang w:val="en-GB"/>
        </w:rPr>
        <w:t xml:space="preserve">airport operations </w:t>
      </w:r>
      <w:r w:rsidRPr="00853F57">
        <w:rPr>
          <w:rFonts w:ascii="Arial" w:hAnsi="Arial" w:cs="Arial"/>
          <w:color w:val="000000" w:themeColor="text1"/>
          <w:lang w:val="en-GB"/>
        </w:rPr>
        <w:t xml:space="preserve">segments. The company </w:t>
      </w:r>
      <w:r w:rsidR="00B00CFF" w:rsidRPr="00853F57">
        <w:rPr>
          <w:rFonts w:ascii="Arial" w:hAnsi="Arial" w:cs="Arial"/>
          <w:color w:val="000000" w:themeColor="text1"/>
          <w:lang w:val="en-GB"/>
        </w:rPr>
        <w:t xml:space="preserve">was </w:t>
      </w:r>
      <w:r w:rsidRPr="00853F57">
        <w:rPr>
          <w:rFonts w:ascii="Arial" w:hAnsi="Arial" w:cs="Arial"/>
          <w:color w:val="000000" w:themeColor="text1"/>
          <w:lang w:val="en-GB"/>
        </w:rPr>
        <w:t>primarily involved in constructing, enlarging, and repairing buildings, houses</w:t>
      </w:r>
      <w:r w:rsidR="00B00CFF" w:rsidRPr="00853F57">
        <w:rPr>
          <w:rFonts w:ascii="Arial" w:hAnsi="Arial" w:cs="Arial"/>
          <w:color w:val="000000" w:themeColor="text1"/>
          <w:lang w:val="en-GB"/>
        </w:rPr>
        <w:t>,</w:t>
      </w:r>
      <w:r w:rsidRPr="00853F57">
        <w:rPr>
          <w:rFonts w:ascii="Arial" w:hAnsi="Arial" w:cs="Arial"/>
          <w:color w:val="000000" w:themeColor="text1"/>
          <w:lang w:val="en-GB"/>
        </w:rPr>
        <w:t xml:space="preserve"> and condominiums, roads, plants, bridges, piers, waterworks, railroads, and other structures. It also </w:t>
      </w:r>
      <w:r w:rsidR="00B00CFF" w:rsidRPr="00853F57">
        <w:rPr>
          <w:rFonts w:ascii="Arial" w:hAnsi="Arial" w:cs="Arial"/>
          <w:color w:val="000000" w:themeColor="text1"/>
          <w:lang w:val="en-GB"/>
        </w:rPr>
        <w:t xml:space="preserve">offered </w:t>
      </w:r>
      <w:r w:rsidRPr="00853F57">
        <w:rPr>
          <w:rFonts w:ascii="Arial" w:hAnsi="Arial" w:cs="Arial"/>
          <w:color w:val="000000" w:themeColor="text1"/>
          <w:lang w:val="en-GB"/>
        </w:rPr>
        <w:t>precast items and concrete products</w:t>
      </w:r>
      <w:r w:rsidR="00B00CFF" w:rsidRPr="00853F57">
        <w:rPr>
          <w:rFonts w:ascii="Arial" w:hAnsi="Arial" w:cs="Arial"/>
          <w:color w:val="000000" w:themeColor="text1"/>
          <w:lang w:val="en-GB"/>
        </w:rPr>
        <w:t>,</w:t>
      </w:r>
      <w:r w:rsidRPr="00853F57">
        <w:rPr>
          <w:rFonts w:ascii="Arial" w:hAnsi="Arial" w:cs="Arial"/>
          <w:color w:val="000000" w:themeColor="text1"/>
          <w:lang w:val="en-GB"/>
        </w:rPr>
        <w:t xml:space="preserve"> and </w:t>
      </w:r>
      <w:r w:rsidR="00B00CFF" w:rsidRPr="00853F57">
        <w:rPr>
          <w:rFonts w:ascii="Arial" w:hAnsi="Arial" w:cs="Arial"/>
          <w:color w:val="000000" w:themeColor="text1"/>
          <w:lang w:val="en-GB"/>
        </w:rPr>
        <w:t>it bought</w:t>
      </w:r>
      <w:r w:rsidRPr="00853F57">
        <w:rPr>
          <w:rFonts w:ascii="Arial" w:hAnsi="Arial" w:cs="Arial"/>
          <w:color w:val="000000" w:themeColor="text1"/>
          <w:lang w:val="en-GB"/>
        </w:rPr>
        <w:t xml:space="preserve">, </w:t>
      </w:r>
      <w:r w:rsidR="00B00CFF" w:rsidRPr="00853F57">
        <w:rPr>
          <w:rFonts w:ascii="Arial" w:hAnsi="Arial" w:cs="Arial"/>
          <w:color w:val="000000" w:themeColor="text1"/>
          <w:lang w:val="en-GB"/>
        </w:rPr>
        <w:t>sold</w:t>
      </w:r>
      <w:r w:rsidRPr="00853F57">
        <w:rPr>
          <w:rFonts w:ascii="Arial" w:hAnsi="Arial" w:cs="Arial"/>
          <w:color w:val="000000" w:themeColor="text1"/>
          <w:lang w:val="en-GB"/>
        </w:rPr>
        <w:t xml:space="preserve">, and </w:t>
      </w:r>
      <w:r w:rsidR="00B00CFF" w:rsidRPr="00853F57">
        <w:rPr>
          <w:rFonts w:ascii="Arial" w:hAnsi="Arial" w:cs="Arial"/>
          <w:color w:val="000000" w:themeColor="text1"/>
          <w:lang w:val="en-GB"/>
        </w:rPr>
        <w:t xml:space="preserve">leased </w:t>
      </w:r>
      <w:r w:rsidRPr="00853F57">
        <w:rPr>
          <w:rFonts w:ascii="Arial" w:hAnsi="Arial" w:cs="Arial"/>
          <w:color w:val="000000" w:themeColor="text1"/>
          <w:lang w:val="en-GB"/>
        </w:rPr>
        <w:t>formworks systems and construction equipment.</w:t>
      </w:r>
    </w:p>
    <w:p w14:paraId="60720626" w14:textId="77777777" w:rsidR="00437109" w:rsidRPr="00853F57" w:rsidRDefault="00437109" w:rsidP="00437109">
      <w:pPr>
        <w:jc w:val="both"/>
        <w:rPr>
          <w:rFonts w:ascii="Arial" w:hAnsi="Arial" w:cs="Arial"/>
          <w:color w:val="000000" w:themeColor="text1"/>
          <w:lang w:val="en-GB"/>
        </w:rPr>
      </w:pPr>
    </w:p>
    <w:p w14:paraId="56BFB0EE" w14:textId="77777777" w:rsidR="00F46471" w:rsidRPr="00853F57" w:rsidRDefault="00F46471" w:rsidP="00DF55A2">
      <w:pPr>
        <w:pStyle w:val="Footnote"/>
        <w:rPr>
          <w:lang w:val="en-GB"/>
        </w:rPr>
      </w:pPr>
      <w:r w:rsidRPr="00853F57">
        <w:rPr>
          <w:lang w:val="en-GB"/>
        </w:rPr>
        <w:t>Note: LTM = last 12 months; NTM = next twelve months; TEV = total enterprise value; EBITDA = earnings before interest, taxes depreciation and amortization; P/E = price to earnings; Negative net debt numbers indicate excess cash.</w:t>
      </w:r>
    </w:p>
    <w:p w14:paraId="1162D474" w14:textId="16175468" w:rsidR="00437109" w:rsidRPr="00853F57" w:rsidRDefault="00437109" w:rsidP="00DF55A2">
      <w:pPr>
        <w:pStyle w:val="Footnote"/>
        <w:rPr>
          <w:lang w:val="en-GB"/>
        </w:rPr>
      </w:pPr>
      <w:r w:rsidRPr="00853F57">
        <w:rPr>
          <w:lang w:val="en-GB"/>
        </w:rPr>
        <w:t xml:space="preserve">Source: </w:t>
      </w:r>
      <w:r w:rsidR="00F46471" w:rsidRPr="00853F57">
        <w:rPr>
          <w:lang w:val="en-GB"/>
        </w:rPr>
        <w:t>“</w:t>
      </w:r>
      <w:r w:rsidRPr="00853F57">
        <w:rPr>
          <w:lang w:val="en-GB"/>
        </w:rPr>
        <w:t>Holcim Philippines Quick Comps,</w:t>
      </w:r>
      <w:r w:rsidR="00F46471" w:rsidRPr="00853F57">
        <w:rPr>
          <w:lang w:val="en-GB"/>
        </w:rPr>
        <w:t>”</w:t>
      </w:r>
      <w:r w:rsidRPr="00853F57">
        <w:rPr>
          <w:lang w:val="en-GB"/>
        </w:rPr>
        <w:t xml:space="preserve"> Capital IQ, accessed August 27, 2020.</w:t>
      </w:r>
    </w:p>
    <w:p w14:paraId="52CA1E9D" w14:textId="4CBFE191" w:rsidR="00437109" w:rsidRPr="00853F57" w:rsidRDefault="00437109">
      <w:pPr>
        <w:spacing w:after="200" w:line="276" w:lineRule="auto"/>
        <w:rPr>
          <w:sz w:val="22"/>
          <w:szCs w:val="22"/>
          <w:lang w:val="en-GB"/>
        </w:rPr>
      </w:pPr>
      <w:r w:rsidRPr="00853F57">
        <w:rPr>
          <w:lang w:val="en-GB"/>
        </w:rPr>
        <w:br w:type="page"/>
      </w:r>
    </w:p>
    <w:p w14:paraId="783D6717" w14:textId="3C334FEA" w:rsidR="00437109" w:rsidRPr="00853F57" w:rsidRDefault="00437109" w:rsidP="00437109">
      <w:pPr>
        <w:pStyle w:val="Casehead1"/>
        <w:rPr>
          <w:lang w:val="en-GB"/>
        </w:rPr>
      </w:pPr>
      <w:r w:rsidRPr="00853F57">
        <w:rPr>
          <w:lang w:val="en-GB"/>
        </w:rPr>
        <w:lastRenderedPageBreak/>
        <w:t>Endnotes</w:t>
      </w:r>
    </w:p>
    <w:sectPr w:rsidR="00437109" w:rsidRPr="00853F57"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7174F" w16cex:dateUtc="2021-06-30T08: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044E7" w14:textId="77777777" w:rsidR="00E30F09" w:rsidRDefault="00E30F09" w:rsidP="00D75295">
      <w:r>
        <w:separator/>
      </w:r>
    </w:p>
  </w:endnote>
  <w:endnote w:type="continuationSeparator" w:id="0">
    <w:p w14:paraId="55A8D4F0" w14:textId="77777777" w:rsidR="00E30F09" w:rsidRDefault="00E30F09" w:rsidP="00D75295">
      <w:r>
        <w:continuationSeparator/>
      </w:r>
    </w:p>
  </w:endnote>
  <w:endnote w:id="1">
    <w:p w14:paraId="37318BAF" w14:textId="75AC6599" w:rsidR="00E30F09" w:rsidRPr="00D04844" w:rsidRDefault="00E30F09" w:rsidP="00D04844">
      <w:pPr>
        <w:pStyle w:val="Footnote"/>
      </w:pPr>
      <w:r>
        <w:rPr>
          <w:rStyle w:val="EndnoteReference"/>
        </w:rPr>
        <w:endnoteRef/>
      </w:r>
      <w:r>
        <w:t xml:space="preserve"> </w:t>
      </w:r>
      <w:r w:rsidRPr="00D04844">
        <w:t xml:space="preserve">This case has been written on the basis of published sources. Consequently, the interpretation and perspectives presented in this case are not necessarily those of </w:t>
      </w:r>
      <w:r w:rsidR="00FB0C57" w:rsidRPr="007D3515">
        <w:rPr>
          <w:spacing w:val="-4"/>
          <w:lang w:val="en-GB"/>
        </w:rPr>
        <w:t>San Miguel Corporation</w:t>
      </w:r>
      <w:r w:rsidR="00FB0C57">
        <w:rPr>
          <w:spacing w:val="-4"/>
          <w:lang w:val="en-GB"/>
        </w:rPr>
        <w:t xml:space="preserve">, </w:t>
      </w:r>
      <w:r w:rsidRPr="007D3515">
        <w:rPr>
          <w:spacing w:val="-4"/>
          <w:lang w:val="en-GB"/>
        </w:rPr>
        <w:t>Holcim Philippines Inc</w:t>
      </w:r>
      <w:r>
        <w:rPr>
          <w:spacing w:val="-4"/>
          <w:lang w:val="en-GB"/>
        </w:rPr>
        <w:t>.</w:t>
      </w:r>
      <w:r w:rsidRPr="00D04844">
        <w:t xml:space="preserve"> or any of</w:t>
      </w:r>
      <w:r w:rsidR="00FB0C57">
        <w:t xml:space="preserve"> their</w:t>
      </w:r>
      <w:r w:rsidRPr="00D04844">
        <w:t xml:space="preserve"> employees</w:t>
      </w:r>
      <w:r>
        <w:t>.</w:t>
      </w:r>
    </w:p>
  </w:endnote>
  <w:endnote w:id="2">
    <w:p w14:paraId="37CD3461" w14:textId="7941BDFA" w:rsidR="00E30F09" w:rsidRPr="0034044B" w:rsidRDefault="00E30F09" w:rsidP="00437109">
      <w:pPr>
        <w:pStyle w:val="Footnote"/>
      </w:pPr>
      <w:r w:rsidRPr="0034044B">
        <w:rPr>
          <w:rStyle w:val="EndnoteReference"/>
        </w:rPr>
        <w:endnoteRef/>
      </w:r>
      <w:r w:rsidRPr="0034044B">
        <w:t xml:space="preserve"> ₱ = Philippine peso; ₱1 = US$0.0191579 as of May 11, 2019. </w:t>
      </w:r>
    </w:p>
  </w:endnote>
  <w:endnote w:id="3">
    <w:p w14:paraId="565F5157" w14:textId="6C4FEE68" w:rsidR="00E30F09" w:rsidRPr="0034044B" w:rsidRDefault="00E30F09" w:rsidP="00437109">
      <w:pPr>
        <w:pStyle w:val="Footnote"/>
      </w:pPr>
      <w:r w:rsidRPr="0034044B">
        <w:rPr>
          <w:rStyle w:val="EndnoteReference"/>
        </w:rPr>
        <w:endnoteRef/>
      </w:r>
      <w:r w:rsidRPr="0034044B">
        <w:t xml:space="preserve"> Iris Gonzales, “SMC Acquires Holcim,” </w:t>
      </w:r>
      <w:r w:rsidRPr="0034044B">
        <w:rPr>
          <w:i/>
        </w:rPr>
        <w:t>Philippine Star</w:t>
      </w:r>
      <w:r w:rsidRPr="0034044B">
        <w:rPr>
          <w:iCs/>
        </w:rPr>
        <w:t>,</w:t>
      </w:r>
      <w:r w:rsidRPr="0034044B">
        <w:t xml:space="preserve"> May 11, 2019, accessed May 14, 2019, </w:t>
      </w:r>
      <w:hyperlink r:id="rId1" w:history="1">
        <w:r w:rsidRPr="0034044B">
          <w:rPr>
            <w:rStyle w:val="Hyperlink"/>
            <w:color w:val="auto"/>
            <w:u w:val="none"/>
          </w:rPr>
          <w:t>www.philstar.com/business/2019/05/11/1916762/smc-acquires-holcim</w:t>
        </w:r>
      </w:hyperlink>
      <w:r w:rsidRPr="0034044B">
        <w:t xml:space="preserve">. </w:t>
      </w:r>
    </w:p>
  </w:endnote>
  <w:endnote w:id="4">
    <w:p w14:paraId="21C06A39" w14:textId="1C9DC9B5" w:rsidR="00E30F09" w:rsidRPr="0034044B" w:rsidRDefault="00E30F09" w:rsidP="00437109">
      <w:pPr>
        <w:pStyle w:val="Footnote"/>
      </w:pPr>
      <w:r w:rsidRPr="0034044B">
        <w:rPr>
          <w:rStyle w:val="EndnoteReference"/>
        </w:rPr>
        <w:endnoteRef/>
      </w:r>
      <w:r w:rsidRPr="0034044B">
        <w:t xml:space="preserve"> </w:t>
      </w:r>
      <w:r w:rsidRPr="00D04844">
        <w:rPr>
          <w:spacing w:val="-4"/>
        </w:rPr>
        <w:t xml:space="preserve">Holcim Philippines, Inc, “PSE Disclosure Form 4-5—Change in Control of Issuer,” Philippine Stock Exchange (PSE) Edge, May 10, 2019, accessed May 10, 2019, </w:t>
      </w:r>
      <w:hyperlink r:id="rId2" w:history="1">
        <w:r w:rsidRPr="00D04844">
          <w:rPr>
            <w:rStyle w:val="Hyperlink"/>
            <w:color w:val="auto"/>
            <w:spacing w:val="-4"/>
            <w:u w:val="none"/>
          </w:rPr>
          <w:t>https://edge.pse.com.ph/openDiscViewer.do?edge_no=75bd6f7a98cfb597efdfc15ec263a54d</w:t>
        </w:r>
      </w:hyperlink>
      <w:r w:rsidRPr="00D04844">
        <w:rPr>
          <w:rStyle w:val="Hyperlink"/>
          <w:color w:val="auto"/>
          <w:spacing w:val="-4"/>
          <w:u w:val="none"/>
        </w:rPr>
        <w:t>.</w:t>
      </w:r>
      <w:r w:rsidRPr="0034044B">
        <w:t xml:space="preserve"> </w:t>
      </w:r>
    </w:p>
  </w:endnote>
  <w:endnote w:id="5">
    <w:p w14:paraId="6DB7CA98" w14:textId="5F555795" w:rsidR="00E30F09" w:rsidRPr="0034044B" w:rsidRDefault="00E30F09" w:rsidP="00437109">
      <w:pPr>
        <w:pStyle w:val="Footnote"/>
      </w:pPr>
      <w:r w:rsidRPr="0034044B">
        <w:rPr>
          <w:rStyle w:val="EndnoteReference"/>
        </w:rPr>
        <w:endnoteRef/>
      </w:r>
      <w:r w:rsidRPr="0034044B">
        <w:t xml:space="preserve"> </w:t>
      </w:r>
      <w:bookmarkStart w:id="3" w:name="_Hlk68709217"/>
      <w:r w:rsidRPr="0034044B">
        <w:t xml:space="preserve">Iris Gonzales, “SMC Seeks Exemptive Relief on Holcim Bid,” </w:t>
      </w:r>
      <w:r w:rsidRPr="0034044B">
        <w:rPr>
          <w:i/>
          <w:iCs/>
        </w:rPr>
        <w:t>Philippine Star</w:t>
      </w:r>
      <w:r w:rsidRPr="0034044B">
        <w:t xml:space="preserve">, May 20, 2019, accessed May 6, 2020, </w:t>
      </w:r>
      <w:hyperlink r:id="rId3" w:history="1">
        <w:r w:rsidRPr="0034044B">
          <w:rPr>
            <w:rStyle w:val="Hyperlink"/>
            <w:color w:val="auto"/>
            <w:u w:val="none"/>
          </w:rPr>
          <w:t>www.philstar.com/business/2019/05/20/1919205/smc-seeks-exemptive-relief-holcim-bid</w:t>
        </w:r>
      </w:hyperlink>
      <w:r w:rsidRPr="0034044B">
        <w:t>I.</w:t>
      </w:r>
      <w:bookmarkEnd w:id="3"/>
      <w:r w:rsidRPr="0034044B" w:rsidDel="00A7624E">
        <w:rPr>
          <w:i/>
        </w:rPr>
        <w:t xml:space="preserve"> </w:t>
      </w:r>
    </w:p>
  </w:endnote>
  <w:endnote w:id="6">
    <w:p w14:paraId="3EE42AC5" w14:textId="085FB149" w:rsidR="00E30F09" w:rsidRPr="0034044B" w:rsidRDefault="00E30F09" w:rsidP="00437109">
      <w:pPr>
        <w:pStyle w:val="Footnote"/>
      </w:pPr>
      <w:r w:rsidRPr="0034044B">
        <w:rPr>
          <w:rStyle w:val="EndnoteReference"/>
        </w:rPr>
        <w:endnoteRef/>
      </w:r>
      <w:r w:rsidRPr="0034044B">
        <w:t xml:space="preserve"> The Philippine Securities and Exchange Commission required all acquisitions involving at least 35 per cent of a listed corporation to be subject to a mandatory tender offer. Under the rule, the purchaser would have to offer to buy the remaining shares held by minority shareholders at the same terms given to the seller.</w:t>
      </w:r>
    </w:p>
  </w:endnote>
  <w:endnote w:id="7">
    <w:p w14:paraId="5249A3A7" w14:textId="07213118" w:rsidR="00E30F09" w:rsidRPr="0034044B" w:rsidRDefault="00E30F09" w:rsidP="00437109">
      <w:pPr>
        <w:pStyle w:val="Footnote"/>
      </w:pPr>
      <w:r w:rsidRPr="0034044B">
        <w:rPr>
          <w:rStyle w:val="EndnoteReference"/>
        </w:rPr>
        <w:endnoteRef/>
      </w:r>
      <w:r w:rsidRPr="0034044B">
        <w:t xml:space="preserve"> Arra Francia, “SMC Plans Tender Offer for Holcim PHL Minority Shareholders,” Business World, May 10, 2019, accessed May 14, 2020, www.bworldonline.com/smc-plans-tender-offer-for-holcim-phl-minority-shareholders/</w:t>
      </w:r>
    </w:p>
  </w:endnote>
  <w:endnote w:id="8">
    <w:p w14:paraId="6E182092" w14:textId="780384F9" w:rsidR="00E30F09" w:rsidRPr="0034044B" w:rsidRDefault="00E30F09" w:rsidP="00437109">
      <w:pPr>
        <w:pStyle w:val="Footnote"/>
      </w:pPr>
      <w:r w:rsidRPr="0034044B">
        <w:rPr>
          <w:rStyle w:val="EndnoteReference"/>
        </w:rPr>
        <w:endnoteRef/>
      </w:r>
      <w:r w:rsidRPr="0034044B">
        <w:t xml:space="preserve"> The Philippine Competition Commission was an independent, quasi-judicial body created to promote and maintain market competition by regulating anti-competitive conduct. Parties to a merger or acquisition agreement where the value of the transaction exceeded ₱1 billion were required to notify the Philippine Competition Commission of the agreement, and they could not complete the agreement without the approval of the commission. </w:t>
      </w:r>
    </w:p>
  </w:endnote>
  <w:endnote w:id="9">
    <w:p w14:paraId="2EA67840" w14:textId="7DE8E8DD" w:rsidR="00E30F09" w:rsidRPr="0034044B" w:rsidRDefault="00E30F09" w:rsidP="00034CB9">
      <w:pPr>
        <w:pStyle w:val="Footnote"/>
      </w:pPr>
      <w:r w:rsidRPr="0034044B">
        <w:rPr>
          <w:rStyle w:val="EndnoteReference"/>
          <w:rFonts w:eastAsia="Calibri"/>
        </w:rPr>
        <w:endnoteRef/>
      </w:r>
      <w:r w:rsidRPr="0034044B">
        <w:rPr>
          <w:rFonts w:eastAsia="Calibri"/>
        </w:rPr>
        <w:t xml:space="preserve"> Gonzales, “SMC Seeks Exemptive Relief,” o</w:t>
      </w:r>
      <w:r w:rsidRPr="0034044B">
        <w:t>p. cit.</w:t>
      </w:r>
      <w:r w:rsidRPr="0034044B" w:rsidDel="00A7624E">
        <w:rPr>
          <w:i/>
        </w:rPr>
        <w:t xml:space="preserve"> </w:t>
      </w:r>
    </w:p>
  </w:endnote>
  <w:endnote w:id="10">
    <w:p w14:paraId="436008CA" w14:textId="58F48A7E" w:rsidR="00E30F09" w:rsidRPr="0034044B" w:rsidRDefault="00E30F09" w:rsidP="00437109">
      <w:pPr>
        <w:pStyle w:val="Footnote"/>
        <w:rPr>
          <w:i/>
        </w:rPr>
      </w:pPr>
      <w:r w:rsidRPr="0034044B">
        <w:rPr>
          <w:rStyle w:val="EndnoteReference"/>
        </w:rPr>
        <w:endnoteRef/>
      </w:r>
      <w:r w:rsidRPr="0034044B">
        <w:t xml:space="preserve"> Ibid. </w:t>
      </w:r>
    </w:p>
  </w:endnote>
  <w:endnote w:id="11">
    <w:p w14:paraId="563E098B" w14:textId="63183A9F" w:rsidR="00E30F09" w:rsidRPr="0034044B" w:rsidRDefault="00E30F09" w:rsidP="00437109">
      <w:pPr>
        <w:pStyle w:val="Footnote"/>
      </w:pPr>
      <w:r w:rsidRPr="0034044B">
        <w:rPr>
          <w:rStyle w:val="EndnoteReference"/>
        </w:rPr>
        <w:endnoteRef/>
      </w:r>
      <w:r w:rsidRPr="0034044B">
        <w:t xml:space="preserve"> “Stock Data: Holcim Philippines, Inc,” PSE Edge, May 10, 2019, accessed May 4, 2020, https://edge.pse.com.ph/companyPage/stockData.do?cmpy_id=211.</w:t>
      </w:r>
    </w:p>
  </w:endnote>
  <w:endnote w:id="12">
    <w:p w14:paraId="32EB203D" w14:textId="7C912951" w:rsidR="00E30F09" w:rsidRPr="0034044B" w:rsidRDefault="00E30F09" w:rsidP="00437109">
      <w:pPr>
        <w:pStyle w:val="Footnote"/>
      </w:pPr>
      <w:r w:rsidRPr="0034044B">
        <w:rPr>
          <w:rStyle w:val="EndnoteReference"/>
        </w:rPr>
        <w:endnoteRef/>
      </w:r>
      <w:r w:rsidRPr="0034044B">
        <w:t xml:space="preserve"> </w:t>
      </w:r>
      <w:r>
        <w:t xml:space="preserve">Ibid.; </w:t>
      </w:r>
      <w:r w:rsidRPr="0034044B">
        <w:t>Holcim Philippines, Inc., “Stock Prices of Shares for Holcim Philippines, Inc.” S&amp;P Capital IQ, accessed July 25, 2020.</w:t>
      </w:r>
    </w:p>
  </w:endnote>
  <w:endnote w:id="13">
    <w:p w14:paraId="01409E01" w14:textId="16114594" w:rsidR="00E30F09" w:rsidRPr="0034044B" w:rsidRDefault="00E30F09" w:rsidP="00437109">
      <w:pPr>
        <w:pStyle w:val="Footnote"/>
      </w:pPr>
      <w:r w:rsidRPr="0034044B">
        <w:rPr>
          <w:rStyle w:val="EndnoteReference"/>
        </w:rPr>
        <w:endnoteRef/>
      </w:r>
      <w:r w:rsidRPr="0034044B">
        <w:t xml:space="preserve"> James Clifford Santos and Aidyl Pearl Perez, “Concrete Giants on the Fore: An Industry and Competitive Analysis of the Philippine Cement Industry” (research paper, Ateneo De Manila University School of Law, n.d.), accessed July 25, 2020, www.academia.edu/37258512/CONCRETE_GIANTS_ON_THE_FORE_An_Industry_and_Competitive_Analysis_of_the_Philippine_Cement_Industry.</w:t>
      </w:r>
    </w:p>
  </w:endnote>
  <w:endnote w:id="14">
    <w:p w14:paraId="26FA37AC" w14:textId="056BF3BA" w:rsidR="00E30F09" w:rsidRPr="0034044B" w:rsidRDefault="00E30F09" w:rsidP="00437109">
      <w:pPr>
        <w:pStyle w:val="Footnote"/>
      </w:pPr>
      <w:r w:rsidRPr="0034044B">
        <w:rPr>
          <w:rStyle w:val="EndnoteReference"/>
        </w:rPr>
        <w:endnoteRef/>
      </w:r>
      <w:r w:rsidRPr="0034044B">
        <w:t xml:space="preserve"> Eagle Cement Corp. was “majority owned and managed by SMC President Ramon Ang in his personal capacity.”</w:t>
      </w:r>
    </w:p>
  </w:endnote>
  <w:endnote w:id="15">
    <w:p w14:paraId="2BCD33BD" w14:textId="45107411" w:rsidR="00E30F09" w:rsidRPr="0034044B" w:rsidRDefault="00E30F09" w:rsidP="006F7977">
      <w:pPr>
        <w:pStyle w:val="Footnote"/>
      </w:pPr>
      <w:r w:rsidRPr="0034044B">
        <w:rPr>
          <w:rStyle w:val="EndnoteReference"/>
        </w:rPr>
        <w:endnoteRef/>
      </w:r>
      <w:r w:rsidRPr="0034044B">
        <w:t xml:space="preserve"> Global Cement Staff, “Philippine Competition Commission Expects to Complete Investigation of Cement Industry by 2019,” </w:t>
      </w:r>
      <w:r w:rsidRPr="0034044B">
        <w:rPr>
          <w:iCs/>
        </w:rPr>
        <w:t>Global Cement,</w:t>
      </w:r>
      <w:r w:rsidRPr="0034044B">
        <w:t xml:space="preserve"> August 3, 2017, accessed September 22, 2020, www.globalcement.com/news/item/6412-philippine-competition-commission-expects-to-complete-investigation-of-cement-industry-by-2019.</w:t>
      </w:r>
    </w:p>
  </w:endnote>
  <w:endnote w:id="16">
    <w:p w14:paraId="6F777C1E" w14:textId="1A0C41E0" w:rsidR="00E30F09" w:rsidRPr="0034044B" w:rsidRDefault="00E30F09" w:rsidP="008B27DF">
      <w:pPr>
        <w:pStyle w:val="NoSpacing"/>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Raadee S. Sausa, “DTI Backs PCC Probe into Cement Industry,” </w:t>
      </w:r>
      <w:r w:rsidRPr="0034044B">
        <w:rPr>
          <w:rFonts w:ascii="Arial" w:hAnsi="Arial" w:cs="Arial"/>
          <w:i/>
          <w:iCs/>
          <w:sz w:val="17"/>
          <w:szCs w:val="17"/>
        </w:rPr>
        <w:t>Manila Times</w:t>
      </w:r>
      <w:r w:rsidRPr="0034044B">
        <w:rPr>
          <w:rFonts w:ascii="Arial" w:hAnsi="Arial" w:cs="Arial"/>
          <w:sz w:val="17"/>
          <w:szCs w:val="17"/>
        </w:rPr>
        <w:t>, March 13, 2017, accessed on February 2, 2021, www.manilatimes.net/2017/03/13/business/dti-backs-pcc-probe-cement-industry/316885/.</w:t>
      </w:r>
    </w:p>
  </w:endnote>
  <w:endnote w:id="17">
    <w:p w14:paraId="2414B301" w14:textId="0978EAD9" w:rsidR="00E30F09" w:rsidRPr="0034044B" w:rsidRDefault="00E30F09" w:rsidP="007B5DE4">
      <w:pPr>
        <w:pStyle w:val="Footnote"/>
      </w:pPr>
      <w:r w:rsidRPr="0034044B">
        <w:rPr>
          <w:rStyle w:val="EndnoteReference"/>
        </w:rPr>
        <w:endnoteRef/>
      </w:r>
      <w:r w:rsidRPr="0034044B">
        <w:t xml:space="preserve"> Eagle Cement Corporation, “Eagle Cement Corporation: IPO Prospectus,” May 11, 2017, Eagle Cement Corporation, accessed July 25, 2020, </w:t>
      </w:r>
      <w:hyperlink r:id="rId4" w:history="1">
        <w:r w:rsidRPr="0034044B">
          <w:rPr>
            <w:rStyle w:val="Hyperlink"/>
            <w:color w:val="auto"/>
            <w:u w:val="none"/>
          </w:rPr>
          <w:t>https://eaglecement.com.ph/corporate-disclosure/prospectus/1</w:t>
        </w:r>
      </w:hyperlink>
      <w:r w:rsidRPr="0034044B">
        <w:rPr>
          <w:rStyle w:val="Hyperlink"/>
          <w:color w:val="auto"/>
          <w:u w:val="none"/>
        </w:rPr>
        <w:t>.</w:t>
      </w:r>
    </w:p>
  </w:endnote>
  <w:endnote w:id="18">
    <w:p w14:paraId="4923F31F" w14:textId="03819E6E" w:rsidR="00E30F09" w:rsidRPr="0034044B" w:rsidRDefault="00E30F09" w:rsidP="007B5DE4">
      <w:pPr>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“Market Analysis Philippines,” S&amp;P Capital IQ, accessed January 28, 2021.</w:t>
      </w:r>
    </w:p>
  </w:endnote>
  <w:endnote w:id="19">
    <w:p w14:paraId="0332CA3A" w14:textId="5DFBF09C" w:rsidR="00E30F09" w:rsidRPr="0034044B" w:rsidRDefault="00E30F09" w:rsidP="007B5DE4">
      <w:pPr>
        <w:pStyle w:val="Footnote"/>
        <w:rPr>
          <w:spacing w:val="-2"/>
        </w:rPr>
      </w:pPr>
      <w:r w:rsidRPr="0034044B">
        <w:rPr>
          <w:rStyle w:val="EndnoteReference"/>
          <w:spacing w:val="-2"/>
        </w:rPr>
        <w:endnoteRef/>
      </w:r>
      <w:r w:rsidRPr="0034044B">
        <w:rPr>
          <w:spacing w:val="-2"/>
        </w:rPr>
        <w:t xml:space="preserve"> ICR Newsroom, “Philippines Cement Sales Rise 6.6% in 2016,” CNCemNet, February 28, 2017, accessed </w:t>
      </w:r>
      <w:r w:rsidRPr="0034044B">
        <w:t>May 20, 2020,</w:t>
      </w:r>
      <w:r w:rsidRPr="0034044B">
        <w:rPr>
          <w:spacing w:val="-2"/>
        </w:rPr>
        <w:t xml:space="preserve"> www.cemnet.com/News/story/161205/philippines-cement-sales-rise-6-6-in-2016.html.</w:t>
      </w:r>
    </w:p>
  </w:endnote>
  <w:endnote w:id="20">
    <w:p w14:paraId="62FDA5C2" w14:textId="36D119D3" w:rsidR="00E30F09" w:rsidRPr="0034044B" w:rsidRDefault="00E30F09" w:rsidP="006F7977">
      <w:pPr>
        <w:pStyle w:val="Footnote"/>
      </w:pPr>
      <w:r w:rsidRPr="0034044B">
        <w:rPr>
          <w:rStyle w:val="EndnoteReference"/>
        </w:rPr>
        <w:endnoteRef/>
      </w:r>
      <w:r w:rsidRPr="0034044B">
        <w:t xml:space="preserve"> VG Cabuag, “Cement Makers Jostle for Bigger Market Share,” Business Mirror, April 22, 2017, accessed January 21, 2018, https://businessmirror.com.ph/cement-makers-jostle-for-bigger-market-share/.</w:t>
      </w:r>
    </w:p>
  </w:endnote>
  <w:endnote w:id="21">
    <w:p w14:paraId="529E05F0" w14:textId="416CF1B1" w:rsidR="00E30F09" w:rsidRPr="0034044B" w:rsidRDefault="00E30F09" w:rsidP="006F7977">
      <w:pPr>
        <w:pStyle w:val="Footnote"/>
        <w:rPr>
          <w:b/>
          <w:bCs/>
        </w:rPr>
      </w:pPr>
      <w:r w:rsidRPr="0034044B">
        <w:rPr>
          <w:rStyle w:val="EndnoteReference"/>
          <w:bCs/>
        </w:rPr>
        <w:endnoteRef/>
      </w:r>
      <w:r w:rsidRPr="0034044B">
        <w:rPr>
          <w:bCs/>
        </w:rPr>
        <w:t xml:space="preserve"> “Philippines Sees 64% Increase in Cement Imports for 1Q19,” CNCemNet, May 23, 2019, accessed September 22, 2020, www.cemnet.com/News/story/166627/philippines-sees-64-increase-in-cement-imports-for-1q19.html.</w:t>
      </w:r>
    </w:p>
  </w:endnote>
  <w:endnote w:id="22">
    <w:p w14:paraId="1356B4D6" w14:textId="4DD207BE" w:rsidR="00E30F09" w:rsidRPr="0034044B" w:rsidRDefault="00E30F09">
      <w:pPr>
        <w:pStyle w:val="Footnote"/>
      </w:pPr>
      <w:r w:rsidRPr="0034044B">
        <w:rPr>
          <w:rStyle w:val="EndnoteReference"/>
        </w:rPr>
        <w:endnoteRef/>
      </w:r>
      <w:r w:rsidRPr="0034044B">
        <w:t xml:space="preserve"> Clinker was an intermediate product in cement production that was produced by grinding and burning a proportioned mixture of limestone, shale, and silica. When clinker was further subjected to grinding and mixed with gypsum, it became Portland cement, the most common type of cement in general use around the world.</w:t>
      </w:r>
    </w:p>
  </w:endnote>
  <w:endnote w:id="23">
    <w:p w14:paraId="60AEB7F1" w14:textId="7D680D73" w:rsidR="00E30F09" w:rsidRPr="0034044B" w:rsidRDefault="00E30F09">
      <w:pPr>
        <w:pStyle w:val="EndnoteText"/>
        <w:rPr>
          <w:rFonts w:ascii="Arial" w:hAnsi="Arial" w:cs="Arial"/>
          <w:sz w:val="17"/>
          <w:szCs w:val="17"/>
          <w:lang w:val="en-US"/>
        </w:rPr>
      </w:pPr>
      <w:r w:rsidRPr="0034044B">
        <w:rPr>
          <w:rStyle w:val="EndnoteReference"/>
          <w:rFonts w:ascii="Arial" w:hAnsi="Arial" w:cs="Arial"/>
          <w:sz w:val="17"/>
          <w:szCs w:val="17"/>
        </w:rPr>
        <w:endnoteRef/>
      </w:r>
      <w:r w:rsidRPr="0034044B">
        <w:rPr>
          <w:rFonts w:ascii="Arial" w:hAnsi="Arial" w:cs="Arial"/>
          <w:sz w:val="17"/>
          <w:szCs w:val="17"/>
        </w:rPr>
        <w:t xml:space="preserve"> </w:t>
      </w:r>
      <w:r w:rsidRPr="0034044B">
        <w:rPr>
          <w:rFonts w:ascii="Arial" w:hAnsi="Arial" w:cs="Arial"/>
          <w:sz w:val="17"/>
          <w:szCs w:val="17"/>
          <w:lang w:val="en-US" w:eastAsia="en-US"/>
        </w:rPr>
        <w:t>Build, Build, Build! was the Duterte administration’s plan to embark on an ambitious $180 billion infrastructure spending bonanza to transform the Philippines’ economy. The plan included 75 flagship projects, among them, six airports, nine railways, three rapid-bus transit projects, 32 roads and bridges, and four seaports, which would help bring down costs of production, improve rural incomes, encourage countryside investment, make the movement of goods and people more efficient, and create more jobs. Richard Javad Heydarian, “Duterte</w:t>
      </w:r>
      <w:r>
        <w:rPr>
          <w:rFonts w:ascii="Arial" w:hAnsi="Arial" w:cs="Arial"/>
          <w:sz w:val="17"/>
          <w:szCs w:val="17"/>
          <w:lang w:val="en-US" w:eastAsia="en-US"/>
        </w:rPr>
        <w:t>’</w:t>
      </w:r>
      <w:r w:rsidRPr="0034044B">
        <w:rPr>
          <w:rFonts w:ascii="Arial" w:hAnsi="Arial" w:cs="Arial"/>
          <w:sz w:val="17"/>
          <w:szCs w:val="17"/>
          <w:lang w:val="en-US" w:eastAsia="en-US"/>
        </w:rPr>
        <w:t xml:space="preserve">s Ambitious </w:t>
      </w:r>
      <w:r>
        <w:rPr>
          <w:rFonts w:ascii="Arial" w:hAnsi="Arial" w:cs="Arial"/>
          <w:sz w:val="17"/>
          <w:szCs w:val="17"/>
          <w:lang w:val="en-US" w:eastAsia="en-US"/>
        </w:rPr>
        <w:t>‘</w:t>
      </w:r>
      <w:r w:rsidRPr="0034044B">
        <w:rPr>
          <w:rFonts w:ascii="Arial" w:hAnsi="Arial" w:cs="Arial"/>
          <w:sz w:val="17"/>
          <w:szCs w:val="17"/>
          <w:lang w:val="en-US" w:eastAsia="en-US"/>
        </w:rPr>
        <w:t>Build, Build, Build</w:t>
      </w:r>
      <w:r>
        <w:rPr>
          <w:rFonts w:ascii="Arial" w:hAnsi="Arial" w:cs="Arial"/>
          <w:sz w:val="17"/>
          <w:szCs w:val="17"/>
          <w:lang w:val="en-US" w:eastAsia="en-US"/>
        </w:rPr>
        <w:t>’</w:t>
      </w:r>
      <w:r w:rsidRPr="0034044B">
        <w:rPr>
          <w:rFonts w:ascii="Arial" w:hAnsi="Arial" w:cs="Arial"/>
          <w:sz w:val="17"/>
          <w:szCs w:val="17"/>
          <w:lang w:val="en-US" w:eastAsia="en-US"/>
        </w:rPr>
        <w:t xml:space="preserve"> Project To Transform The Philippines Could Become His Legacy,” </w:t>
      </w:r>
      <w:r w:rsidRPr="007D3515">
        <w:rPr>
          <w:rFonts w:ascii="Arial" w:hAnsi="Arial" w:cs="Arial"/>
          <w:i/>
          <w:iCs/>
          <w:sz w:val="17"/>
          <w:szCs w:val="17"/>
          <w:lang w:val="en-US" w:eastAsia="en-US"/>
        </w:rPr>
        <w:t>Forbes</w:t>
      </w:r>
      <w:r w:rsidRPr="0034044B">
        <w:rPr>
          <w:rFonts w:ascii="Arial" w:hAnsi="Arial" w:cs="Arial"/>
          <w:sz w:val="17"/>
          <w:szCs w:val="17"/>
          <w:lang w:val="en-US" w:eastAsia="en-US"/>
        </w:rPr>
        <w:t>, February 28, 2018, assessed April 27, 2021, https://www.forbes.com/sites/outofasia/2018/02/28/dutertes-ambitious-build-build-build-project-to-transform-the-philippines-could-become-his-legacy/?sh=73d7c94f1a7f</w:t>
      </w:r>
    </w:p>
  </w:endnote>
  <w:endnote w:id="24">
    <w:p w14:paraId="58864B7F" w14:textId="2F8E3176" w:rsidR="00E30F09" w:rsidRPr="0034044B" w:rsidRDefault="00E30F09">
      <w:pPr>
        <w:pStyle w:val="Footnote"/>
      </w:pPr>
      <w:r w:rsidRPr="0034044B">
        <w:rPr>
          <w:rStyle w:val="EndnoteReference"/>
        </w:rPr>
        <w:endnoteRef/>
      </w:r>
      <w:r w:rsidRPr="0034044B">
        <w:t xml:space="preserve"> Kris Crismundo, “Cement Industry Feeling ‘Build Build Build Effect,’” Philippine News Agency, September 24, 2018, accessed July 25, 2019, www.pna.gov.ph/articles/1048887. </w:t>
      </w:r>
    </w:p>
  </w:endnote>
  <w:endnote w:id="25">
    <w:p w14:paraId="1D048556" w14:textId="46E50749" w:rsidR="00E30F09" w:rsidRPr="0034044B" w:rsidRDefault="00E30F09" w:rsidP="006F7977">
      <w:pPr>
        <w:pStyle w:val="Footnote"/>
      </w:pPr>
      <w:r w:rsidRPr="0034044B">
        <w:rPr>
          <w:rStyle w:val="EndnoteReference"/>
        </w:rPr>
        <w:endnoteRef/>
      </w:r>
      <w:r w:rsidRPr="0034044B">
        <w:t xml:space="preserve"> Richmond Mercurio, “Philippine Construction Works Seen Growing over 50% by 2020,” </w:t>
      </w:r>
      <w:r w:rsidRPr="0034044B">
        <w:rPr>
          <w:i/>
        </w:rPr>
        <w:t>Philippine Star</w:t>
      </w:r>
      <w:r w:rsidRPr="0034044B">
        <w:t>, May 26, 2016, accessed September 24,2018, www.philstar.com/business/2016/05/26/1586914/philippine-construction-works-seen-growing-over-50-2020.</w:t>
      </w:r>
    </w:p>
  </w:endnote>
  <w:endnote w:id="26">
    <w:p w14:paraId="517BF2F5" w14:textId="2F25DD2B" w:rsidR="00E30F09" w:rsidRPr="0034044B" w:rsidRDefault="00E30F09" w:rsidP="006F7977">
      <w:pPr>
        <w:pStyle w:val="Footnote"/>
        <w:rPr>
          <w:b/>
          <w:bCs/>
        </w:rPr>
      </w:pPr>
      <w:r w:rsidRPr="0034044B">
        <w:rPr>
          <w:rStyle w:val="EndnoteReference"/>
          <w:bCs/>
        </w:rPr>
        <w:endnoteRef/>
      </w:r>
      <w:r w:rsidRPr="0034044B">
        <w:rPr>
          <w:bCs/>
        </w:rPr>
        <w:t xml:space="preserve"> Tessa R. Salazar, “Expat Population Spurs Demand for Posh Condos,” Inquirer.net, June 15, 2012, accessed May 2, 2020, </w:t>
      </w:r>
      <w:hyperlink r:id="rId5" w:history="1">
        <w:r w:rsidRPr="0034044B">
          <w:rPr>
            <w:rStyle w:val="Hyperlink"/>
            <w:bCs/>
            <w:color w:val="auto"/>
            <w:u w:val="none"/>
          </w:rPr>
          <w:t>http://business.inquirer.net/65303/expat-population-spurs-demand-for-posh-condos</w:t>
        </w:r>
      </w:hyperlink>
      <w:r w:rsidRPr="0034044B">
        <w:rPr>
          <w:rStyle w:val="Hyperlink"/>
          <w:bCs/>
          <w:color w:val="auto"/>
          <w:u w:val="none"/>
        </w:rPr>
        <w:t>.</w:t>
      </w:r>
    </w:p>
  </w:endnote>
  <w:endnote w:id="27">
    <w:p w14:paraId="1B247C1F" w14:textId="37BB8D73" w:rsidR="00E30F09" w:rsidRPr="0034044B" w:rsidRDefault="00E30F09" w:rsidP="006F7977">
      <w:pPr>
        <w:pStyle w:val="Footnote"/>
        <w:rPr>
          <w:b/>
          <w:bCs/>
        </w:rPr>
      </w:pPr>
      <w:r w:rsidRPr="0034044B">
        <w:rPr>
          <w:rStyle w:val="EndnoteReference"/>
          <w:bCs/>
        </w:rPr>
        <w:endnoteRef/>
      </w:r>
      <w:r w:rsidRPr="0034044B">
        <w:rPr>
          <w:bCs/>
        </w:rPr>
        <w:t xml:space="preserve"> Rey Gamboa, “Tourism Investment Gate Opens,” </w:t>
      </w:r>
      <w:r w:rsidRPr="0034044B">
        <w:rPr>
          <w:bCs/>
          <w:i/>
          <w:iCs/>
        </w:rPr>
        <w:t>Philippine Star</w:t>
      </w:r>
      <w:r w:rsidRPr="0034044B">
        <w:rPr>
          <w:bCs/>
        </w:rPr>
        <w:t xml:space="preserve">, January 11, 2018, accessed May 2, 2020, </w:t>
      </w:r>
      <w:hyperlink r:id="rId6" w:history="1">
        <w:r w:rsidRPr="0034044B">
          <w:rPr>
            <w:rStyle w:val="Hyperlink"/>
            <w:bCs/>
            <w:color w:val="auto"/>
            <w:u w:val="none"/>
          </w:rPr>
          <w:t>www.philstar.com/business/2018/01/11/1776509/tourism-investment-gate-opens</w:t>
        </w:r>
      </w:hyperlink>
      <w:r w:rsidRPr="0034044B">
        <w:rPr>
          <w:bCs/>
        </w:rPr>
        <w:t>.</w:t>
      </w:r>
    </w:p>
  </w:endnote>
  <w:endnote w:id="28">
    <w:p w14:paraId="0AE708E8" w14:textId="6CFEB5B8" w:rsidR="00E30F09" w:rsidRPr="0034044B" w:rsidRDefault="00E30F09" w:rsidP="00A33B2C">
      <w:pPr>
        <w:pStyle w:val="Footnote"/>
      </w:pPr>
      <w:r w:rsidRPr="0034044B">
        <w:rPr>
          <w:rStyle w:val="EndnoteReference"/>
        </w:rPr>
        <w:endnoteRef/>
      </w:r>
      <w:r w:rsidRPr="0034044B">
        <w:t xml:space="preserve"> Mercurio, op. cit.</w:t>
      </w:r>
    </w:p>
  </w:endnote>
  <w:endnote w:id="29">
    <w:p w14:paraId="3A492CDB" w14:textId="42B82DA1" w:rsidR="00E30F09" w:rsidRPr="0034044B" w:rsidRDefault="00E30F09" w:rsidP="00D64B91">
      <w:pPr>
        <w:pStyle w:val="NoSpacing"/>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Philippine Development Plan 2017-22, National Economic and Development Authority, accessed on April 27, 2021, </w:t>
      </w:r>
    </w:p>
    <w:p w14:paraId="136C767F" w14:textId="06C11AE9" w:rsidR="00E30F09" w:rsidRPr="0034044B" w:rsidRDefault="00E30F09" w:rsidP="0034044B">
      <w:pPr>
        <w:pStyle w:val="NoSpacing"/>
        <w:rPr>
          <w:rFonts w:ascii="Arial" w:hAnsi="Arial" w:cs="Arial"/>
          <w:sz w:val="17"/>
          <w:szCs w:val="17"/>
        </w:rPr>
      </w:pPr>
      <w:r w:rsidRPr="0034044B">
        <w:rPr>
          <w:rFonts w:ascii="Arial" w:hAnsi="Arial" w:cs="Arial"/>
          <w:sz w:val="17"/>
          <w:szCs w:val="17"/>
        </w:rPr>
        <w:t>http://pdp.neda.gov.ph/wp-content/uploads/2017/01/PDP-2017-2022-07-20-2017.pdf</w:t>
      </w:r>
    </w:p>
  </w:endnote>
  <w:endnote w:id="30">
    <w:p w14:paraId="676088CF" w14:textId="028E44FD" w:rsidR="00E30F09" w:rsidRPr="0034044B" w:rsidRDefault="00E30F09" w:rsidP="00437109">
      <w:pPr>
        <w:pStyle w:val="Footnote"/>
      </w:pPr>
      <w:r w:rsidRPr="0034044B">
        <w:rPr>
          <w:rStyle w:val="EndnoteReference"/>
        </w:rPr>
        <w:endnoteRef/>
      </w:r>
      <w:r w:rsidRPr="0034044B">
        <w:t xml:space="preserve"> Mercurio, op. cit.</w:t>
      </w:r>
    </w:p>
  </w:endnote>
  <w:endnote w:id="31">
    <w:p w14:paraId="7D6D4948" w14:textId="73CF1093" w:rsidR="00E30F09" w:rsidRPr="0034044B" w:rsidRDefault="00E30F09" w:rsidP="00437109">
      <w:pPr>
        <w:pStyle w:val="Footnote"/>
        <w:rPr>
          <w:b/>
          <w:bCs/>
        </w:rPr>
      </w:pPr>
      <w:r w:rsidRPr="0034044B">
        <w:rPr>
          <w:rStyle w:val="EndnoteReference"/>
          <w:bCs/>
        </w:rPr>
        <w:endnoteRef/>
      </w:r>
      <w:r w:rsidRPr="0034044B">
        <w:t xml:space="preserve"> </w:t>
      </w:r>
      <w:r w:rsidRPr="0034044B">
        <w:rPr>
          <w:bCs/>
        </w:rPr>
        <w:t>Nicholas Mapa, “As Liquidity Conditions Improve, Expect Philippines’ Central Bank to Cut Rates in 2020,” ING, October 17, 2019, accessed May 22, 2020, https://think.ing.com/articles/philippines-liquidity-conditions-improving-bsp-to-cut-rates-further-in-2020.</w:t>
      </w:r>
    </w:p>
  </w:endnote>
  <w:endnote w:id="32">
    <w:p w14:paraId="598C2CBC" w14:textId="4FD304F9" w:rsidR="00E30F09" w:rsidRPr="0034044B" w:rsidRDefault="00E30F09" w:rsidP="00137DFF">
      <w:pPr>
        <w:pStyle w:val="NoSpacing"/>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World Bank Group, “Lending Interest Rate (%) – Philippines,” The World Bank, accessed January 26, 2021, https://data.worldbank.org/indicator/FR.INR.LEND?locations=PH.</w:t>
      </w:r>
    </w:p>
  </w:endnote>
  <w:endnote w:id="33">
    <w:p w14:paraId="64A1586C" w14:textId="5D8EB16A" w:rsidR="00E30F09" w:rsidRPr="0034044B" w:rsidRDefault="00E30F09" w:rsidP="00437109">
      <w:pPr>
        <w:pStyle w:val="Footnote"/>
      </w:pPr>
      <w:r w:rsidRPr="0034044B">
        <w:rPr>
          <w:rStyle w:val="EndnoteReference"/>
        </w:rPr>
        <w:endnoteRef/>
      </w:r>
      <w:r w:rsidRPr="0034044B">
        <w:t xml:space="preserve"> Ditas B. Lopez and Y-Sing Liau, “Philippine Peso Predicted to be Asia’s Worst-Performing Currency in 2018,” Bloomberg, December 21, 2017, accessed May 4, 2020, www.bloomberg.com/news/articles/2017-12-21/philippine-peso-seen-as-asia-s-laggard-for-2018-as-deficit-grows; Catherine Talavera, “Weaker Peso to Impact Property Market – JLL Analyst,” </w:t>
      </w:r>
      <w:r w:rsidRPr="0034044B">
        <w:rPr>
          <w:i/>
        </w:rPr>
        <w:t>Manila Times</w:t>
      </w:r>
      <w:r w:rsidRPr="0034044B">
        <w:t>, December 6, 2016, accessed May 2, 2020, www.manilatimes.net/weaker-peso-impact-property-market-jll-analyst/300252/.</w:t>
      </w:r>
    </w:p>
  </w:endnote>
  <w:endnote w:id="34">
    <w:p w14:paraId="1CCA1E73" w14:textId="7BF2146C" w:rsidR="00E30F09" w:rsidRPr="0034044B" w:rsidRDefault="00E30F09" w:rsidP="00437109">
      <w:pPr>
        <w:pStyle w:val="Footnote"/>
      </w:pPr>
      <w:r w:rsidRPr="0034044B">
        <w:rPr>
          <w:rStyle w:val="EndnoteReference"/>
        </w:rPr>
        <w:endnoteRef/>
      </w:r>
      <w:r w:rsidRPr="0034044B">
        <w:t xml:space="preserve"> Eagle Cement Corporation, “Eagle Cement Corporation IPO Prospectus,” May 11, 2017, accessed July 25, 2020, Eagle Cement Corporation, </w:t>
      </w:r>
      <w:hyperlink r:id="rId7" w:history="1">
        <w:r w:rsidRPr="0034044B">
          <w:rPr>
            <w:rStyle w:val="Hyperlink"/>
            <w:color w:val="auto"/>
            <w:u w:val="none"/>
          </w:rPr>
          <w:t>https://eaglecement.com.ph/corporate-disclosure/prospectus/1</w:t>
        </w:r>
      </w:hyperlink>
      <w:r w:rsidRPr="0034044B">
        <w:rPr>
          <w:rStyle w:val="Hyperlink"/>
          <w:color w:val="auto"/>
          <w:u w:val="none"/>
        </w:rPr>
        <w:t>.</w:t>
      </w:r>
    </w:p>
  </w:endnote>
  <w:endnote w:id="35">
    <w:p w14:paraId="0E963855" w14:textId="310A0588" w:rsidR="00E30F09" w:rsidRPr="0034044B" w:rsidRDefault="00E30F09" w:rsidP="00437109">
      <w:pPr>
        <w:pStyle w:val="Footnote"/>
      </w:pPr>
      <w:r w:rsidRPr="0034044B">
        <w:rPr>
          <w:rStyle w:val="EndnoteReference"/>
        </w:rPr>
        <w:endnoteRef/>
      </w:r>
      <w:r w:rsidRPr="0034044B">
        <w:t xml:space="preserve"> Ibid.</w:t>
      </w:r>
    </w:p>
  </w:endnote>
  <w:endnote w:id="36">
    <w:p w14:paraId="33FBBBC5" w14:textId="420F2B61" w:rsidR="00E30F09" w:rsidRPr="0034044B" w:rsidRDefault="00E30F09" w:rsidP="00437109">
      <w:pPr>
        <w:pStyle w:val="Footnote"/>
      </w:pPr>
      <w:r w:rsidRPr="0034044B">
        <w:rPr>
          <w:rStyle w:val="EndnoteReference"/>
        </w:rPr>
        <w:endnoteRef/>
      </w:r>
      <w:r w:rsidRPr="0034044B">
        <w:t xml:space="preserve"> Doris Dumlao-Abadilla, “DMCI to Enter Cement Business,” </w:t>
      </w:r>
      <w:r w:rsidRPr="0034044B">
        <w:rPr>
          <w:i/>
          <w:iCs/>
        </w:rPr>
        <w:t>Philippine Daily Inquirer</w:t>
      </w:r>
      <w:r w:rsidRPr="0034044B">
        <w:t>, June 6, 2017, accessed June 11, 2018, http://business.inquirer.net/230853/dmci-enter-cement-business.</w:t>
      </w:r>
    </w:p>
  </w:endnote>
  <w:endnote w:id="37">
    <w:p w14:paraId="5B5F3275" w14:textId="7585F1BD" w:rsidR="00E30F09" w:rsidRPr="0034044B" w:rsidRDefault="00E30F09" w:rsidP="00437109">
      <w:pPr>
        <w:pStyle w:val="Footnote"/>
      </w:pPr>
      <w:r w:rsidRPr="0034044B">
        <w:rPr>
          <w:rStyle w:val="EndnoteReference"/>
        </w:rPr>
        <w:endnoteRef/>
      </w:r>
      <w:r w:rsidRPr="0034044B">
        <w:t xml:space="preserve"> “Company Information: Cemex Holdings Philippines, Inc.,” PSE Edge, accessed January 30, 2018, http://edge.pse.com.ph/companyInformation/form.do?cmpy_id=662.</w:t>
      </w:r>
    </w:p>
  </w:endnote>
  <w:endnote w:id="38">
    <w:p w14:paraId="6E1F8DB0" w14:textId="3A329F85" w:rsidR="00E30F09" w:rsidRPr="0034044B" w:rsidRDefault="00E30F09" w:rsidP="00437109">
      <w:pPr>
        <w:pStyle w:val="Footnote"/>
      </w:pPr>
      <w:r w:rsidRPr="0034044B">
        <w:rPr>
          <w:rStyle w:val="EndnoteReference"/>
        </w:rPr>
        <w:endnoteRef/>
      </w:r>
      <w:r w:rsidRPr="0034044B">
        <w:t xml:space="preserve"> “CEMEX Experto Ako! Training Enrich skills, lives in Bacolod masons,” CEMEX Holdings Philippines, January 9, 2016, accessed April 27, 2021, https://www.cemexholdingsphilippines.com/-/cemex-experto-ako-training-enrich-skills-lives-of-bacolod-maso-1</w:t>
      </w:r>
    </w:p>
  </w:endnote>
  <w:endnote w:id="39">
    <w:p w14:paraId="4B8B9B50" w14:textId="18C78CBD" w:rsidR="00E30F09" w:rsidRPr="0034044B" w:rsidRDefault="00E30F09" w:rsidP="00437109">
      <w:pPr>
        <w:pStyle w:val="Footnote"/>
        <w:rPr>
          <w:rStyle w:val="EndnoteReference"/>
        </w:rPr>
      </w:pPr>
      <w:r w:rsidRPr="0034044B">
        <w:rPr>
          <w:rStyle w:val="EndnoteReference"/>
        </w:rPr>
        <w:endnoteRef/>
      </w:r>
      <w:r w:rsidRPr="0034044B">
        <w:t xml:space="preserve"> Carmel Loise Matus, “Nothern Cebu gets help from Cement Firm,” </w:t>
      </w:r>
      <w:r w:rsidRPr="0034044B">
        <w:rPr>
          <w:i/>
          <w:iCs/>
        </w:rPr>
        <w:t xml:space="preserve">Philippine Daily Inquirer, </w:t>
      </w:r>
      <w:r w:rsidRPr="0034044B">
        <w:t>March 10, 2014, accessed Aprl 27, 2021, https://newsinfo.inquirer.net/583725/northern-cebu-gets-help-from-cement-firm</w:t>
      </w:r>
    </w:p>
  </w:endnote>
  <w:endnote w:id="40">
    <w:p w14:paraId="45D22800" w14:textId="3753788A" w:rsidR="00E30F09" w:rsidRPr="0034044B" w:rsidRDefault="00E30F09" w:rsidP="00437109">
      <w:pPr>
        <w:pStyle w:val="Footnote"/>
      </w:pPr>
      <w:r w:rsidRPr="0034044B">
        <w:rPr>
          <w:rStyle w:val="EndnoteReference"/>
        </w:rPr>
        <w:endnoteRef/>
      </w:r>
      <w:r w:rsidRPr="0034044B">
        <w:t xml:space="preserve"> “Our Commitment,” Republic: A CRH-Aboitiz Company, accessed September 27, 2020, https://republiccement.com/commitment/.</w:t>
      </w:r>
    </w:p>
  </w:endnote>
  <w:endnote w:id="41">
    <w:p w14:paraId="2A555CF8" w14:textId="47520204" w:rsidR="00E30F09" w:rsidRPr="0034044B" w:rsidRDefault="00E30F09" w:rsidP="00437109">
      <w:pPr>
        <w:pStyle w:val="Footnote"/>
      </w:pPr>
      <w:r w:rsidRPr="0034044B">
        <w:rPr>
          <w:rStyle w:val="EndnoteReference"/>
        </w:rPr>
        <w:endnoteRef/>
      </w:r>
      <w:r w:rsidRPr="0034044B">
        <w:t xml:space="preserve"> “#1444 Ramon Ang,” </w:t>
      </w:r>
      <w:r w:rsidRPr="0034044B">
        <w:rPr>
          <w:i/>
        </w:rPr>
        <w:t>Forbes</w:t>
      </w:r>
      <w:r w:rsidRPr="0034044B">
        <w:t>, accessed January 30, 2018, www.forbes.com/profile/ramon-ang/; Cabuag, op. cit.</w:t>
      </w:r>
    </w:p>
  </w:endnote>
  <w:endnote w:id="42">
    <w:p w14:paraId="4EA236CA" w14:textId="6B563F2F" w:rsidR="00E30F09" w:rsidRPr="0034044B" w:rsidRDefault="00E30F09" w:rsidP="00437109">
      <w:pPr>
        <w:pStyle w:val="Footnote"/>
      </w:pPr>
      <w:r w:rsidRPr="0034044B">
        <w:rPr>
          <w:rStyle w:val="EndnoteReference"/>
        </w:rPr>
        <w:endnoteRef/>
      </w:r>
      <w:r w:rsidRPr="0034044B">
        <w:t xml:space="preserve"> “Eagle Cement Corporation,” PSE Edge, accessed January 30, 2018, http://edge.pse.com.ph/companyInformation/form.do?cmpy_id=667.</w:t>
      </w:r>
    </w:p>
  </w:endnote>
  <w:endnote w:id="43">
    <w:p w14:paraId="401CBF9F" w14:textId="51BD1952" w:rsidR="00E30F09" w:rsidRPr="0034044B" w:rsidRDefault="00E30F09" w:rsidP="00437109">
      <w:pPr>
        <w:pStyle w:val="Footnote"/>
      </w:pPr>
      <w:r w:rsidRPr="0034044B">
        <w:rPr>
          <w:rStyle w:val="EndnoteReference"/>
        </w:rPr>
        <w:endnoteRef/>
      </w:r>
      <w:r w:rsidRPr="0034044B">
        <w:t xml:space="preserve"> “Company History,” Eagle Cement, accessed September 27, 2020, www.eaglecement.com.ph/company-history.</w:t>
      </w:r>
    </w:p>
  </w:endnote>
  <w:endnote w:id="44">
    <w:p w14:paraId="29F0013E" w14:textId="6CDA1036" w:rsidR="00E30F09" w:rsidRPr="0034044B" w:rsidRDefault="00E30F09" w:rsidP="00437109">
      <w:pPr>
        <w:pStyle w:val="Footnote"/>
      </w:pPr>
      <w:r w:rsidRPr="0034044B">
        <w:rPr>
          <w:rStyle w:val="EndnoteReference"/>
        </w:rPr>
        <w:endnoteRef/>
      </w:r>
      <w:r w:rsidRPr="0034044B">
        <w:t xml:space="preserve"> Holcim Philippines Inc., </w:t>
      </w:r>
      <w:r w:rsidRPr="0034044B">
        <w:rPr>
          <w:i/>
          <w:iCs/>
        </w:rPr>
        <w:t>2018</w:t>
      </w:r>
      <w:r w:rsidRPr="0034044B" w:rsidDel="007D75CE">
        <w:rPr>
          <w:i/>
          <w:iCs/>
        </w:rPr>
        <w:t xml:space="preserve"> </w:t>
      </w:r>
      <w:r w:rsidRPr="0034044B">
        <w:rPr>
          <w:i/>
          <w:iCs/>
        </w:rPr>
        <w:t>Annual Report</w:t>
      </w:r>
      <w:r w:rsidRPr="0034044B">
        <w:t xml:space="preserve">, Holcim Philippines Inc., February 28, 2019, accessed July 26,2020, </w:t>
      </w:r>
    </w:p>
    <w:p w14:paraId="57770A32" w14:textId="3914567A" w:rsidR="00E30F09" w:rsidRPr="0034044B" w:rsidRDefault="00E30F09" w:rsidP="00437109">
      <w:pPr>
        <w:pStyle w:val="Footnote"/>
      </w:pPr>
      <w:r w:rsidRPr="0034044B">
        <w:t>www.holcim.ph/sites/philippines/files/atoms/files/holcim_philippines_2018.pdf.</w:t>
      </w:r>
    </w:p>
  </w:endnote>
  <w:endnote w:id="45">
    <w:p w14:paraId="70951542" w14:textId="3DA6B326" w:rsidR="00E30F09" w:rsidRPr="0034044B" w:rsidRDefault="00E30F09" w:rsidP="004A762B">
      <w:pPr>
        <w:pStyle w:val="Footnote"/>
      </w:pPr>
      <w:r w:rsidRPr="0034044B">
        <w:rPr>
          <w:rStyle w:val="EndnoteReference"/>
        </w:rPr>
        <w:endnoteRef/>
      </w:r>
      <w:r w:rsidRPr="0034044B">
        <w:t xml:space="preserve"> “Company Information: Holcim Philippines, Inc.,” PSE EDGE, accessed January 30, 2018, http://edge.pse.com.ph/companyInformation/form.do?cmpy_id=211.</w:t>
      </w:r>
    </w:p>
  </w:endnote>
  <w:endnote w:id="46">
    <w:p w14:paraId="77A7A50A" w14:textId="7242CADF" w:rsidR="00E30F09" w:rsidRPr="0034044B" w:rsidRDefault="00E30F09" w:rsidP="00437109">
      <w:pPr>
        <w:pStyle w:val="Footnote"/>
      </w:pPr>
      <w:r w:rsidRPr="0034044B">
        <w:rPr>
          <w:rStyle w:val="EndnoteReference"/>
        </w:rPr>
        <w:endnoteRef/>
      </w:r>
      <w:r w:rsidRPr="0034044B">
        <w:t xml:space="preserve"> Ibid.</w:t>
      </w:r>
    </w:p>
  </w:endnote>
  <w:endnote w:id="47">
    <w:p w14:paraId="707E32D8" w14:textId="7101BC83" w:rsidR="00E30F09" w:rsidRPr="0034044B" w:rsidRDefault="00E30F09">
      <w:pPr>
        <w:pStyle w:val="Footnote"/>
      </w:pPr>
      <w:r w:rsidRPr="0034044B">
        <w:rPr>
          <w:rStyle w:val="EndnoteReference"/>
        </w:rPr>
        <w:endnoteRef/>
      </w:r>
      <w:r w:rsidRPr="0034044B">
        <w:t xml:space="preserve"> Holcim Philippines Inc., </w:t>
      </w:r>
      <w:r w:rsidRPr="0034044B">
        <w:rPr>
          <w:i/>
          <w:iCs/>
        </w:rPr>
        <w:t>2018</w:t>
      </w:r>
      <w:r w:rsidRPr="0034044B" w:rsidDel="00C927A4">
        <w:rPr>
          <w:i/>
          <w:iCs/>
        </w:rPr>
        <w:t xml:space="preserve"> </w:t>
      </w:r>
      <w:r w:rsidRPr="0034044B">
        <w:rPr>
          <w:i/>
          <w:iCs/>
        </w:rPr>
        <w:t>Annual Report</w:t>
      </w:r>
      <w:r w:rsidRPr="0034044B">
        <w:t>, op. cit.</w:t>
      </w:r>
    </w:p>
  </w:endnote>
  <w:endnote w:id="48">
    <w:p w14:paraId="75735BC7" w14:textId="534307E8" w:rsidR="00E30F09" w:rsidRPr="0034044B" w:rsidRDefault="00E30F09" w:rsidP="00437109">
      <w:pPr>
        <w:pStyle w:val="Footnote"/>
      </w:pPr>
      <w:r w:rsidRPr="0034044B">
        <w:rPr>
          <w:rStyle w:val="EndnoteReference"/>
        </w:rPr>
        <w:endnoteRef/>
      </w:r>
      <w:r w:rsidRPr="0034044B">
        <w:t xml:space="preserve"> Ibid.</w:t>
      </w:r>
    </w:p>
  </w:endnote>
  <w:endnote w:id="49">
    <w:p w14:paraId="6594D7E7" w14:textId="7E486CA3" w:rsidR="00E30F09" w:rsidRPr="0034044B" w:rsidRDefault="00E30F09" w:rsidP="00437109">
      <w:pPr>
        <w:pStyle w:val="Footnote"/>
      </w:pPr>
      <w:r w:rsidRPr="0034044B">
        <w:rPr>
          <w:rStyle w:val="EndnoteReference"/>
        </w:rPr>
        <w:endnoteRef/>
      </w:r>
      <w:r w:rsidRPr="0034044B">
        <w:t xml:space="preserve"> Ibid.</w:t>
      </w:r>
    </w:p>
  </w:endnote>
  <w:endnote w:id="50">
    <w:p w14:paraId="1A2BA771" w14:textId="7EF8D100" w:rsidR="00E30F09" w:rsidRPr="0034044B" w:rsidRDefault="00E30F09" w:rsidP="00437109">
      <w:pPr>
        <w:pStyle w:val="Footnote"/>
      </w:pPr>
      <w:r w:rsidRPr="0034044B">
        <w:rPr>
          <w:rStyle w:val="EndnoteReference"/>
        </w:rPr>
        <w:endnoteRef/>
      </w:r>
      <w:r w:rsidRPr="0034044B">
        <w:t xml:space="preserve"> Ibid.</w:t>
      </w:r>
    </w:p>
  </w:endnote>
  <w:endnote w:id="51">
    <w:p w14:paraId="5B292E21" w14:textId="60EB9114" w:rsidR="00E30F09" w:rsidRPr="0034044B" w:rsidRDefault="00E30F09">
      <w:pPr>
        <w:pStyle w:val="EndnoteText"/>
        <w:rPr>
          <w:rFonts w:ascii="Arial" w:hAnsi="Arial" w:cs="Arial"/>
        </w:rPr>
      </w:pPr>
      <w:r w:rsidRPr="0034044B">
        <w:rPr>
          <w:rStyle w:val="EndnoteReference"/>
          <w:rFonts w:ascii="Arial" w:hAnsi="Arial" w:cs="Arial"/>
          <w:sz w:val="17"/>
          <w:szCs w:val="17"/>
        </w:rPr>
        <w:endnoteRef/>
      </w:r>
      <w:r w:rsidRPr="0034044B">
        <w:rPr>
          <w:rFonts w:ascii="Arial" w:hAnsi="Arial" w:cs="Arial"/>
          <w:sz w:val="17"/>
          <w:szCs w:val="17"/>
        </w:rPr>
        <w:t xml:space="preserve"> EBITDA, or earnings before interest, taxes, depreciation, and amortization was a financial metric than measured the operating performance and/or cash flow generation of a company.  </w:t>
      </w:r>
    </w:p>
  </w:endnote>
  <w:endnote w:id="52">
    <w:p w14:paraId="17C34A75" w14:textId="12EB8C03" w:rsidR="00E30F09" w:rsidRPr="0034044B" w:rsidRDefault="00E30F09">
      <w:pPr>
        <w:pStyle w:val="Footnote"/>
      </w:pPr>
      <w:r w:rsidRPr="0034044B">
        <w:rPr>
          <w:rStyle w:val="EndnoteReference"/>
        </w:rPr>
        <w:endnoteRef/>
      </w:r>
      <w:r w:rsidRPr="0034044B">
        <w:t xml:space="preserve"> Holcim Philippines Inc., </w:t>
      </w:r>
      <w:r w:rsidRPr="0034044B">
        <w:rPr>
          <w:i/>
          <w:iCs/>
        </w:rPr>
        <w:t>2018</w:t>
      </w:r>
      <w:r w:rsidRPr="0034044B" w:rsidDel="00C927A4">
        <w:rPr>
          <w:i/>
          <w:iCs/>
        </w:rPr>
        <w:t xml:space="preserve"> </w:t>
      </w:r>
      <w:r w:rsidRPr="0034044B">
        <w:rPr>
          <w:i/>
          <w:iCs/>
        </w:rPr>
        <w:t>Annual Report</w:t>
      </w:r>
      <w:r w:rsidRPr="0034044B">
        <w:t>, op. cit.</w:t>
      </w:r>
    </w:p>
  </w:endnote>
  <w:endnote w:id="53">
    <w:p w14:paraId="3A0C2B05" w14:textId="01A3BC6E" w:rsidR="00E30F09" w:rsidRPr="0034044B" w:rsidRDefault="00E30F09" w:rsidP="00437109">
      <w:pPr>
        <w:pStyle w:val="Footnote"/>
      </w:pPr>
      <w:r w:rsidRPr="0034044B">
        <w:rPr>
          <w:rStyle w:val="EndnoteReference"/>
        </w:rPr>
        <w:endnoteRef/>
      </w:r>
      <w:r w:rsidRPr="0034044B">
        <w:t xml:space="preserve"> LafargeHolcim, “About Us,” LafargeHolcim, accessed July 25, 2020, www.lafargeholcim.com/about-us.</w:t>
      </w:r>
    </w:p>
  </w:endnote>
  <w:endnote w:id="54">
    <w:p w14:paraId="7FDB2159" w14:textId="3304B890" w:rsidR="00E30F09" w:rsidRPr="0034044B" w:rsidRDefault="00E30F09" w:rsidP="00437109">
      <w:pPr>
        <w:pStyle w:val="Footnote"/>
      </w:pPr>
      <w:r w:rsidRPr="0034044B">
        <w:rPr>
          <w:rStyle w:val="EndnoteReference"/>
        </w:rPr>
        <w:endnoteRef/>
      </w:r>
      <w:r w:rsidRPr="0034044B">
        <w:t xml:space="preserve"> Ibid.</w:t>
      </w:r>
    </w:p>
  </w:endnote>
  <w:endnote w:id="55">
    <w:p w14:paraId="149B5EED" w14:textId="2B3129F5" w:rsidR="00E30F09" w:rsidRPr="0034044B" w:rsidRDefault="00E30F09" w:rsidP="00437109">
      <w:pPr>
        <w:pStyle w:val="Footnote"/>
      </w:pPr>
      <w:r w:rsidRPr="0034044B">
        <w:rPr>
          <w:rStyle w:val="EndnoteReference"/>
        </w:rPr>
        <w:endnoteRef/>
      </w:r>
      <w:r w:rsidRPr="0034044B">
        <w:t xml:space="preserve"> LafargeHolcim, “Strategy 2022—‘Building for Growth,’” LafargeHolcim, accessed July 25, 2020, www.lafargeholcim.com/our-strategy.</w:t>
      </w:r>
    </w:p>
  </w:endnote>
  <w:endnote w:id="56">
    <w:p w14:paraId="27956CDC" w14:textId="6465FA31" w:rsidR="00E30F09" w:rsidRPr="0034044B" w:rsidRDefault="00E30F09" w:rsidP="00437109">
      <w:pPr>
        <w:pStyle w:val="Footnote"/>
      </w:pPr>
      <w:r w:rsidRPr="0034044B">
        <w:rPr>
          <w:rStyle w:val="EndnoteReference"/>
        </w:rPr>
        <w:endnoteRef/>
      </w:r>
      <w:r w:rsidRPr="0034044B">
        <w:t xml:space="preserve"> Ibid</w:t>
      </w:r>
      <w:r w:rsidRPr="0034044B">
        <w:rPr>
          <w:i/>
        </w:rPr>
        <w:t>.</w:t>
      </w:r>
    </w:p>
  </w:endnote>
  <w:endnote w:id="57">
    <w:p w14:paraId="2A7E07B1" w14:textId="43E53B47" w:rsidR="00E30F09" w:rsidRPr="0034044B" w:rsidRDefault="00E30F09" w:rsidP="00437109">
      <w:pPr>
        <w:pStyle w:val="Footnote"/>
      </w:pPr>
      <w:r w:rsidRPr="0034044B">
        <w:rPr>
          <w:rStyle w:val="EndnoteReference"/>
        </w:rPr>
        <w:endnoteRef/>
      </w:r>
      <w:r w:rsidRPr="0034044B">
        <w:t xml:space="preserve"> </w:t>
      </w:r>
      <w:bookmarkStart w:id="8" w:name="_Hlk51860883"/>
      <w:r w:rsidRPr="0034044B">
        <w:t>Jonathan Rowland, “Southeast Asia Problematic for LafargeHolcim,”</w:t>
      </w:r>
      <w:r w:rsidRPr="0034044B">
        <w:rPr>
          <w:i/>
        </w:rPr>
        <w:t xml:space="preserve"> </w:t>
      </w:r>
      <w:r w:rsidRPr="0034044B">
        <w:rPr>
          <w:iCs/>
        </w:rPr>
        <w:t>World Cement,</w:t>
      </w:r>
      <w:r w:rsidRPr="0034044B">
        <w:t xml:space="preserve"> March 7, 2018, accessed July 25, 2020, www.worldcement.com/asia-pacific-rim/07032018/southeast-asia-problematic-for-lafargeholcim/.</w:t>
      </w:r>
    </w:p>
    <w:bookmarkEnd w:id="8"/>
  </w:endnote>
  <w:endnote w:id="58">
    <w:p w14:paraId="3FF9EDFD" w14:textId="22240E7A" w:rsidR="00E30F09" w:rsidRPr="0034044B" w:rsidRDefault="00E30F09" w:rsidP="00437109">
      <w:pPr>
        <w:pStyle w:val="Footnote"/>
      </w:pPr>
      <w:r w:rsidRPr="0034044B">
        <w:rPr>
          <w:rStyle w:val="EndnoteReference"/>
        </w:rPr>
        <w:endnoteRef/>
      </w:r>
      <w:r w:rsidRPr="0034044B">
        <w:t xml:space="preserve"> Ibid.</w:t>
      </w:r>
    </w:p>
  </w:endnote>
  <w:endnote w:id="59">
    <w:p w14:paraId="722BD0D5" w14:textId="1310A218" w:rsidR="00E30F09" w:rsidRPr="0034044B" w:rsidRDefault="00E30F09" w:rsidP="00437109">
      <w:pPr>
        <w:pStyle w:val="Footnote"/>
      </w:pPr>
      <w:r w:rsidRPr="0034044B">
        <w:rPr>
          <w:rStyle w:val="EndnoteReference"/>
        </w:rPr>
        <w:endnoteRef/>
      </w:r>
      <w:r w:rsidRPr="0034044B">
        <w:t xml:space="preserve"> Ibid.</w:t>
      </w:r>
    </w:p>
  </w:endnote>
  <w:endnote w:id="60">
    <w:p w14:paraId="15F777FD" w14:textId="76021DF1" w:rsidR="00E30F09" w:rsidRPr="0034044B" w:rsidRDefault="00E30F09" w:rsidP="00437109">
      <w:pPr>
        <w:pStyle w:val="Footnote"/>
        <w:rPr>
          <w:i/>
        </w:rPr>
      </w:pPr>
      <w:r w:rsidRPr="0034044B">
        <w:rPr>
          <w:rStyle w:val="EndnoteReference"/>
        </w:rPr>
        <w:endnoteRef/>
      </w:r>
      <w:r w:rsidRPr="0034044B">
        <w:t xml:space="preserve"> Manuel Baigorri, Joyce Koh, and Vinicy Chan, “LafargeHolcim Considers Sale of Philippines Unit,”</w:t>
      </w:r>
      <w:r w:rsidRPr="0034044B">
        <w:rPr>
          <w:i/>
        </w:rPr>
        <w:t xml:space="preserve"> </w:t>
      </w:r>
      <w:r w:rsidRPr="0034044B">
        <w:rPr>
          <w:iCs/>
        </w:rPr>
        <w:t>Bloomberg</w:t>
      </w:r>
      <w:r w:rsidRPr="0034044B">
        <w:rPr>
          <w:i/>
        </w:rPr>
        <w:t xml:space="preserve">. </w:t>
      </w:r>
      <w:r w:rsidRPr="0034044B">
        <w:t>January 25, 2019, accessed July 22, 2020, www.bloomberg.com/news/articles/2019-01-25/lafargeholcim-is-said-to-consider-sale-of-philippines-business</w:t>
      </w:r>
      <w:r w:rsidRPr="0034044B">
        <w:rPr>
          <w:rStyle w:val="Hyperlink"/>
          <w:color w:val="auto"/>
          <w:u w:val="none"/>
        </w:rPr>
        <w:t>.</w:t>
      </w:r>
      <w:r w:rsidRPr="0034044B">
        <w:rPr>
          <w:rStyle w:val="Hyperlink"/>
          <w:i/>
          <w:color w:val="auto"/>
          <w:u w:val="none"/>
        </w:rPr>
        <w:t xml:space="preserve"> </w:t>
      </w:r>
    </w:p>
  </w:endnote>
  <w:endnote w:id="61">
    <w:p w14:paraId="51C2DB15" w14:textId="1C3098E7" w:rsidR="00E30F09" w:rsidRPr="0034044B" w:rsidRDefault="00E30F09" w:rsidP="00437109">
      <w:pPr>
        <w:pStyle w:val="Footnote"/>
      </w:pPr>
      <w:r w:rsidRPr="0034044B">
        <w:rPr>
          <w:rStyle w:val="EndnoteReference"/>
        </w:rPr>
        <w:endnoteRef/>
      </w:r>
      <w:r w:rsidRPr="0034044B">
        <w:t xml:space="preserve"> LafargeHolcim. “LafargeHolcim Divests Holcim Indonesia and Accelerates Deleveraging,” LafargeHolcim, November 12, 2018, accessed July 22, 2020, www.lafargeholcim.com/lafarge-holcim-divests-holcim-indonesia-and-accelerates-deleveraging</w:t>
      </w:r>
      <w:r w:rsidRPr="0034044B">
        <w:rPr>
          <w:rStyle w:val="Hyperlink"/>
          <w:color w:val="auto"/>
          <w:u w:val="none"/>
        </w:rPr>
        <w:t>.</w:t>
      </w:r>
    </w:p>
  </w:endnote>
  <w:endnote w:id="62">
    <w:p w14:paraId="73B523B1" w14:textId="77B57892" w:rsidR="00E30F09" w:rsidRPr="0034044B" w:rsidRDefault="00E30F09" w:rsidP="00034CB9">
      <w:pPr>
        <w:pStyle w:val="Footnote"/>
        <w:rPr>
          <w:lang w:val="en-CA"/>
        </w:rPr>
      </w:pPr>
      <w:r w:rsidRPr="0034044B">
        <w:rPr>
          <w:rStyle w:val="EndnoteReference"/>
        </w:rPr>
        <w:endnoteRef/>
      </w:r>
      <w:r w:rsidRPr="0034044B">
        <w:t xml:space="preserve"> </w:t>
      </w:r>
      <w:r w:rsidRPr="0034044B">
        <w:rPr>
          <w:lang w:val="en-CA"/>
        </w:rPr>
        <w:t xml:space="preserve">MYR = Malaysian ringgit; MYR1 = US$0.240433 as of May 11, 2019. </w:t>
      </w:r>
    </w:p>
  </w:endnote>
  <w:endnote w:id="63">
    <w:p w14:paraId="3B5B9AFB" w14:textId="54C3B5B9" w:rsidR="00E30F09" w:rsidRPr="0034044B" w:rsidRDefault="00E30F09" w:rsidP="00437109">
      <w:pPr>
        <w:pStyle w:val="Footnote"/>
        <w:rPr>
          <w:i/>
        </w:rPr>
      </w:pPr>
      <w:r w:rsidRPr="0034044B">
        <w:rPr>
          <w:rStyle w:val="EndnoteReference"/>
        </w:rPr>
        <w:endnoteRef/>
      </w:r>
      <w:r w:rsidRPr="0034044B">
        <w:t xml:space="preserve"> LafargeHolcim. “LafargeHolcim Divests Activities in Malaysia and Singapore,” LafargeHolcim, May 2, 2019, accessed July 22, 2020, www.lafargeholcim.com/lafargeholcim-divests-activities-malaysia-singapore</w:t>
      </w:r>
      <w:r w:rsidRPr="0034044B">
        <w:rPr>
          <w:rStyle w:val="Hyperlink"/>
          <w:color w:val="auto"/>
          <w:u w:val="none"/>
        </w:rPr>
        <w:t>.</w:t>
      </w:r>
    </w:p>
  </w:endnote>
  <w:endnote w:id="64">
    <w:p w14:paraId="44556DAB" w14:textId="22191B55" w:rsidR="00E30F09" w:rsidRPr="0034044B" w:rsidRDefault="00E30F09" w:rsidP="00437109">
      <w:pPr>
        <w:pStyle w:val="Footnote"/>
      </w:pPr>
      <w:r w:rsidRPr="0034044B">
        <w:rPr>
          <w:rStyle w:val="EndnoteReference"/>
        </w:rPr>
        <w:endnoteRef/>
      </w:r>
      <w:r w:rsidRPr="0034044B">
        <w:t xml:space="preserve"> Reuters, “YTL buys LafargeHolcim’s Malaysia, Singapore Operations,” The Edge Markets, May 2, 2019. accessed July 22, 2020, </w:t>
      </w:r>
      <w:hyperlink w:history="1"/>
      <w:r w:rsidRPr="0034044B">
        <w:t xml:space="preserve">www.theedgemarkets.com/article/ytl-buys-lafargeholcims-malaysia-singapore-operations. </w:t>
      </w:r>
    </w:p>
  </w:endnote>
  <w:endnote w:id="65">
    <w:p w14:paraId="1C5D14D6" w14:textId="4E10EAF6" w:rsidR="00E30F09" w:rsidRPr="0034044B" w:rsidRDefault="00E30F09" w:rsidP="00437109">
      <w:pPr>
        <w:pStyle w:val="Footnote"/>
      </w:pPr>
      <w:r w:rsidRPr="0034044B">
        <w:rPr>
          <w:rStyle w:val="EndnoteReference"/>
        </w:rPr>
        <w:endnoteRef/>
      </w:r>
      <w:r w:rsidRPr="0034044B">
        <w:t xml:space="preserve"> Rappler.com, “Ramon Ang’s Eagle Cement to Go Public in May,” Rappler, May 2, 2017, accessed September 4, 2020 </w:t>
      </w:r>
      <w:hyperlink r:id="rId8" w:history="1">
        <w:r w:rsidRPr="0034044B">
          <w:rPr>
            <w:rStyle w:val="Hyperlink"/>
            <w:color w:val="auto"/>
            <w:u w:val="none"/>
          </w:rPr>
          <w:t>https://rappler.com/business/eagle-cement-initial-public-offering-may-2017</w:t>
        </w:r>
      </w:hyperlink>
      <w:r w:rsidRPr="0034044B">
        <w:rPr>
          <w:rStyle w:val="Hyperlink"/>
          <w:color w:val="auto"/>
          <w:u w:val="none"/>
        </w:rPr>
        <w:t>.</w:t>
      </w:r>
    </w:p>
  </w:endnote>
  <w:endnote w:id="66">
    <w:p w14:paraId="39F515CE" w14:textId="2F72A2F6" w:rsidR="00E30F09" w:rsidRPr="0034044B" w:rsidRDefault="00E30F09" w:rsidP="00437109">
      <w:pPr>
        <w:pStyle w:val="Footnote"/>
      </w:pPr>
      <w:r w:rsidRPr="0034044B">
        <w:rPr>
          <w:rStyle w:val="EndnoteReference"/>
        </w:rPr>
        <w:endnoteRef/>
      </w:r>
      <w:r w:rsidRPr="0034044B">
        <w:t xml:space="preserve"> Doris Dumlao-Abadilla, “Holcim Philippines to Be Put on Auction Block?,” </w:t>
      </w:r>
      <w:r w:rsidRPr="0034044B">
        <w:rPr>
          <w:i/>
          <w:iCs/>
        </w:rPr>
        <w:t>Philippine Daily Inquirer,</w:t>
      </w:r>
      <w:r w:rsidRPr="0034044B">
        <w:t xml:space="preserve"> January 28, 2019, accessed May 4, 2020, </w:t>
      </w:r>
      <w:hyperlink r:id="rId9" w:anchor="ixzz6X36bRBdJ" w:history="1">
        <w:r w:rsidRPr="0034044B">
          <w:rPr>
            <w:bdr w:val="none" w:sz="0" w:space="0" w:color="auto" w:frame="1"/>
          </w:rPr>
          <w:t>https://business.inquirer.net/264277/holcim-philippines-to-be-put-on-auction-block#ixzz6X36bRBdJ</w:t>
        </w:r>
      </w:hyperlink>
      <w:r w:rsidRPr="0034044B">
        <w:rPr>
          <w:bdr w:val="none" w:sz="0" w:space="0" w:color="auto" w:frame="1"/>
        </w:rPr>
        <w:t>.</w:t>
      </w:r>
    </w:p>
  </w:endnote>
  <w:endnote w:id="67">
    <w:p w14:paraId="16049F7A" w14:textId="33598322" w:rsidR="00E30F09" w:rsidRPr="0034044B" w:rsidRDefault="00E30F09" w:rsidP="00437109">
      <w:pPr>
        <w:pStyle w:val="Footnote"/>
      </w:pPr>
      <w:r w:rsidRPr="0034044B">
        <w:rPr>
          <w:rStyle w:val="EndnoteReference"/>
        </w:rPr>
        <w:endnoteRef/>
      </w:r>
      <w:r w:rsidRPr="0034044B">
        <w:t xml:space="preserve"> Ibid. </w:t>
      </w:r>
    </w:p>
  </w:endnote>
  <w:endnote w:id="68">
    <w:p w14:paraId="4A66CBC2" w14:textId="02ED5040" w:rsidR="00E30F09" w:rsidRPr="0034044B" w:rsidRDefault="00E30F09" w:rsidP="00437109">
      <w:pPr>
        <w:pStyle w:val="Footnote"/>
      </w:pPr>
      <w:r w:rsidRPr="0034044B">
        <w:rPr>
          <w:rStyle w:val="EndnoteReference"/>
        </w:rPr>
        <w:endnoteRef/>
      </w:r>
      <w:r w:rsidRPr="0034044B">
        <w:t xml:space="preserve"> Gonzales, “SMC Acquires Holcim,” op. cit.</w:t>
      </w:r>
    </w:p>
  </w:endnote>
  <w:endnote w:id="69">
    <w:p w14:paraId="64A3B368" w14:textId="7C6FCF66" w:rsidR="00E30F09" w:rsidRPr="0034044B" w:rsidRDefault="00E30F09" w:rsidP="00437109">
      <w:pPr>
        <w:pStyle w:val="Footnote"/>
      </w:pPr>
      <w:r w:rsidRPr="0034044B">
        <w:rPr>
          <w:rStyle w:val="EndnoteReference"/>
        </w:rPr>
        <w:endnoteRef/>
      </w:r>
      <w:r w:rsidRPr="0034044B">
        <w:t xml:space="preserve"> LafargeHolcim, “LafargeHolcim Divests Activities in the Philippines,” LafargeHolcim, May 9, 2019, accessed July 22, 2020, </w:t>
      </w:r>
      <w:r w:rsidRPr="0034044B">
        <w:rPr>
          <w:iCs/>
        </w:rPr>
        <w:t>www.lafargeholcim.com/lafargeholcim-divests-activities-philippines.</w:t>
      </w:r>
    </w:p>
  </w:endnote>
  <w:endnote w:id="70">
    <w:p w14:paraId="4C472444" w14:textId="394448B6" w:rsidR="00E30F09" w:rsidRPr="0034044B" w:rsidRDefault="00E30F09">
      <w:pPr>
        <w:pStyle w:val="EndnoteText"/>
        <w:rPr>
          <w:rFonts w:ascii="Arial" w:hAnsi="Arial" w:cs="Arial"/>
          <w:sz w:val="17"/>
          <w:szCs w:val="17"/>
          <w:lang w:val="en-US"/>
        </w:rPr>
      </w:pPr>
      <w:r w:rsidRPr="0034044B">
        <w:rPr>
          <w:rStyle w:val="EndnoteReference"/>
          <w:rFonts w:ascii="Arial" w:hAnsi="Arial" w:cs="Arial"/>
          <w:sz w:val="17"/>
          <w:szCs w:val="17"/>
        </w:rPr>
        <w:endnoteRef/>
      </w:r>
      <w:r w:rsidRPr="0034044B">
        <w:rPr>
          <w:rFonts w:ascii="Arial" w:hAnsi="Arial" w:cs="Arial"/>
          <w:sz w:val="17"/>
          <w:szCs w:val="17"/>
        </w:rPr>
        <w:t xml:space="preserve"> </w:t>
      </w:r>
      <w:r w:rsidRPr="0034044B">
        <w:rPr>
          <w:rFonts w:ascii="Arial" w:hAnsi="Arial" w:cs="Arial"/>
          <w:sz w:val="17"/>
          <w:szCs w:val="17"/>
          <w:lang w:val="en-US"/>
        </w:rPr>
        <w:t>Ibid</w:t>
      </w:r>
    </w:p>
  </w:endnote>
  <w:endnote w:id="71">
    <w:p w14:paraId="77268621" w14:textId="336C6F96" w:rsidR="00E30F09" w:rsidRPr="0034044B" w:rsidRDefault="00E30F09" w:rsidP="00034CB9">
      <w:pPr>
        <w:pStyle w:val="Footnote"/>
      </w:pPr>
      <w:r w:rsidRPr="0034044B">
        <w:rPr>
          <w:rStyle w:val="EndnoteReference"/>
        </w:rPr>
        <w:endnoteRef/>
      </w:r>
      <w:r w:rsidRPr="0034044B">
        <w:t xml:space="preserve"> Gonzales, “SMC Seeks Exemptive Relief on Holcim Bid</w:t>
      </w:r>
      <w:r w:rsidRPr="0034044B">
        <w:rPr>
          <w:rFonts w:eastAsia="Calibri"/>
        </w:rPr>
        <w:t xml:space="preserve">,” </w:t>
      </w:r>
      <w:r w:rsidRPr="0034044B">
        <w:t xml:space="preserve">op. cit. </w:t>
      </w:r>
    </w:p>
  </w:endnote>
  <w:endnote w:id="72">
    <w:p w14:paraId="1BF488AA" w14:textId="222EAA0D" w:rsidR="00E30F09" w:rsidRPr="0034044B" w:rsidRDefault="00E30F09" w:rsidP="00AE1E9F">
      <w:pPr>
        <w:pStyle w:val="Footnote"/>
      </w:pPr>
      <w:r w:rsidRPr="0034044B">
        <w:rPr>
          <w:rStyle w:val="EndnoteReference"/>
        </w:rPr>
        <w:endnoteRef/>
      </w:r>
      <w:r w:rsidRPr="0034044B">
        <w:t xml:space="preserve"> San Miguel Corporation, “SEC Form 17-A: Annual Report for the Fiscal Year Ended December 31, 2018,” San Miguel Corporation, April 12, 2019, accessed July 22, 2020, www.sanmiguel.com.ph/files/reports/SMC_17A_04.12_.2019_-_Full_Report_.pdf</w:t>
      </w:r>
      <w:r w:rsidRPr="0034044B">
        <w:rPr>
          <w:rStyle w:val="Hyperlink"/>
          <w:color w:val="auto"/>
          <w:u w:val="none"/>
        </w:rPr>
        <w:t>.</w:t>
      </w:r>
    </w:p>
  </w:endnote>
  <w:endnote w:id="73">
    <w:p w14:paraId="0F2BB229" w14:textId="292AAEB2" w:rsidR="00E30F09" w:rsidRPr="0034044B" w:rsidRDefault="00E30F09" w:rsidP="00437109">
      <w:pPr>
        <w:pStyle w:val="Footnote"/>
      </w:pPr>
      <w:r w:rsidRPr="0034044B">
        <w:rPr>
          <w:rStyle w:val="EndnoteReference"/>
        </w:rPr>
        <w:endnoteRef/>
      </w:r>
      <w:r w:rsidRPr="0034044B">
        <w:t xml:space="preserve"> Ibid.</w:t>
      </w:r>
    </w:p>
  </w:endnote>
  <w:endnote w:id="74">
    <w:p w14:paraId="39E0FA6F" w14:textId="21DE7940" w:rsidR="00E30F09" w:rsidRPr="0034044B" w:rsidRDefault="00E30F09" w:rsidP="00BC47B2">
      <w:pPr>
        <w:pStyle w:val="NormalWeb"/>
        <w:spacing w:before="0" w:beforeAutospacing="0" w:after="0" w:afterAutospacing="0"/>
        <w:rPr>
          <w:rFonts w:ascii="Arial" w:hAnsi="Arial" w:cs="Arial"/>
          <w:color w:val="000000" w:themeColor="text1"/>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Neil Morales, </w:t>
      </w:r>
      <w:r w:rsidRPr="0034044B">
        <w:rPr>
          <w:rFonts w:ascii="Arial" w:hAnsi="Arial" w:cs="Arial"/>
          <w:color w:val="000000" w:themeColor="text1"/>
          <w:kern w:val="24"/>
          <w:sz w:val="17"/>
          <w:szCs w:val="17"/>
        </w:rPr>
        <w:t xml:space="preserve">“RSA Secures Full Ownership of Privado Holdings,” </w:t>
      </w:r>
      <w:r w:rsidRPr="0034044B">
        <w:rPr>
          <w:rFonts w:ascii="Arial" w:hAnsi="Arial" w:cs="Arial"/>
          <w:i/>
          <w:iCs/>
          <w:color w:val="000000" w:themeColor="text1"/>
          <w:kern w:val="24"/>
          <w:sz w:val="17"/>
          <w:szCs w:val="17"/>
        </w:rPr>
        <w:t>Philippine Star</w:t>
      </w:r>
      <w:r w:rsidRPr="0034044B">
        <w:rPr>
          <w:rFonts w:ascii="Arial" w:hAnsi="Arial" w:cs="Arial"/>
          <w:color w:val="000000" w:themeColor="text1"/>
          <w:kern w:val="24"/>
          <w:sz w:val="17"/>
          <w:szCs w:val="17"/>
        </w:rPr>
        <w:t xml:space="preserve">, April 8, 2014, accessed January 19, 2021, </w:t>
      </w:r>
      <w:r w:rsidRPr="0034044B">
        <w:rPr>
          <w:rFonts w:ascii="Arial" w:eastAsia="+mn-ea" w:hAnsi="Arial" w:cs="Arial"/>
          <w:color w:val="000000" w:themeColor="text1"/>
          <w:kern w:val="24"/>
          <w:sz w:val="17"/>
          <w:szCs w:val="17"/>
        </w:rPr>
        <w:t>www.philstar.com/business/2014/04/08/1309984/rsa-secures-full-ownership-privado-holdings.</w:t>
      </w:r>
    </w:p>
  </w:endnote>
  <w:endnote w:id="75">
    <w:p w14:paraId="676740D8" w14:textId="4A75481F" w:rsidR="00E30F09" w:rsidRPr="0034044B" w:rsidRDefault="00E30F09" w:rsidP="007031F2">
      <w:pPr>
        <w:pStyle w:val="EndnoteText"/>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color w:val="000000" w:themeColor="text1"/>
          <w:kern w:val="24"/>
          <w:sz w:val="17"/>
          <w:szCs w:val="17"/>
        </w:rPr>
        <w:t xml:space="preserve"> </w:t>
      </w:r>
      <w:r w:rsidRPr="0034044B">
        <w:rPr>
          <w:rFonts w:ascii="Arial" w:eastAsia="+mn-ea" w:hAnsi="Arial" w:cs="Arial"/>
          <w:color w:val="000000" w:themeColor="text1"/>
          <w:kern w:val="24"/>
          <w:sz w:val="17"/>
          <w:szCs w:val="17"/>
        </w:rPr>
        <w:t>San Miguel Corporation, “Initial Statement of Beneficial Ownership of Securities (SEC Form 23-A) of Master Year Limited; Statement of Changes in Beneficial Ownership of Securities (SEC Form 23-B) of Mr. Ramon S. Ang; and Statement of Changes in Beneficial Ownership of Securities (SEC Form 23-B) of Top Frontier Investment Holdings, Inc.” San Miguel Corporation, July 3, 2012, accessed January 19, 2021, www.sanmiguel.com.ph/smc_files/disclosures/2012/07_July/23-A%20&amp;%2023-Bs%20Master%20Year%20Limited,%20Ramon%20Ang%20and%20Top%20Frontier.pdf.</w:t>
      </w:r>
    </w:p>
  </w:endnote>
  <w:endnote w:id="76">
    <w:p w14:paraId="1A5E7E8D" w14:textId="04F56DC8" w:rsidR="00E30F09" w:rsidRPr="0034044B" w:rsidRDefault="00E30F09" w:rsidP="00437109">
      <w:pPr>
        <w:pStyle w:val="Footnote"/>
      </w:pPr>
      <w:r w:rsidRPr="0034044B">
        <w:rPr>
          <w:rStyle w:val="EndnoteReference"/>
        </w:rPr>
        <w:endnoteRef/>
      </w:r>
      <w:r w:rsidRPr="0034044B">
        <w:t xml:space="preserve"> San Miguel Corporation, “PSE Disclosure Form 4-2: Acquisition/Disposition of Shares of Another Corporation,” PSE Edge, May 10, 2019, accessed May 10, 2019, </w:t>
      </w:r>
      <w:hyperlink r:id="rId10" w:history="1">
        <w:r w:rsidRPr="0034044B">
          <w:rPr>
            <w:rStyle w:val="Hyperlink"/>
            <w:color w:val="auto"/>
            <w:u w:val="none"/>
          </w:rPr>
          <w:t>https://edge.pse.com.ph/openDiscViewer.do?edge_no=840430f98cf06e02efdfc15ec263a54d</w:t>
        </w:r>
      </w:hyperlink>
      <w:r w:rsidRPr="0034044B">
        <w:rPr>
          <w:rStyle w:val="Hyperlink"/>
          <w:color w:val="auto"/>
          <w:u w:val="none"/>
        </w:rPr>
        <w:t>.</w:t>
      </w:r>
      <w:r w:rsidRPr="0034044B">
        <w:t xml:space="preserve"> </w:t>
      </w:r>
    </w:p>
  </w:endnote>
  <w:endnote w:id="77">
    <w:p w14:paraId="3629AEC8" w14:textId="0486F308" w:rsidR="00E30F09" w:rsidRPr="0034044B" w:rsidRDefault="00E30F09" w:rsidP="00437109">
      <w:pPr>
        <w:pStyle w:val="Footnote"/>
      </w:pPr>
      <w:r w:rsidRPr="0034044B">
        <w:rPr>
          <w:rStyle w:val="EndnoteReference"/>
        </w:rPr>
        <w:endnoteRef/>
      </w:r>
      <w:r w:rsidRPr="0034044B">
        <w:t xml:space="preserve"> Lailany Gomez, “SMC Buys 35% of Cement Firm,” </w:t>
      </w:r>
      <w:r w:rsidRPr="0034044B">
        <w:rPr>
          <w:i/>
          <w:iCs/>
        </w:rPr>
        <w:t xml:space="preserve">Manila Standard, </w:t>
      </w:r>
      <w:r w:rsidRPr="0034044B">
        <w:t xml:space="preserve">May 24, 2013, accessed July 24, 2020, www.manilastandard.net/business/101958/smc-buys-35-of-cement-firm.html. </w:t>
      </w:r>
    </w:p>
  </w:endnote>
  <w:endnote w:id="78">
    <w:p w14:paraId="7822F409" w14:textId="6FFA35E2" w:rsidR="00E30F09" w:rsidRPr="0034044B" w:rsidRDefault="00E30F09" w:rsidP="00437109">
      <w:pPr>
        <w:pStyle w:val="Footnote"/>
      </w:pPr>
      <w:r w:rsidRPr="0034044B">
        <w:rPr>
          <w:rStyle w:val="EndnoteReference"/>
        </w:rPr>
        <w:endnoteRef/>
      </w:r>
      <w:r w:rsidRPr="0034044B">
        <w:t xml:space="preserve"> </w:t>
      </w:r>
      <w:r w:rsidRPr="0034044B">
        <w:rPr>
          <w:rFonts w:eastAsia="Calibri"/>
        </w:rPr>
        <w:t>Iris</w:t>
      </w:r>
      <w:r w:rsidRPr="0034044B">
        <w:t xml:space="preserve"> Gonzales, “San Miguel, Northern Cement Forms Joint Venture,” </w:t>
      </w:r>
      <w:r w:rsidRPr="0034044B">
        <w:rPr>
          <w:rFonts w:eastAsia="Calibri"/>
          <w:i/>
          <w:iCs/>
        </w:rPr>
        <w:t>Philippine Star,</w:t>
      </w:r>
      <w:r w:rsidRPr="0034044B">
        <w:t xml:space="preserve"> August 29, 2017, accessed July 24, 2020, www.philstar.com/business/2017/08/29/1733906/san-miguel-northern-cement-forms-joint-venture</w:t>
      </w:r>
      <w:r w:rsidRPr="0034044B">
        <w:rPr>
          <w:rStyle w:val="Hyperlink"/>
          <w:color w:val="auto"/>
          <w:u w:val="none"/>
        </w:rPr>
        <w:t>.</w:t>
      </w:r>
      <w:r w:rsidRPr="0034044B">
        <w:t xml:space="preserve">    </w:t>
      </w:r>
    </w:p>
  </w:endnote>
  <w:endnote w:id="79">
    <w:p w14:paraId="6FF9051D" w14:textId="27B820DE" w:rsidR="00E30F09" w:rsidRPr="0034044B" w:rsidRDefault="00E30F09" w:rsidP="00437109">
      <w:pPr>
        <w:pStyle w:val="Footnote"/>
      </w:pPr>
      <w:r w:rsidRPr="0034044B">
        <w:rPr>
          <w:rStyle w:val="EndnoteReference"/>
        </w:rPr>
        <w:endnoteRef/>
      </w:r>
      <w:r w:rsidRPr="0034044B">
        <w:t xml:space="preserve"> James Loyola, “SMC Acquires Holcim PH for $2.15 billion,” </w:t>
      </w:r>
      <w:r w:rsidRPr="0034044B">
        <w:rPr>
          <w:i/>
          <w:iCs/>
        </w:rPr>
        <w:t xml:space="preserve">Manila Bulletin, </w:t>
      </w:r>
      <w:r w:rsidRPr="0034044B">
        <w:t>May 10, 2019, accessed July 26, 2020, https://mb.com.ph/2019/05/10/smc-acquires-holcim-ph-for-2-15-billion/.</w:t>
      </w:r>
    </w:p>
  </w:endnote>
  <w:endnote w:id="80">
    <w:p w14:paraId="3F460F83" w14:textId="05C1D3DB" w:rsidR="00E30F09" w:rsidRPr="0034044B" w:rsidRDefault="00E30F09" w:rsidP="00437109">
      <w:pPr>
        <w:pStyle w:val="Footnote"/>
      </w:pPr>
      <w:r w:rsidRPr="0034044B">
        <w:rPr>
          <w:rStyle w:val="EndnoteReference"/>
        </w:rPr>
        <w:endnoteRef/>
      </w:r>
      <w:r w:rsidRPr="0034044B">
        <w:t xml:space="preserve"> </w:t>
      </w:r>
      <w:r w:rsidRPr="00002121">
        <w:rPr>
          <w:spacing w:val="-4"/>
        </w:rPr>
        <w:t xml:space="preserve">Alena Mae Flores, “San Miguel Expects PCC to Approve Holcim Acquisition,” </w:t>
      </w:r>
      <w:r w:rsidRPr="00002121">
        <w:rPr>
          <w:i/>
          <w:iCs/>
          <w:spacing w:val="-4"/>
        </w:rPr>
        <w:t xml:space="preserve">Manila Standard, </w:t>
      </w:r>
      <w:r w:rsidRPr="00002121">
        <w:rPr>
          <w:spacing w:val="-4"/>
        </w:rPr>
        <w:t>May 22, 2019, accessed July 26, 2020, http://manilastandard.net/business/csr-mining/295356/san-miguel-expects-pcc-to-approve-holcim-acquisition.html.</w:t>
      </w:r>
    </w:p>
  </w:endnote>
  <w:endnote w:id="81">
    <w:p w14:paraId="34E7EDF1" w14:textId="65339A33" w:rsidR="00E30F09" w:rsidRPr="0034044B" w:rsidRDefault="00E30F09">
      <w:pPr>
        <w:pStyle w:val="EndnoteText"/>
        <w:rPr>
          <w:rFonts w:ascii="Arial" w:hAnsi="Arial" w:cs="Arial"/>
          <w:sz w:val="17"/>
          <w:szCs w:val="17"/>
          <w:lang w:val="en-US"/>
        </w:rPr>
      </w:pPr>
      <w:r w:rsidRPr="0034044B">
        <w:rPr>
          <w:rStyle w:val="EndnoteReference"/>
        </w:rPr>
        <w:endnoteRef/>
      </w:r>
      <w:r w:rsidRPr="0034044B">
        <w:t xml:space="preserve"> </w:t>
      </w:r>
      <w:r w:rsidRPr="0034044B">
        <w:rPr>
          <w:rFonts w:ascii="Arial" w:hAnsi="Arial" w:cs="Arial"/>
          <w:sz w:val="17"/>
          <w:szCs w:val="17"/>
        </w:rPr>
        <w:t>San Miguel Corporation, “PSE Disclosure Form 4-2: Acquisition/Disposition of Shares of Another Corporation,” PSE Edge, May 10, 2019, accessed May 10, 2019,</w:t>
      </w:r>
      <w:r w:rsidRPr="0034044B">
        <w:rPr>
          <w:rFonts w:ascii="Arial" w:hAnsi="Arial" w:cs="Arial"/>
          <w:sz w:val="17"/>
          <w:szCs w:val="17"/>
          <w:lang w:val="en-US"/>
        </w:rPr>
        <w:t xml:space="preserve"> </w:t>
      </w:r>
      <w:hyperlink r:id="rId11" w:history="1">
        <w:r w:rsidRPr="0034044B">
          <w:rPr>
            <w:rStyle w:val="Hyperlink"/>
            <w:rFonts w:ascii="Arial" w:hAnsi="Arial" w:cs="Arial"/>
            <w:color w:val="auto"/>
            <w:sz w:val="17"/>
            <w:szCs w:val="17"/>
            <w:u w:val="none"/>
          </w:rPr>
          <w:t>https://edge.pse.com.ph/openDiscViewer.do?edge_no=840430f98cf06e02efdfc15ec263a54d</w:t>
        </w:r>
      </w:hyperlink>
    </w:p>
  </w:endnote>
  <w:endnote w:id="82">
    <w:p w14:paraId="7DCDF6AB" w14:textId="4B05E12D" w:rsidR="00E30F09" w:rsidRPr="0034044B" w:rsidRDefault="00E30F09" w:rsidP="00437109">
      <w:pPr>
        <w:pStyle w:val="Footnote"/>
      </w:pPr>
      <w:r w:rsidRPr="0034044B">
        <w:rPr>
          <w:rStyle w:val="EndnoteReference"/>
        </w:rPr>
        <w:endnoteRef/>
      </w:r>
      <w:r w:rsidRPr="0034044B">
        <w:t xml:space="preserve"> Republic of the Philippines, “Section Rule 19–Tender Offers,” in </w:t>
      </w:r>
      <w:r w:rsidRPr="0034044B">
        <w:rPr>
          <w:i/>
          <w:iCs/>
        </w:rPr>
        <w:t>Securities Regulation Code</w:t>
      </w:r>
      <w:r w:rsidRPr="0034044B">
        <w:t>, Securities and Exchange Commission, accessed July 27, 2020 www.sec.gov.ph/wp-content/uploads/2019/11/SRC-Rule-19.pdf.</w:t>
      </w:r>
    </w:p>
  </w:endnote>
  <w:endnote w:id="83">
    <w:p w14:paraId="617CF568" w14:textId="3950BA91" w:rsidR="00E30F09" w:rsidRPr="0034044B" w:rsidRDefault="00E30F09" w:rsidP="00437109">
      <w:pPr>
        <w:pStyle w:val="Footnote"/>
      </w:pPr>
      <w:r w:rsidRPr="0034044B">
        <w:rPr>
          <w:rStyle w:val="EndnoteReference"/>
        </w:rPr>
        <w:endnoteRef/>
      </w:r>
      <w:r w:rsidRPr="0034044B">
        <w:t xml:space="preserve"> Republic of the Philippines, “About the PCC,” Philippine Competition Commission, accessed July 26, 2020,  </w:t>
      </w:r>
      <w:hyperlink r:id="rId12" w:history="1">
        <w:r w:rsidRPr="0034044B">
          <w:rPr>
            <w:rStyle w:val="Hyperlink"/>
            <w:color w:val="auto"/>
            <w:u w:val="none"/>
          </w:rPr>
          <w:t>https://phcc.gov.ph/about-us/</w:t>
        </w:r>
      </w:hyperlink>
      <w:r w:rsidRPr="0034044B">
        <w:rPr>
          <w:rStyle w:val="Hyperlink"/>
          <w:color w:val="auto"/>
          <w:u w:val="none"/>
        </w:rPr>
        <w:t>.</w:t>
      </w:r>
    </w:p>
  </w:endnote>
  <w:endnote w:id="84">
    <w:p w14:paraId="11DF7738" w14:textId="43323DEC" w:rsidR="00E30F09" w:rsidRPr="0034044B" w:rsidRDefault="00E30F09" w:rsidP="00437109">
      <w:pPr>
        <w:pStyle w:val="Footnote"/>
      </w:pPr>
      <w:r w:rsidRPr="0034044B">
        <w:rPr>
          <w:rStyle w:val="EndnoteReference"/>
        </w:rPr>
        <w:endnoteRef/>
      </w:r>
      <w:r w:rsidRPr="0034044B">
        <w:t xml:space="preserve"> Bernie Cahiles-Magkilat, “SMC, Holcim Notify PCC on Acquisition Deal,” </w:t>
      </w:r>
      <w:r w:rsidRPr="0034044B">
        <w:rPr>
          <w:i/>
          <w:iCs/>
        </w:rPr>
        <w:t>Manila Bulletin</w:t>
      </w:r>
      <w:r w:rsidRPr="0034044B">
        <w:t xml:space="preserve">, June 8, 2019, accessed September 6, 2020, </w:t>
      </w:r>
      <w:hyperlink r:id="rId13" w:history="1">
        <w:r w:rsidRPr="0034044B">
          <w:rPr>
            <w:rStyle w:val="Hyperlink"/>
            <w:color w:val="auto"/>
            <w:u w:val="none"/>
          </w:rPr>
          <w:t>https://mb.com.ph/2019/06/08/smc-holcim-notify-pcc-on-acquisition-deal/</w:t>
        </w:r>
      </w:hyperlink>
      <w:r w:rsidRPr="0034044B">
        <w:rPr>
          <w:rStyle w:val="Hyperlink"/>
          <w:color w:val="auto"/>
          <w:u w:val="none"/>
        </w:rPr>
        <w:t>.</w:t>
      </w:r>
    </w:p>
  </w:endnote>
  <w:endnote w:id="85">
    <w:p w14:paraId="44ED4A0E" w14:textId="1547920D" w:rsidR="00E30F09" w:rsidRPr="0034044B" w:rsidRDefault="00E30F09" w:rsidP="00437109">
      <w:pPr>
        <w:pStyle w:val="Footnote"/>
      </w:pPr>
      <w:r w:rsidRPr="0034044B">
        <w:rPr>
          <w:rStyle w:val="EndnoteReference"/>
        </w:rPr>
        <w:endnoteRef/>
      </w:r>
      <w:r w:rsidRPr="0034044B">
        <w:t xml:space="preserve"> Roy Stephen Canivel, “PCC: No Notification Yet on San Miguel’s Takeover of Holcim,” </w:t>
      </w:r>
      <w:r w:rsidRPr="0034044B">
        <w:rPr>
          <w:i/>
          <w:iCs/>
        </w:rPr>
        <w:t>Philippine Daily Inquirer,</w:t>
      </w:r>
      <w:r w:rsidRPr="0034044B">
        <w:t xml:space="preserve"> May 24, 2019, accessed September 6, 2020, </w:t>
      </w:r>
      <w:hyperlink r:id="rId14" w:history="1">
        <w:r w:rsidRPr="0034044B">
          <w:rPr>
            <w:rStyle w:val="Hyperlink"/>
            <w:color w:val="auto"/>
            <w:u w:val="none"/>
          </w:rPr>
          <w:t>https://business.inquirer.net/271191/pcc-no-notification-yet-on-san-miguels-takeover-of-holcim</w:t>
        </w:r>
      </w:hyperlink>
      <w:r w:rsidRPr="0034044B">
        <w:rPr>
          <w:rStyle w:val="Hyperlink"/>
          <w:color w:val="auto"/>
          <w:u w:val="none"/>
        </w:rPr>
        <w:t>.</w:t>
      </w:r>
    </w:p>
  </w:endnote>
  <w:endnote w:id="86">
    <w:p w14:paraId="5E3EC317" w14:textId="455796E8" w:rsidR="00E30F09" w:rsidRPr="0034044B" w:rsidRDefault="00E30F09" w:rsidP="00437109">
      <w:pPr>
        <w:pStyle w:val="Footnote"/>
      </w:pPr>
      <w:r w:rsidRPr="0034044B">
        <w:rPr>
          <w:rStyle w:val="EndnoteReference"/>
        </w:rPr>
        <w:endnoteRef/>
      </w:r>
      <w:r w:rsidRPr="0034044B">
        <w:t xml:space="preserve"> Ibid.  </w:t>
      </w:r>
    </w:p>
  </w:endnote>
  <w:endnote w:id="87">
    <w:p w14:paraId="28CF388D" w14:textId="62018B88" w:rsidR="00E30F09" w:rsidRPr="0034044B" w:rsidRDefault="00E30F09" w:rsidP="00274F7F">
      <w:pPr>
        <w:pStyle w:val="EndnoteText"/>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Gonzales, “SMC Seeks Exemptive Relief on Holcim Bid,” op. cit.</w:t>
      </w:r>
    </w:p>
  </w:endnote>
  <w:endnote w:id="88">
    <w:p w14:paraId="30B941FB" w14:textId="5AD330E5" w:rsidR="00E30F09" w:rsidRPr="0034044B" w:rsidRDefault="00E30F09" w:rsidP="00437109">
      <w:pPr>
        <w:pStyle w:val="Footnote"/>
      </w:pPr>
      <w:r w:rsidRPr="0034044B">
        <w:rPr>
          <w:rStyle w:val="EndnoteReference"/>
        </w:rPr>
        <w:endnoteRef/>
      </w:r>
      <w:r w:rsidRPr="0034044B">
        <w:t xml:space="preserve"> Republic of the Philippines, </w:t>
      </w:r>
      <w:r w:rsidRPr="0034044B">
        <w:rPr>
          <w:i/>
          <w:iCs/>
        </w:rPr>
        <w:t>Q1 2017 to Q1 2020 National Accounts of the Philippines: Base Year 2018</w:t>
      </w:r>
      <w:r w:rsidRPr="0034044B">
        <w:t>, The Philippine Statistics Authority, accessed September 4, 2020, www.psa.gov.ph/sites/default/files/Q1%202020%20NAP%20publication.pdf.</w:t>
      </w:r>
    </w:p>
  </w:endnote>
  <w:endnote w:id="89">
    <w:p w14:paraId="4E24FBF8" w14:textId="68357D7A" w:rsidR="00E30F09" w:rsidRPr="0034044B" w:rsidRDefault="00E30F09" w:rsidP="00437109">
      <w:pPr>
        <w:pStyle w:val="Footnote"/>
        <w:rPr>
          <w:b/>
          <w:bCs/>
          <w:kern w:val="36"/>
        </w:rPr>
      </w:pPr>
      <w:r w:rsidRPr="0034044B">
        <w:rPr>
          <w:rStyle w:val="EndnoteReference"/>
        </w:rPr>
        <w:endnoteRef/>
      </w:r>
      <w:r w:rsidRPr="0034044B">
        <w:t xml:space="preserve"> Arra Francia, “Holcim Completes Expansion of La Union Plant,” Business World, Feb 22, 2019, accessed March 20, 2020, </w:t>
      </w:r>
      <w:r w:rsidRPr="0034044B">
        <w:rPr>
          <w:kern w:val="36"/>
        </w:rPr>
        <w:t>www.bworldonline.com/holcim-completes-expansion-of-la-union-plant</w:t>
      </w:r>
      <w:r w:rsidRPr="0034044B">
        <w:rPr>
          <w:b/>
          <w:bCs/>
          <w:kern w:val="36"/>
        </w:rPr>
        <w:t>/.</w:t>
      </w:r>
    </w:p>
  </w:endnote>
  <w:endnote w:id="90">
    <w:p w14:paraId="5C00D6DE" w14:textId="12EBC047" w:rsidR="00E30F09" w:rsidRPr="0034044B" w:rsidRDefault="00E30F09">
      <w:pPr>
        <w:pStyle w:val="EndnoteText"/>
        <w:rPr>
          <w:rFonts w:ascii="Arial" w:hAnsi="Arial" w:cs="Arial"/>
          <w:sz w:val="17"/>
          <w:szCs w:val="17"/>
        </w:rPr>
      </w:pPr>
      <w:r w:rsidRPr="0034044B">
        <w:rPr>
          <w:rStyle w:val="EndnoteReference"/>
          <w:rFonts w:ascii="Arial" w:hAnsi="Arial" w:cs="Arial"/>
          <w:sz w:val="17"/>
          <w:szCs w:val="17"/>
        </w:rPr>
        <w:endnoteRef/>
      </w:r>
      <w:r w:rsidRPr="0034044B">
        <w:rPr>
          <w:rFonts w:ascii="Arial" w:hAnsi="Arial" w:cs="Arial"/>
          <w:sz w:val="17"/>
          <w:szCs w:val="17"/>
        </w:rPr>
        <w:t xml:space="preserve"> Case writer estimate based on 10-year historical run rates of depreciation and capital expenditure.</w:t>
      </w:r>
    </w:p>
  </w:endnote>
  <w:endnote w:id="91">
    <w:p w14:paraId="7BE3455D" w14:textId="0CE91E63" w:rsidR="00E30F09" w:rsidRPr="0034044B" w:rsidRDefault="00E30F09" w:rsidP="00437109">
      <w:pPr>
        <w:pStyle w:val="Footnote"/>
      </w:pPr>
      <w:r w:rsidRPr="0034044B">
        <w:rPr>
          <w:rStyle w:val="EndnoteReference"/>
        </w:rPr>
        <w:endnoteRef/>
      </w:r>
      <w:r w:rsidRPr="0034044B">
        <w:t xml:space="preserve"> Calculated by case writers, based 18-year market returns less 91-day Treasury bills. Data on Philippine Stock Exchange index and Treasury bill rate taken from S&amp;P Capital IQ, accessed January 19, 2021.  </w:t>
      </w:r>
    </w:p>
  </w:endnote>
  <w:endnote w:id="92">
    <w:p w14:paraId="58E8ECAE" w14:textId="0E3B5978" w:rsidR="00E30F09" w:rsidRPr="0034044B" w:rsidRDefault="00E30F09" w:rsidP="00437109">
      <w:pPr>
        <w:pStyle w:val="Footnote"/>
      </w:pPr>
      <w:r w:rsidRPr="0034044B">
        <w:rPr>
          <w:rStyle w:val="EndnoteReference"/>
        </w:rPr>
        <w:endnoteRef/>
      </w:r>
      <w:r w:rsidRPr="0034044B">
        <w:t xml:space="preserve"> World Bank Group, </w:t>
      </w:r>
      <w:r w:rsidRPr="0034044B">
        <w:rPr>
          <w:i/>
          <w:iCs/>
        </w:rPr>
        <w:t>Philippines Economic Update: Safeguarding Stability—Investing in the Filipino</w:t>
      </w:r>
      <w:r w:rsidRPr="0034044B">
        <w:t xml:space="preserve">, The World Bank, April 2019, accessed September 3, 2020, </w:t>
      </w:r>
      <w:hyperlink w:history="1"/>
      <w:r w:rsidRPr="0034044B">
        <w:t>http://documents1.worldbank.org/curated/en/442801553879554971/pdf/Philippines-Economic-Update-Safeguarding-Stability-Investing-in-the-Filipino.pdf.</w:t>
      </w:r>
    </w:p>
  </w:endnote>
  <w:endnote w:id="93">
    <w:p w14:paraId="78A106FF" w14:textId="2A66AD2F" w:rsidR="00E30F09" w:rsidRPr="0034044B" w:rsidRDefault="00E30F09" w:rsidP="00BC47B2">
      <w:pPr>
        <w:pStyle w:val="Footnote"/>
      </w:pPr>
      <w:r w:rsidRPr="0034044B">
        <w:rPr>
          <w:rStyle w:val="EndnoteReference"/>
          <w:color w:val="000000" w:themeColor="text1"/>
        </w:rPr>
        <w:endnoteRef/>
      </w:r>
      <w:r w:rsidRPr="0034044B">
        <w:rPr>
          <w:color w:val="000000" w:themeColor="text1"/>
        </w:rPr>
        <w:t xml:space="preserve"> Republic of the Philippines, op. cit.</w:t>
      </w:r>
    </w:p>
  </w:endnote>
  <w:endnote w:id="94">
    <w:p w14:paraId="5096EDF5" w14:textId="337F09D8" w:rsidR="00E30F09" w:rsidRPr="0034044B" w:rsidRDefault="00E30F09" w:rsidP="00BC47B2">
      <w:pPr>
        <w:pStyle w:val="Footnote"/>
      </w:pPr>
      <w:r w:rsidRPr="0034044B">
        <w:rPr>
          <w:rStyle w:val="EndnoteReference"/>
        </w:rPr>
        <w:endnoteRef/>
      </w:r>
      <w:r w:rsidRPr="0034044B">
        <w:t xml:space="preserve"> VG Cabuag, “Cement Makers Jostle for Bigger Market Share,” Business Mirror, April 22, 2017, accessed January 21, 2018, https://businessmirror.com.ph/cement-makers-jostle-for-bigger-market-share/.</w:t>
      </w:r>
    </w:p>
  </w:endnote>
  <w:endnote w:id="95">
    <w:p w14:paraId="1BBA0427" w14:textId="66349222" w:rsidR="00E30F09" w:rsidRPr="0034044B" w:rsidRDefault="00E30F09" w:rsidP="00437109">
      <w:pPr>
        <w:pStyle w:val="Footnote"/>
      </w:pPr>
      <w:r w:rsidRPr="0034044B">
        <w:rPr>
          <w:rStyle w:val="EndnoteReference"/>
        </w:rPr>
        <w:endnoteRef/>
      </w:r>
      <w:r w:rsidRPr="0034044B">
        <w:t xml:space="preserve"> Holcim Philippines, Inc., “Stock Prices of Shares for Holcim Philippines, Inc. and PSEi Levels” S&amp;P Capital IQ, accessed March 30, 2020. </w:t>
      </w:r>
    </w:p>
  </w:endnote>
  <w:endnote w:id="96">
    <w:p w14:paraId="4A3E01BE" w14:textId="57683A26" w:rsidR="00E30F09" w:rsidRPr="00437109" w:rsidRDefault="00E30F09" w:rsidP="00297CB1">
      <w:pPr>
        <w:pStyle w:val="Footnote"/>
      </w:pPr>
      <w:r w:rsidRPr="0034044B">
        <w:rPr>
          <w:rStyle w:val="EndnoteReference"/>
        </w:rPr>
        <w:endnoteRef/>
      </w:r>
      <w:r w:rsidRPr="0034044B">
        <w:t xml:space="preserve"> Holcim Philippines Inc., </w:t>
      </w:r>
      <w:r w:rsidRPr="0034044B">
        <w:rPr>
          <w:i/>
          <w:iCs/>
        </w:rPr>
        <w:t>2018 Annual Report</w:t>
      </w:r>
      <w:r w:rsidRPr="0034044B">
        <w:t>, Holcim Philippines Inc., February 28, 2019, accessed July 26, 2020, www.holcim.ph/sites/philippines/files/atoms/files/hpi_2018_annual_report.pdf</w:t>
      </w:r>
      <w:r w:rsidRPr="0034044B">
        <w:rPr>
          <w:rStyle w:val="Hyperlink"/>
          <w:color w:val="auto"/>
          <w:u w:val="none"/>
        </w:rPr>
        <w:t>.</w:t>
      </w:r>
      <w:r w:rsidRPr="005829D8">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7483D" w14:textId="77777777" w:rsidR="00E30F09" w:rsidRDefault="00E30F09" w:rsidP="00D75295">
      <w:r>
        <w:separator/>
      </w:r>
    </w:p>
  </w:footnote>
  <w:footnote w:type="continuationSeparator" w:id="0">
    <w:p w14:paraId="31155715" w14:textId="77777777" w:rsidR="00E30F09" w:rsidRDefault="00E30F0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E05FBB9" w:rsidR="00E30F09" w:rsidRPr="00C92CC4" w:rsidRDefault="00E30F0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9</w:t>
    </w:r>
    <w:r>
      <w:rPr>
        <w:rFonts w:ascii="Arial" w:hAnsi="Arial"/>
        <w:b/>
      </w:rPr>
      <w:fldChar w:fldCharType="end"/>
    </w:r>
    <w:r>
      <w:rPr>
        <w:rFonts w:ascii="Arial" w:hAnsi="Arial"/>
        <w:b/>
      </w:rPr>
      <w:tab/>
      <w:t>9B21N006</w:t>
    </w:r>
  </w:p>
  <w:p w14:paraId="2B53C0A0" w14:textId="77777777" w:rsidR="00E30F09" w:rsidRDefault="00E30F09" w:rsidP="00D13667">
    <w:pPr>
      <w:pStyle w:val="Header"/>
      <w:tabs>
        <w:tab w:val="clear" w:pos="4680"/>
      </w:tabs>
      <w:rPr>
        <w:sz w:val="18"/>
        <w:szCs w:val="18"/>
      </w:rPr>
    </w:pPr>
  </w:p>
  <w:p w14:paraId="47119730" w14:textId="77777777" w:rsidR="00E30F09" w:rsidRPr="00C92CC4" w:rsidRDefault="00E30F0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C00"/>
    <w:multiLevelType w:val="hybridMultilevel"/>
    <w:tmpl w:val="C61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931485"/>
    <w:multiLevelType w:val="hybridMultilevel"/>
    <w:tmpl w:val="B2C82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9670D"/>
    <w:multiLevelType w:val="hybridMultilevel"/>
    <w:tmpl w:val="3530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46AB1"/>
    <w:multiLevelType w:val="hybridMultilevel"/>
    <w:tmpl w:val="B596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61F05"/>
    <w:multiLevelType w:val="hybridMultilevel"/>
    <w:tmpl w:val="C242D98A"/>
    <w:lvl w:ilvl="0" w:tplc="EA36C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353305"/>
    <w:multiLevelType w:val="hybridMultilevel"/>
    <w:tmpl w:val="05920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64B17"/>
    <w:multiLevelType w:val="hybridMultilevel"/>
    <w:tmpl w:val="EA36A2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2706C2"/>
    <w:multiLevelType w:val="hybridMultilevel"/>
    <w:tmpl w:val="B2C82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41BD7"/>
    <w:multiLevelType w:val="multilevel"/>
    <w:tmpl w:val="9E60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7"/>
  </w:num>
  <w:num w:numId="4">
    <w:abstractNumId w:val="18"/>
  </w:num>
  <w:num w:numId="5">
    <w:abstractNumId w:val="8"/>
  </w:num>
  <w:num w:numId="6">
    <w:abstractNumId w:val="16"/>
  </w:num>
  <w:num w:numId="7">
    <w:abstractNumId w:val="1"/>
  </w:num>
  <w:num w:numId="8">
    <w:abstractNumId w:val="20"/>
  </w:num>
  <w:num w:numId="9">
    <w:abstractNumId w:val="17"/>
  </w:num>
  <w:num w:numId="10">
    <w:abstractNumId w:val="5"/>
  </w:num>
  <w:num w:numId="11">
    <w:abstractNumId w:val="14"/>
  </w:num>
  <w:num w:numId="12">
    <w:abstractNumId w:val="15"/>
  </w:num>
  <w:num w:numId="13">
    <w:abstractNumId w:val="3"/>
  </w:num>
  <w:num w:numId="14">
    <w:abstractNumId w:val="0"/>
  </w:num>
  <w:num w:numId="15">
    <w:abstractNumId w:val="6"/>
  </w:num>
  <w:num w:numId="16">
    <w:abstractNumId w:val="10"/>
  </w:num>
  <w:num w:numId="17">
    <w:abstractNumId w:val="4"/>
  </w:num>
  <w:num w:numId="18">
    <w:abstractNumId w:val="2"/>
  </w:num>
  <w:num w:numId="19">
    <w:abstractNumId w:val="12"/>
  </w:num>
  <w:num w:numId="20">
    <w:abstractNumId w:val="9"/>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0A8"/>
    <w:rsid w:val="0000085A"/>
    <w:rsid w:val="00002121"/>
    <w:rsid w:val="00006853"/>
    <w:rsid w:val="00007359"/>
    <w:rsid w:val="0001321B"/>
    <w:rsid w:val="00013360"/>
    <w:rsid w:val="00016759"/>
    <w:rsid w:val="000216CE"/>
    <w:rsid w:val="0002198E"/>
    <w:rsid w:val="00024ED4"/>
    <w:rsid w:val="00025177"/>
    <w:rsid w:val="00025DC7"/>
    <w:rsid w:val="000277F7"/>
    <w:rsid w:val="00030F13"/>
    <w:rsid w:val="00034CB9"/>
    <w:rsid w:val="00035F09"/>
    <w:rsid w:val="00035F22"/>
    <w:rsid w:val="00042DB6"/>
    <w:rsid w:val="00043E59"/>
    <w:rsid w:val="00044ECC"/>
    <w:rsid w:val="00045661"/>
    <w:rsid w:val="000531D3"/>
    <w:rsid w:val="0005646B"/>
    <w:rsid w:val="000615D1"/>
    <w:rsid w:val="00061C6A"/>
    <w:rsid w:val="00065480"/>
    <w:rsid w:val="00067236"/>
    <w:rsid w:val="0007083D"/>
    <w:rsid w:val="00076DF5"/>
    <w:rsid w:val="0008102D"/>
    <w:rsid w:val="000840C4"/>
    <w:rsid w:val="00085603"/>
    <w:rsid w:val="00085ECD"/>
    <w:rsid w:val="00086B26"/>
    <w:rsid w:val="00090BA4"/>
    <w:rsid w:val="0009345F"/>
    <w:rsid w:val="00094C0E"/>
    <w:rsid w:val="00095EB7"/>
    <w:rsid w:val="000A146D"/>
    <w:rsid w:val="000A49BC"/>
    <w:rsid w:val="000A6E60"/>
    <w:rsid w:val="000A7CEF"/>
    <w:rsid w:val="000B3D62"/>
    <w:rsid w:val="000B5B77"/>
    <w:rsid w:val="000B5C46"/>
    <w:rsid w:val="000C785D"/>
    <w:rsid w:val="000D0C96"/>
    <w:rsid w:val="000D2A2F"/>
    <w:rsid w:val="000D3F6A"/>
    <w:rsid w:val="000D7091"/>
    <w:rsid w:val="000E1F87"/>
    <w:rsid w:val="000E4C9E"/>
    <w:rsid w:val="000F0C22"/>
    <w:rsid w:val="000F6B09"/>
    <w:rsid w:val="000F6ED7"/>
    <w:rsid w:val="000F6FDC"/>
    <w:rsid w:val="00100B22"/>
    <w:rsid w:val="00104567"/>
    <w:rsid w:val="00104916"/>
    <w:rsid w:val="00104AA7"/>
    <w:rsid w:val="00105333"/>
    <w:rsid w:val="00105F5F"/>
    <w:rsid w:val="00106891"/>
    <w:rsid w:val="001114A3"/>
    <w:rsid w:val="00112CF3"/>
    <w:rsid w:val="001137D4"/>
    <w:rsid w:val="001204E7"/>
    <w:rsid w:val="001219BF"/>
    <w:rsid w:val="0012732D"/>
    <w:rsid w:val="00137DFF"/>
    <w:rsid w:val="00140D1B"/>
    <w:rsid w:val="00143DA8"/>
    <w:rsid w:val="00143F25"/>
    <w:rsid w:val="00152682"/>
    <w:rsid w:val="001533FD"/>
    <w:rsid w:val="00154FC9"/>
    <w:rsid w:val="00160848"/>
    <w:rsid w:val="00163D6D"/>
    <w:rsid w:val="00180572"/>
    <w:rsid w:val="001901C0"/>
    <w:rsid w:val="001918DD"/>
    <w:rsid w:val="00191E25"/>
    <w:rsid w:val="0019241A"/>
    <w:rsid w:val="00192A18"/>
    <w:rsid w:val="0019680C"/>
    <w:rsid w:val="00197670"/>
    <w:rsid w:val="001A22D1"/>
    <w:rsid w:val="001A752D"/>
    <w:rsid w:val="001A757E"/>
    <w:rsid w:val="001B0CA0"/>
    <w:rsid w:val="001B5032"/>
    <w:rsid w:val="001C0656"/>
    <w:rsid w:val="001C0EFA"/>
    <w:rsid w:val="001C6FFB"/>
    <w:rsid w:val="001C7777"/>
    <w:rsid w:val="001D344B"/>
    <w:rsid w:val="001D636E"/>
    <w:rsid w:val="001E364F"/>
    <w:rsid w:val="001E5196"/>
    <w:rsid w:val="001E5D86"/>
    <w:rsid w:val="001F4222"/>
    <w:rsid w:val="002020F4"/>
    <w:rsid w:val="00203AA1"/>
    <w:rsid w:val="0020443A"/>
    <w:rsid w:val="00213E98"/>
    <w:rsid w:val="002179B6"/>
    <w:rsid w:val="00221522"/>
    <w:rsid w:val="00222E6C"/>
    <w:rsid w:val="00226BF8"/>
    <w:rsid w:val="0023006C"/>
    <w:rsid w:val="00230150"/>
    <w:rsid w:val="0023081A"/>
    <w:rsid w:val="00231ED7"/>
    <w:rsid w:val="00233111"/>
    <w:rsid w:val="00245080"/>
    <w:rsid w:val="00251D7E"/>
    <w:rsid w:val="00257AA0"/>
    <w:rsid w:val="00260639"/>
    <w:rsid w:val="00261A28"/>
    <w:rsid w:val="00265FA8"/>
    <w:rsid w:val="00266311"/>
    <w:rsid w:val="00274F7F"/>
    <w:rsid w:val="00275DC2"/>
    <w:rsid w:val="00275E90"/>
    <w:rsid w:val="00282827"/>
    <w:rsid w:val="00282C4C"/>
    <w:rsid w:val="002833D6"/>
    <w:rsid w:val="00286FCA"/>
    <w:rsid w:val="00287B38"/>
    <w:rsid w:val="002910A3"/>
    <w:rsid w:val="00296F68"/>
    <w:rsid w:val="00297CB1"/>
    <w:rsid w:val="002A3C67"/>
    <w:rsid w:val="002A4B6A"/>
    <w:rsid w:val="002A7BDF"/>
    <w:rsid w:val="002B1F09"/>
    <w:rsid w:val="002B40FF"/>
    <w:rsid w:val="002C4E29"/>
    <w:rsid w:val="002C5284"/>
    <w:rsid w:val="002D6CCD"/>
    <w:rsid w:val="002E5255"/>
    <w:rsid w:val="002F0EA8"/>
    <w:rsid w:val="002F460C"/>
    <w:rsid w:val="002F48D6"/>
    <w:rsid w:val="0030218C"/>
    <w:rsid w:val="003057AD"/>
    <w:rsid w:val="003129BD"/>
    <w:rsid w:val="003165B8"/>
    <w:rsid w:val="00317391"/>
    <w:rsid w:val="00317C81"/>
    <w:rsid w:val="00326216"/>
    <w:rsid w:val="00336580"/>
    <w:rsid w:val="00337A40"/>
    <w:rsid w:val="0034044B"/>
    <w:rsid w:val="0034164E"/>
    <w:rsid w:val="00344236"/>
    <w:rsid w:val="00345AA3"/>
    <w:rsid w:val="00351CEC"/>
    <w:rsid w:val="00353275"/>
    <w:rsid w:val="00354899"/>
    <w:rsid w:val="00354C33"/>
    <w:rsid w:val="00355FD6"/>
    <w:rsid w:val="003560E7"/>
    <w:rsid w:val="00364A5C"/>
    <w:rsid w:val="00366310"/>
    <w:rsid w:val="00366718"/>
    <w:rsid w:val="0037305C"/>
    <w:rsid w:val="00373FB1"/>
    <w:rsid w:val="0037422D"/>
    <w:rsid w:val="00383BF4"/>
    <w:rsid w:val="00384DB5"/>
    <w:rsid w:val="0038715B"/>
    <w:rsid w:val="003913B2"/>
    <w:rsid w:val="00396C76"/>
    <w:rsid w:val="003A0C0F"/>
    <w:rsid w:val="003A5366"/>
    <w:rsid w:val="003A5A58"/>
    <w:rsid w:val="003A62B4"/>
    <w:rsid w:val="003A6DCE"/>
    <w:rsid w:val="003B0BA0"/>
    <w:rsid w:val="003B25FA"/>
    <w:rsid w:val="003B30D8"/>
    <w:rsid w:val="003B4792"/>
    <w:rsid w:val="003B72B5"/>
    <w:rsid w:val="003B7EF2"/>
    <w:rsid w:val="003C3FA4"/>
    <w:rsid w:val="003C6B4C"/>
    <w:rsid w:val="003D0BA1"/>
    <w:rsid w:val="003D75FA"/>
    <w:rsid w:val="003F149F"/>
    <w:rsid w:val="003F1936"/>
    <w:rsid w:val="003F2B0C"/>
    <w:rsid w:val="003F3FD6"/>
    <w:rsid w:val="003F6E32"/>
    <w:rsid w:val="003F7402"/>
    <w:rsid w:val="003F74F5"/>
    <w:rsid w:val="004105B2"/>
    <w:rsid w:val="0041145A"/>
    <w:rsid w:val="00412626"/>
    <w:rsid w:val="00412900"/>
    <w:rsid w:val="0041428E"/>
    <w:rsid w:val="004174FA"/>
    <w:rsid w:val="004221E4"/>
    <w:rsid w:val="00424543"/>
    <w:rsid w:val="004273F8"/>
    <w:rsid w:val="004304AE"/>
    <w:rsid w:val="004355A3"/>
    <w:rsid w:val="00437109"/>
    <w:rsid w:val="004419AC"/>
    <w:rsid w:val="00442031"/>
    <w:rsid w:val="00444F7A"/>
    <w:rsid w:val="0044653F"/>
    <w:rsid w:val="00446546"/>
    <w:rsid w:val="00452769"/>
    <w:rsid w:val="004540C1"/>
    <w:rsid w:val="00454FA7"/>
    <w:rsid w:val="004558F6"/>
    <w:rsid w:val="00465348"/>
    <w:rsid w:val="0047103F"/>
    <w:rsid w:val="004765B7"/>
    <w:rsid w:val="00485F3D"/>
    <w:rsid w:val="00491FA7"/>
    <w:rsid w:val="004979A5"/>
    <w:rsid w:val="00497A15"/>
    <w:rsid w:val="004A25E0"/>
    <w:rsid w:val="004A5B91"/>
    <w:rsid w:val="004A762B"/>
    <w:rsid w:val="004B1CCB"/>
    <w:rsid w:val="004B2E77"/>
    <w:rsid w:val="004B551A"/>
    <w:rsid w:val="004B632F"/>
    <w:rsid w:val="004C0058"/>
    <w:rsid w:val="004C0B70"/>
    <w:rsid w:val="004D27EA"/>
    <w:rsid w:val="004D3FB1"/>
    <w:rsid w:val="004D6650"/>
    <w:rsid w:val="004D6F21"/>
    <w:rsid w:val="004D73A5"/>
    <w:rsid w:val="004E1CE8"/>
    <w:rsid w:val="004E49BC"/>
    <w:rsid w:val="004E5E30"/>
    <w:rsid w:val="004F22EB"/>
    <w:rsid w:val="00504D83"/>
    <w:rsid w:val="00506EA2"/>
    <w:rsid w:val="00515BF8"/>
    <w:rsid w:val="005160F1"/>
    <w:rsid w:val="0051668A"/>
    <w:rsid w:val="005204DB"/>
    <w:rsid w:val="0052152C"/>
    <w:rsid w:val="00524F2F"/>
    <w:rsid w:val="005263C7"/>
    <w:rsid w:val="00527C12"/>
    <w:rsid w:val="00527E5C"/>
    <w:rsid w:val="00530BC3"/>
    <w:rsid w:val="00532CF5"/>
    <w:rsid w:val="005454A6"/>
    <w:rsid w:val="00552582"/>
    <w:rsid w:val="005528CB"/>
    <w:rsid w:val="00557D0E"/>
    <w:rsid w:val="00564185"/>
    <w:rsid w:val="00566771"/>
    <w:rsid w:val="0057576F"/>
    <w:rsid w:val="00580224"/>
    <w:rsid w:val="0058120C"/>
    <w:rsid w:val="00581E2E"/>
    <w:rsid w:val="005828C2"/>
    <w:rsid w:val="005829D8"/>
    <w:rsid w:val="00584F15"/>
    <w:rsid w:val="00585E49"/>
    <w:rsid w:val="005874D5"/>
    <w:rsid w:val="00593CD1"/>
    <w:rsid w:val="0059514B"/>
    <w:rsid w:val="005A145D"/>
    <w:rsid w:val="005A1B0F"/>
    <w:rsid w:val="005A6091"/>
    <w:rsid w:val="005B3F2E"/>
    <w:rsid w:val="005B4CE6"/>
    <w:rsid w:val="005B5C46"/>
    <w:rsid w:val="005B5EFE"/>
    <w:rsid w:val="005C5035"/>
    <w:rsid w:val="005E36D8"/>
    <w:rsid w:val="005F4E07"/>
    <w:rsid w:val="006014D1"/>
    <w:rsid w:val="00603A60"/>
    <w:rsid w:val="006163F7"/>
    <w:rsid w:val="006165B5"/>
    <w:rsid w:val="006262C8"/>
    <w:rsid w:val="00626CDB"/>
    <w:rsid w:val="00627C63"/>
    <w:rsid w:val="006309B3"/>
    <w:rsid w:val="0063350B"/>
    <w:rsid w:val="00645A5F"/>
    <w:rsid w:val="00652606"/>
    <w:rsid w:val="00657F8C"/>
    <w:rsid w:val="006736FB"/>
    <w:rsid w:val="0067745F"/>
    <w:rsid w:val="00683F16"/>
    <w:rsid w:val="00685539"/>
    <w:rsid w:val="00691223"/>
    <w:rsid w:val="006946EE"/>
    <w:rsid w:val="00694C87"/>
    <w:rsid w:val="006A1CE8"/>
    <w:rsid w:val="006A4203"/>
    <w:rsid w:val="006A58A9"/>
    <w:rsid w:val="006A606D"/>
    <w:rsid w:val="006B3B08"/>
    <w:rsid w:val="006B58A1"/>
    <w:rsid w:val="006B5EB8"/>
    <w:rsid w:val="006B7B6E"/>
    <w:rsid w:val="006C0371"/>
    <w:rsid w:val="006C08B6"/>
    <w:rsid w:val="006C0B1A"/>
    <w:rsid w:val="006C3619"/>
    <w:rsid w:val="006C6065"/>
    <w:rsid w:val="006C792F"/>
    <w:rsid w:val="006C7F9F"/>
    <w:rsid w:val="006D3A22"/>
    <w:rsid w:val="006D3EB2"/>
    <w:rsid w:val="006D4D42"/>
    <w:rsid w:val="006E2F6D"/>
    <w:rsid w:val="006E58F6"/>
    <w:rsid w:val="006E77E1"/>
    <w:rsid w:val="006E784A"/>
    <w:rsid w:val="006F131D"/>
    <w:rsid w:val="006F6240"/>
    <w:rsid w:val="006F787D"/>
    <w:rsid w:val="006F7977"/>
    <w:rsid w:val="007031F2"/>
    <w:rsid w:val="00705DD4"/>
    <w:rsid w:val="0071118D"/>
    <w:rsid w:val="00711642"/>
    <w:rsid w:val="00711B8D"/>
    <w:rsid w:val="00712BC0"/>
    <w:rsid w:val="00715A3B"/>
    <w:rsid w:val="00723A6A"/>
    <w:rsid w:val="00725356"/>
    <w:rsid w:val="0072544B"/>
    <w:rsid w:val="00726AF6"/>
    <w:rsid w:val="0074132C"/>
    <w:rsid w:val="00742C9F"/>
    <w:rsid w:val="0074352D"/>
    <w:rsid w:val="0075024D"/>
    <w:rsid w:val="007507C6"/>
    <w:rsid w:val="00751E0B"/>
    <w:rsid w:val="00752BCD"/>
    <w:rsid w:val="00754BA3"/>
    <w:rsid w:val="00762A8A"/>
    <w:rsid w:val="007647C6"/>
    <w:rsid w:val="00765FF4"/>
    <w:rsid w:val="00766649"/>
    <w:rsid w:val="00766DA1"/>
    <w:rsid w:val="00771591"/>
    <w:rsid w:val="007767B0"/>
    <w:rsid w:val="0078016B"/>
    <w:rsid w:val="007801D0"/>
    <w:rsid w:val="007809BF"/>
    <w:rsid w:val="00780D94"/>
    <w:rsid w:val="007812E4"/>
    <w:rsid w:val="00785842"/>
    <w:rsid w:val="007866A6"/>
    <w:rsid w:val="00796625"/>
    <w:rsid w:val="007A05EF"/>
    <w:rsid w:val="007A130D"/>
    <w:rsid w:val="007A1460"/>
    <w:rsid w:val="007B3336"/>
    <w:rsid w:val="007B55F4"/>
    <w:rsid w:val="007B5DE4"/>
    <w:rsid w:val="007C53B1"/>
    <w:rsid w:val="007D1A2D"/>
    <w:rsid w:val="007D32E6"/>
    <w:rsid w:val="007D3515"/>
    <w:rsid w:val="007D3A61"/>
    <w:rsid w:val="007D4102"/>
    <w:rsid w:val="007D75CE"/>
    <w:rsid w:val="007E0E7E"/>
    <w:rsid w:val="007E54A7"/>
    <w:rsid w:val="007F43B7"/>
    <w:rsid w:val="00801E94"/>
    <w:rsid w:val="00805822"/>
    <w:rsid w:val="0081573F"/>
    <w:rsid w:val="00817527"/>
    <w:rsid w:val="00821DFA"/>
    <w:rsid w:val="00821FFC"/>
    <w:rsid w:val="00826213"/>
    <w:rsid w:val="008271CA"/>
    <w:rsid w:val="0082739F"/>
    <w:rsid w:val="00841BA0"/>
    <w:rsid w:val="00843CE4"/>
    <w:rsid w:val="008442B0"/>
    <w:rsid w:val="008467D5"/>
    <w:rsid w:val="00846D1F"/>
    <w:rsid w:val="00846D96"/>
    <w:rsid w:val="00847B47"/>
    <w:rsid w:val="00853F57"/>
    <w:rsid w:val="00855C03"/>
    <w:rsid w:val="00857B9E"/>
    <w:rsid w:val="00862671"/>
    <w:rsid w:val="0087094A"/>
    <w:rsid w:val="0088059B"/>
    <w:rsid w:val="00881361"/>
    <w:rsid w:val="008813CB"/>
    <w:rsid w:val="00882D6F"/>
    <w:rsid w:val="00883AA4"/>
    <w:rsid w:val="00884DF1"/>
    <w:rsid w:val="00890453"/>
    <w:rsid w:val="0089400B"/>
    <w:rsid w:val="00897745"/>
    <w:rsid w:val="008A43CB"/>
    <w:rsid w:val="008A4DC4"/>
    <w:rsid w:val="008B27DF"/>
    <w:rsid w:val="008B438C"/>
    <w:rsid w:val="008C0395"/>
    <w:rsid w:val="008C7AC4"/>
    <w:rsid w:val="008D06CA"/>
    <w:rsid w:val="008D3A46"/>
    <w:rsid w:val="008D47E7"/>
    <w:rsid w:val="008D6DEB"/>
    <w:rsid w:val="008E0612"/>
    <w:rsid w:val="008E0F79"/>
    <w:rsid w:val="008E7269"/>
    <w:rsid w:val="008F2385"/>
    <w:rsid w:val="008F2E08"/>
    <w:rsid w:val="008F3AF7"/>
    <w:rsid w:val="008F405D"/>
    <w:rsid w:val="009022C5"/>
    <w:rsid w:val="009043AC"/>
    <w:rsid w:val="009067A4"/>
    <w:rsid w:val="00912DCE"/>
    <w:rsid w:val="009151D8"/>
    <w:rsid w:val="00925494"/>
    <w:rsid w:val="00925657"/>
    <w:rsid w:val="00927FCE"/>
    <w:rsid w:val="00930885"/>
    <w:rsid w:val="009311CC"/>
    <w:rsid w:val="00933D68"/>
    <w:rsid w:val="009340DB"/>
    <w:rsid w:val="00934473"/>
    <w:rsid w:val="009452D9"/>
    <w:rsid w:val="00945BB8"/>
    <w:rsid w:val="0094618C"/>
    <w:rsid w:val="009520F7"/>
    <w:rsid w:val="0095684B"/>
    <w:rsid w:val="009600B0"/>
    <w:rsid w:val="00961CBA"/>
    <w:rsid w:val="009624B9"/>
    <w:rsid w:val="00963EDA"/>
    <w:rsid w:val="00972498"/>
    <w:rsid w:val="00974146"/>
    <w:rsid w:val="0097481F"/>
    <w:rsid w:val="00974CC6"/>
    <w:rsid w:val="00975667"/>
    <w:rsid w:val="00976AD4"/>
    <w:rsid w:val="00977A8C"/>
    <w:rsid w:val="009803ED"/>
    <w:rsid w:val="00981C2D"/>
    <w:rsid w:val="00982009"/>
    <w:rsid w:val="009875B0"/>
    <w:rsid w:val="00987E78"/>
    <w:rsid w:val="00992744"/>
    <w:rsid w:val="00992F14"/>
    <w:rsid w:val="00995547"/>
    <w:rsid w:val="00996D34"/>
    <w:rsid w:val="009A312F"/>
    <w:rsid w:val="009A5348"/>
    <w:rsid w:val="009A61BE"/>
    <w:rsid w:val="009B0AB7"/>
    <w:rsid w:val="009C76D5"/>
    <w:rsid w:val="009D3700"/>
    <w:rsid w:val="009E1122"/>
    <w:rsid w:val="009F278A"/>
    <w:rsid w:val="009F3AEF"/>
    <w:rsid w:val="009F7AA4"/>
    <w:rsid w:val="00A02754"/>
    <w:rsid w:val="00A02CB0"/>
    <w:rsid w:val="00A03724"/>
    <w:rsid w:val="00A0408D"/>
    <w:rsid w:val="00A0446F"/>
    <w:rsid w:val="00A10AD7"/>
    <w:rsid w:val="00A20EE4"/>
    <w:rsid w:val="00A25C51"/>
    <w:rsid w:val="00A30DC2"/>
    <w:rsid w:val="00A323B0"/>
    <w:rsid w:val="00A33B2C"/>
    <w:rsid w:val="00A347FA"/>
    <w:rsid w:val="00A34B79"/>
    <w:rsid w:val="00A41016"/>
    <w:rsid w:val="00A46799"/>
    <w:rsid w:val="00A50E94"/>
    <w:rsid w:val="00A559DB"/>
    <w:rsid w:val="00A569EA"/>
    <w:rsid w:val="00A676A0"/>
    <w:rsid w:val="00A7624E"/>
    <w:rsid w:val="00A8380E"/>
    <w:rsid w:val="00A84D97"/>
    <w:rsid w:val="00A939FB"/>
    <w:rsid w:val="00A93B78"/>
    <w:rsid w:val="00AA1DA7"/>
    <w:rsid w:val="00AA5172"/>
    <w:rsid w:val="00AA63F7"/>
    <w:rsid w:val="00AA6999"/>
    <w:rsid w:val="00AC1E06"/>
    <w:rsid w:val="00AD3211"/>
    <w:rsid w:val="00AE14FC"/>
    <w:rsid w:val="00AE1E9F"/>
    <w:rsid w:val="00AE616C"/>
    <w:rsid w:val="00AF2B49"/>
    <w:rsid w:val="00AF35FC"/>
    <w:rsid w:val="00AF5556"/>
    <w:rsid w:val="00AF7369"/>
    <w:rsid w:val="00B00CFF"/>
    <w:rsid w:val="00B015ED"/>
    <w:rsid w:val="00B03170"/>
    <w:rsid w:val="00B03639"/>
    <w:rsid w:val="00B0652A"/>
    <w:rsid w:val="00B06BC1"/>
    <w:rsid w:val="00B06FDA"/>
    <w:rsid w:val="00B0760E"/>
    <w:rsid w:val="00B23C57"/>
    <w:rsid w:val="00B30FF5"/>
    <w:rsid w:val="00B35EE1"/>
    <w:rsid w:val="00B40937"/>
    <w:rsid w:val="00B41F27"/>
    <w:rsid w:val="00B423EF"/>
    <w:rsid w:val="00B453DE"/>
    <w:rsid w:val="00B519CE"/>
    <w:rsid w:val="00B57C00"/>
    <w:rsid w:val="00B62072"/>
    <w:rsid w:val="00B62497"/>
    <w:rsid w:val="00B662F3"/>
    <w:rsid w:val="00B66457"/>
    <w:rsid w:val="00B71EB1"/>
    <w:rsid w:val="00B721A2"/>
    <w:rsid w:val="00B72597"/>
    <w:rsid w:val="00B742B1"/>
    <w:rsid w:val="00B74D32"/>
    <w:rsid w:val="00B76634"/>
    <w:rsid w:val="00B83C21"/>
    <w:rsid w:val="00B840DA"/>
    <w:rsid w:val="00B87DC0"/>
    <w:rsid w:val="00B901F9"/>
    <w:rsid w:val="00B9543F"/>
    <w:rsid w:val="00BA02D6"/>
    <w:rsid w:val="00BA3749"/>
    <w:rsid w:val="00BA5AAE"/>
    <w:rsid w:val="00BB06D1"/>
    <w:rsid w:val="00BB2A2D"/>
    <w:rsid w:val="00BB5BF5"/>
    <w:rsid w:val="00BC0431"/>
    <w:rsid w:val="00BC47B2"/>
    <w:rsid w:val="00BC4D98"/>
    <w:rsid w:val="00BD1896"/>
    <w:rsid w:val="00BD5865"/>
    <w:rsid w:val="00BD6EFB"/>
    <w:rsid w:val="00BE3DF5"/>
    <w:rsid w:val="00BF28ED"/>
    <w:rsid w:val="00BF311D"/>
    <w:rsid w:val="00BF5EAB"/>
    <w:rsid w:val="00C006D7"/>
    <w:rsid w:val="00C02410"/>
    <w:rsid w:val="00C0290E"/>
    <w:rsid w:val="00C05812"/>
    <w:rsid w:val="00C07CF5"/>
    <w:rsid w:val="00C1584D"/>
    <w:rsid w:val="00C15BE2"/>
    <w:rsid w:val="00C3075E"/>
    <w:rsid w:val="00C31F6A"/>
    <w:rsid w:val="00C3447F"/>
    <w:rsid w:val="00C3517D"/>
    <w:rsid w:val="00C36421"/>
    <w:rsid w:val="00C369AA"/>
    <w:rsid w:val="00C44714"/>
    <w:rsid w:val="00C5542E"/>
    <w:rsid w:val="00C66A70"/>
    <w:rsid w:val="00C67102"/>
    <w:rsid w:val="00C71FF7"/>
    <w:rsid w:val="00C74DA2"/>
    <w:rsid w:val="00C81491"/>
    <w:rsid w:val="00C81676"/>
    <w:rsid w:val="00C81BF8"/>
    <w:rsid w:val="00C85C5D"/>
    <w:rsid w:val="00C9276C"/>
    <w:rsid w:val="00C927A4"/>
    <w:rsid w:val="00C92CC4"/>
    <w:rsid w:val="00CA0AFB"/>
    <w:rsid w:val="00CA2CE1"/>
    <w:rsid w:val="00CA3976"/>
    <w:rsid w:val="00CA50E3"/>
    <w:rsid w:val="00CA6267"/>
    <w:rsid w:val="00CA757B"/>
    <w:rsid w:val="00CC1787"/>
    <w:rsid w:val="00CC182C"/>
    <w:rsid w:val="00CC2C74"/>
    <w:rsid w:val="00CC2ED2"/>
    <w:rsid w:val="00CC7EE7"/>
    <w:rsid w:val="00CD0824"/>
    <w:rsid w:val="00CD2624"/>
    <w:rsid w:val="00CD2908"/>
    <w:rsid w:val="00CD484A"/>
    <w:rsid w:val="00CD77FA"/>
    <w:rsid w:val="00CD7BA8"/>
    <w:rsid w:val="00CE6E68"/>
    <w:rsid w:val="00CF1FA9"/>
    <w:rsid w:val="00CF5CF5"/>
    <w:rsid w:val="00D01F95"/>
    <w:rsid w:val="00D02C68"/>
    <w:rsid w:val="00D03A82"/>
    <w:rsid w:val="00D04844"/>
    <w:rsid w:val="00D1024E"/>
    <w:rsid w:val="00D13667"/>
    <w:rsid w:val="00D15344"/>
    <w:rsid w:val="00D23F57"/>
    <w:rsid w:val="00D31BEC"/>
    <w:rsid w:val="00D356FC"/>
    <w:rsid w:val="00D367DA"/>
    <w:rsid w:val="00D53F9F"/>
    <w:rsid w:val="00D61B2B"/>
    <w:rsid w:val="00D6310F"/>
    <w:rsid w:val="00D63150"/>
    <w:rsid w:val="00D636BA"/>
    <w:rsid w:val="00D64A32"/>
    <w:rsid w:val="00D64A93"/>
    <w:rsid w:val="00D64B91"/>
    <w:rsid w:val="00D64EFC"/>
    <w:rsid w:val="00D75295"/>
    <w:rsid w:val="00D76CE9"/>
    <w:rsid w:val="00D811AA"/>
    <w:rsid w:val="00D81D54"/>
    <w:rsid w:val="00D826E1"/>
    <w:rsid w:val="00D93610"/>
    <w:rsid w:val="00D97F12"/>
    <w:rsid w:val="00DA2A31"/>
    <w:rsid w:val="00DA6095"/>
    <w:rsid w:val="00DB42E7"/>
    <w:rsid w:val="00DC09D8"/>
    <w:rsid w:val="00DC1AA1"/>
    <w:rsid w:val="00DC1E0F"/>
    <w:rsid w:val="00DC44A6"/>
    <w:rsid w:val="00DC45AC"/>
    <w:rsid w:val="00DC6188"/>
    <w:rsid w:val="00DE01A6"/>
    <w:rsid w:val="00DE6239"/>
    <w:rsid w:val="00DE7A98"/>
    <w:rsid w:val="00DF132E"/>
    <w:rsid w:val="00DF32C2"/>
    <w:rsid w:val="00DF45D1"/>
    <w:rsid w:val="00DF55A2"/>
    <w:rsid w:val="00DF79B0"/>
    <w:rsid w:val="00E00959"/>
    <w:rsid w:val="00E03F28"/>
    <w:rsid w:val="00E150A5"/>
    <w:rsid w:val="00E24D70"/>
    <w:rsid w:val="00E25BAD"/>
    <w:rsid w:val="00E30F09"/>
    <w:rsid w:val="00E35985"/>
    <w:rsid w:val="00E364EC"/>
    <w:rsid w:val="00E42939"/>
    <w:rsid w:val="00E46C83"/>
    <w:rsid w:val="00E471A7"/>
    <w:rsid w:val="00E50682"/>
    <w:rsid w:val="00E57E80"/>
    <w:rsid w:val="00E60BE0"/>
    <w:rsid w:val="00E635CF"/>
    <w:rsid w:val="00E714B8"/>
    <w:rsid w:val="00E77C8C"/>
    <w:rsid w:val="00EA083F"/>
    <w:rsid w:val="00EA13C2"/>
    <w:rsid w:val="00EA5357"/>
    <w:rsid w:val="00EA6FFA"/>
    <w:rsid w:val="00EB1E3B"/>
    <w:rsid w:val="00EB68C8"/>
    <w:rsid w:val="00EC3557"/>
    <w:rsid w:val="00EC6E0A"/>
    <w:rsid w:val="00EC7919"/>
    <w:rsid w:val="00ED2B9A"/>
    <w:rsid w:val="00ED4E18"/>
    <w:rsid w:val="00ED7922"/>
    <w:rsid w:val="00EE02C4"/>
    <w:rsid w:val="00EE0CBD"/>
    <w:rsid w:val="00EE1F37"/>
    <w:rsid w:val="00EE364C"/>
    <w:rsid w:val="00EF038F"/>
    <w:rsid w:val="00F0159C"/>
    <w:rsid w:val="00F02E65"/>
    <w:rsid w:val="00F04121"/>
    <w:rsid w:val="00F105B7"/>
    <w:rsid w:val="00F10A25"/>
    <w:rsid w:val="00F128B6"/>
    <w:rsid w:val="00F13220"/>
    <w:rsid w:val="00F17A21"/>
    <w:rsid w:val="00F25DEB"/>
    <w:rsid w:val="00F26374"/>
    <w:rsid w:val="00F32DCB"/>
    <w:rsid w:val="00F33871"/>
    <w:rsid w:val="00F36FC2"/>
    <w:rsid w:val="00F37B27"/>
    <w:rsid w:val="00F4147D"/>
    <w:rsid w:val="00F43F20"/>
    <w:rsid w:val="00F46471"/>
    <w:rsid w:val="00F46556"/>
    <w:rsid w:val="00F50E91"/>
    <w:rsid w:val="00F5237A"/>
    <w:rsid w:val="00F52A7C"/>
    <w:rsid w:val="00F56799"/>
    <w:rsid w:val="00F5746B"/>
    <w:rsid w:val="00F57D29"/>
    <w:rsid w:val="00F60786"/>
    <w:rsid w:val="00F6089A"/>
    <w:rsid w:val="00F60D98"/>
    <w:rsid w:val="00F6167B"/>
    <w:rsid w:val="00F641C9"/>
    <w:rsid w:val="00F650C5"/>
    <w:rsid w:val="00F6624C"/>
    <w:rsid w:val="00F7042A"/>
    <w:rsid w:val="00F70E5E"/>
    <w:rsid w:val="00F775DC"/>
    <w:rsid w:val="00F91353"/>
    <w:rsid w:val="00F91BC7"/>
    <w:rsid w:val="00F96201"/>
    <w:rsid w:val="00F9654C"/>
    <w:rsid w:val="00F976A6"/>
    <w:rsid w:val="00F9788E"/>
    <w:rsid w:val="00FA17FB"/>
    <w:rsid w:val="00FA1BBC"/>
    <w:rsid w:val="00FB0C57"/>
    <w:rsid w:val="00FB5597"/>
    <w:rsid w:val="00FC18AD"/>
    <w:rsid w:val="00FC4D85"/>
    <w:rsid w:val="00FC7FAB"/>
    <w:rsid w:val="00FD0B18"/>
    <w:rsid w:val="00FD2BB8"/>
    <w:rsid w:val="00FD2FAD"/>
    <w:rsid w:val="00FE21AB"/>
    <w:rsid w:val="00FE277E"/>
    <w:rsid w:val="00FE3513"/>
    <w:rsid w:val="00FE714F"/>
    <w:rsid w:val="00FE7404"/>
    <w:rsid w:val="00FE773D"/>
    <w:rsid w:val="00FF0570"/>
    <w:rsid w:val="00FF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xmsonormal">
    <w:name w:val="x_msonormal"/>
    <w:basedOn w:val="Normal"/>
    <w:rsid w:val="00437109"/>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437109"/>
    <w:rPr>
      <w:color w:val="605E5C"/>
      <w:shd w:val="clear" w:color="auto" w:fill="E1DFDD"/>
    </w:rPr>
  </w:style>
  <w:style w:type="paragraph" w:customStyle="1" w:styleId="xmsolistparagraph">
    <w:name w:val="x_msolistparagraph"/>
    <w:basedOn w:val="Normal"/>
    <w:rsid w:val="00437109"/>
    <w:pPr>
      <w:spacing w:before="100" w:beforeAutospacing="1" w:after="100" w:afterAutospacing="1"/>
    </w:pPr>
    <w:rPr>
      <w:sz w:val="24"/>
      <w:szCs w:val="24"/>
    </w:rPr>
  </w:style>
  <w:style w:type="paragraph" w:customStyle="1" w:styleId="p2">
    <w:name w:val="p2"/>
    <w:basedOn w:val="Normal"/>
    <w:rsid w:val="00437109"/>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366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9399">
      <w:bodyDiv w:val="1"/>
      <w:marLeft w:val="0"/>
      <w:marRight w:val="0"/>
      <w:marTop w:val="0"/>
      <w:marBottom w:val="0"/>
      <w:divBdr>
        <w:top w:val="none" w:sz="0" w:space="0" w:color="auto"/>
        <w:left w:val="none" w:sz="0" w:space="0" w:color="auto"/>
        <w:bottom w:val="none" w:sz="0" w:space="0" w:color="auto"/>
        <w:right w:val="none" w:sz="0" w:space="0" w:color="auto"/>
      </w:divBdr>
    </w:div>
    <w:div w:id="982152673">
      <w:bodyDiv w:val="1"/>
      <w:marLeft w:val="0"/>
      <w:marRight w:val="0"/>
      <w:marTop w:val="0"/>
      <w:marBottom w:val="0"/>
      <w:divBdr>
        <w:top w:val="none" w:sz="0" w:space="0" w:color="auto"/>
        <w:left w:val="none" w:sz="0" w:space="0" w:color="auto"/>
        <w:bottom w:val="none" w:sz="0" w:space="0" w:color="auto"/>
        <w:right w:val="none" w:sz="0" w:space="0" w:color="auto"/>
      </w:divBdr>
    </w:div>
    <w:div w:id="1059133244">
      <w:bodyDiv w:val="1"/>
      <w:marLeft w:val="0"/>
      <w:marRight w:val="0"/>
      <w:marTop w:val="0"/>
      <w:marBottom w:val="0"/>
      <w:divBdr>
        <w:top w:val="none" w:sz="0" w:space="0" w:color="auto"/>
        <w:left w:val="none" w:sz="0" w:space="0" w:color="auto"/>
        <w:bottom w:val="none" w:sz="0" w:space="0" w:color="auto"/>
        <w:right w:val="none" w:sz="0" w:space="0" w:color="auto"/>
      </w:divBdr>
    </w:div>
    <w:div w:id="1097555354">
      <w:bodyDiv w:val="1"/>
      <w:marLeft w:val="0"/>
      <w:marRight w:val="0"/>
      <w:marTop w:val="0"/>
      <w:marBottom w:val="0"/>
      <w:divBdr>
        <w:top w:val="none" w:sz="0" w:space="0" w:color="auto"/>
        <w:left w:val="none" w:sz="0" w:space="0" w:color="auto"/>
        <w:bottom w:val="none" w:sz="0" w:space="0" w:color="auto"/>
        <w:right w:val="none" w:sz="0" w:space="0" w:color="auto"/>
      </w:divBdr>
    </w:div>
    <w:div w:id="1112243737">
      <w:bodyDiv w:val="1"/>
      <w:marLeft w:val="0"/>
      <w:marRight w:val="0"/>
      <w:marTop w:val="0"/>
      <w:marBottom w:val="0"/>
      <w:divBdr>
        <w:top w:val="none" w:sz="0" w:space="0" w:color="auto"/>
        <w:left w:val="none" w:sz="0" w:space="0" w:color="auto"/>
        <w:bottom w:val="none" w:sz="0" w:space="0" w:color="auto"/>
        <w:right w:val="none" w:sz="0" w:space="0" w:color="auto"/>
      </w:divBdr>
    </w:div>
    <w:div w:id="146435162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732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rappler.com/business/eagle-cement-initial-public-offering-may-2017" TargetMode="External"/><Relationship Id="rId13" Type="http://schemas.openxmlformats.org/officeDocument/2006/relationships/hyperlink" Target="https://mb.com.ph/2019/06/08/smc-holcim-notify-pcc-on-acquisition-deal/" TargetMode="External"/><Relationship Id="rId3" Type="http://schemas.openxmlformats.org/officeDocument/2006/relationships/hyperlink" Target="https://d.docs.live.net/f604457e63c3ff9a/Documents/Ivey%20WIP/www.philstar.com/business/2019/05/20/1919205/smc-seeks-exemptive-relief-holcim-bid" TargetMode="External"/><Relationship Id="rId7" Type="http://schemas.openxmlformats.org/officeDocument/2006/relationships/hyperlink" Target="about:blank" TargetMode="External"/><Relationship Id="rId12" Type="http://schemas.openxmlformats.org/officeDocument/2006/relationships/hyperlink" Target="https://phcc.gov.ph/about-us/" TargetMode="External"/><Relationship Id="rId2" Type="http://schemas.openxmlformats.org/officeDocument/2006/relationships/hyperlink" Target="https://edge.pse.com.ph/openDiscViewer.do?edge_no=75bd6f7a98cfb597efdfc15ec263a54d" TargetMode="External"/><Relationship Id="rId1" Type="http://schemas.openxmlformats.org/officeDocument/2006/relationships/hyperlink" Target="https://d.docs.live.net/f604457e63c3ff9a/Documents/Ivey%20WIP/www.philstar.com/business/2019/05/11/1916762/smc-acquires-holcim" TargetMode="External"/><Relationship Id="rId6" Type="http://schemas.openxmlformats.org/officeDocument/2006/relationships/hyperlink" Target="http://www.philstar.com/business/2018/01/11/1776509/tourism-investment-gate-opens" TargetMode="External"/><Relationship Id="rId11" Type="http://schemas.openxmlformats.org/officeDocument/2006/relationships/hyperlink" Target="https://edge.pse.com.ph/openDiscViewer.do?edge_no=840430f98cf06e02efdfc15ec263a54d" TargetMode="External"/><Relationship Id="rId5" Type="http://schemas.openxmlformats.org/officeDocument/2006/relationships/hyperlink" Target="http://business.inquirer.net/65303/expat-population-spurs-demand-for-posh-condos" TargetMode="External"/><Relationship Id="rId10" Type="http://schemas.openxmlformats.org/officeDocument/2006/relationships/hyperlink" Target="https://edge.pse.com.ph/openDiscViewer.do?edge_no=840430f98cf06e02efdfc15ec263a54d" TargetMode="External"/><Relationship Id="rId4" Type="http://schemas.openxmlformats.org/officeDocument/2006/relationships/hyperlink" Target="about:blank" TargetMode="External"/><Relationship Id="rId9" Type="http://schemas.openxmlformats.org/officeDocument/2006/relationships/hyperlink" Target="https://business.inquirer.net/264277/holcim-philippines-to-be-put-on-auction-block" TargetMode="External"/><Relationship Id="rId14" Type="http://schemas.openxmlformats.org/officeDocument/2006/relationships/hyperlink" Target="https://business.inquirer.net/271191/pcc-no-notification-yet-on-san-miguels-takeover-of-holci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005639215522463E-2"/>
          <c:y val="6.8599937636420333E-2"/>
          <c:w val="0.87955404248209024"/>
          <c:h val="0.81575687042861456"/>
        </c:manualLayout>
      </c:layout>
      <c:lineChart>
        <c:grouping val="standard"/>
        <c:varyColors val="0"/>
        <c:ser>
          <c:idx val="0"/>
          <c:order val="0"/>
          <c:tx>
            <c:strRef>
              <c:f>'HPI Stock Price May 15 - May 19'!$C$2</c:f>
              <c:strCache>
                <c:ptCount val="1"/>
                <c:pt idx="0">
                  <c:v>Holcim Philippines, Inc. (PSE:HLCM) - Share Pricing</c:v>
                </c:pt>
              </c:strCache>
            </c:strRef>
          </c:tx>
          <c:spPr>
            <a:ln w="12700" cap="rnd">
              <a:solidFill>
                <a:schemeClr val="accent5"/>
              </a:solidFill>
              <a:round/>
            </a:ln>
            <a:effectLst/>
          </c:spPr>
          <c:marker>
            <c:symbol val="none"/>
          </c:marker>
          <c:cat>
            <c:numRef>
              <c:f>'HPI Stock Price May 15 - May 19'!$B$3:$B$1090</c:f>
              <c:numCache>
                <c:formatCode>[$-409]d\-mmm\-yy;@</c:formatCode>
                <c:ptCount val="1088"/>
                <c:pt idx="0">
                  <c:v>42135</c:v>
                </c:pt>
                <c:pt idx="1">
                  <c:v>42136</c:v>
                </c:pt>
                <c:pt idx="2">
                  <c:v>42137</c:v>
                </c:pt>
                <c:pt idx="3">
                  <c:v>42138</c:v>
                </c:pt>
                <c:pt idx="4">
                  <c:v>42139</c:v>
                </c:pt>
                <c:pt idx="5">
                  <c:v>42142</c:v>
                </c:pt>
                <c:pt idx="6">
                  <c:v>42143</c:v>
                </c:pt>
                <c:pt idx="7">
                  <c:v>42144</c:v>
                </c:pt>
                <c:pt idx="8">
                  <c:v>42145</c:v>
                </c:pt>
                <c:pt idx="9">
                  <c:v>42146</c:v>
                </c:pt>
                <c:pt idx="10">
                  <c:v>42149</c:v>
                </c:pt>
                <c:pt idx="11">
                  <c:v>42150</c:v>
                </c:pt>
                <c:pt idx="12">
                  <c:v>42151</c:v>
                </c:pt>
                <c:pt idx="13">
                  <c:v>42152</c:v>
                </c:pt>
                <c:pt idx="14">
                  <c:v>42153</c:v>
                </c:pt>
                <c:pt idx="15">
                  <c:v>42156</c:v>
                </c:pt>
                <c:pt idx="16">
                  <c:v>42157</c:v>
                </c:pt>
                <c:pt idx="17">
                  <c:v>42158</c:v>
                </c:pt>
                <c:pt idx="18">
                  <c:v>42159</c:v>
                </c:pt>
                <c:pt idx="19">
                  <c:v>42160</c:v>
                </c:pt>
                <c:pt idx="20">
                  <c:v>42163</c:v>
                </c:pt>
                <c:pt idx="21">
                  <c:v>42164</c:v>
                </c:pt>
                <c:pt idx="22">
                  <c:v>42165</c:v>
                </c:pt>
                <c:pt idx="23">
                  <c:v>42166</c:v>
                </c:pt>
                <c:pt idx="24">
                  <c:v>42170</c:v>
                </c:pt>
                <c:pt idx="25">
                  <c:v>42171</c:v>
                </c:pt>
                <c:pt idx="26">
                  <c:v>42172</c:v>
                </c:pt>
                <c:pt idx="27">
                  <c:v>42173</c:v>
                </c:pt>
                <c:pt idx="28">
                  <c:v>42174</c:v>
                </c:pt>
                <c:pt idx="29">
                  <c:v>42177</c:v>
                </c:pt>
                <c:pt idx="30">
                  <c:v>42178</c:v>
                </c:pt>
                <c:pt idx="31">
                  <c:v>42179</c:v>
                </c:pt>
                <c:pt idx="32">
                  <c:v>42180</c:v>
                </c:pt>
                <c:pt idx="33">
                  <c:v>42181</c:v>
                </c:pt>
                <c:pt idx="34">
                  <c:v>42184</c:v>
                </c:pt>
                <c:pt idx="35">
                  <c:v>42185</c:v>
                </c:pt>
                <c:pt idx="36">
                  <c:v>42186</c:v>
                </c:pt>
                <c:pt idx="37">
                  <c:v>42187</c:v>
                </c:pt>
                <c:pt idx="38">
                  <c:v>42188</c:v>
                </c:pt>
                <c:pt idx="39">
                  <c:v>42191</c:v>
                </c:pt>
                <c:pt idx="40">
                  <c:v>42192</c:v>
                </c:pt>
                <c:pt idx="41">
                  <c:v>42193</c:v>
                </c:pt>
                <c:pt idx="42">
                  <c:v>42194</c:v>
                </c:pt>
                <c:pt idx="43">
                  <c:v>42195</c:v>
                </c:pt>
                <c:pt idx="44">
                  <c:v>42198</c:v>
                </c:pt>
                <c:pt idx="45">
                  <c:v>42199</c:v>
                </c:pt>
                <c:pt idx="46">
                  <c:v>42200</c:v>
                </c:pt>
                <c:pt idx="47">
                  <c:v>42201</c:v>
                </c:pt>
                <c:pt idx="48">
                  <c:v>42202</c:v>
                </c:pt>
                <c:pt idx="49">
                  <c:v>42205</c:v>
                </c:pt>
                <c:pt idx="50">
                  <c:v>42206</c:v>
                </c:pt>
                <c:pt idx="51">
                  <c:v>42207</c:v>
                </c:pt>
                <c:pt idx="52">
                  <c:v>42208</c:v>
                </c:pt>
                <c:pt idx="53">
                  <c:v>42209</c:v>
                </c:pt>
                <c:pt idx="54">
                  <c:v>42212</c:v>
                </c:pt>
                <c:pt idx="55">
                  <c:v>42213</c:v>
                </c:pt>
                <c:pt idx="56">
                  <c:v>42214</c:v>
                </c:pt>
                <c:pt idx="57">
                  <c:v>42215</c:v>
                </c:pt>
                <c:pt idx="58">
                  <c:v>42216</c:v>
                </c:pt>
                <c:pt idx="59">
                  <c:v>42219</c:v>
                </c:pt>
                <c:pt idx="60">
                  <c:v>42220</c:v>
                </c:pt>
                <c:pt idx="61">
                  <c:v>42221</c:v>
                </c:pt>
                <c:pt idx="62">
                  <c:v>42222</c:v>
                </c:pt>
                <c:pt idx="63">
                  <c:v>42223</c:v>
                </c:pt>
                <c:pt idx="64">
                  <c:v>42226</c:v>
                </c:pt>
                <c:pt idx="65">
                  <c:v>42227</c:v>
                </c:pt>
                <c:pt idx="66">
                  <c:v>42228</c:v>
                </c:pt>
                <c:pt idx="67">
                  <c:v>42229</c:v>
                </c:pt>
                <c:pt idx="68">
                  <c:v>42230</c:v>
                </c:pt>
                <c:pt idx="69">
                  <c:v>42233</c:v>
                </c:pt>
                <c:pt idx="70">
                  <c:v>42234</c:v>
                </c:pt>
                <c:pt idx="71">
                  <c:v>42235</c:v>
                </c:pt>
                <c:pt idx="72">
                  <c:v>42236</c:v>
                </c:pt>
                <c:pt idx="73">
                  <c:v>42240</c:v>
                </c:pt>
                <c:pt idx="74">
                  <c:v>42241</c:v>
                </c:pt>
                <c:pt idx="75">
                  <c:v>42242</c:v>
                </c:pt>
                <c:pt idx="76">
                  <c:v>42243</c:v>
                </c:pt>
                <c:pt idx="77">
                  <c:v>42244</c:v>
                </c:pt>
                <c:pt idx="78">
                  <c:v>42248</c:v>
                </c:pt>
                <c:pt idx="79">
                  <c:v>42249</c:v>
                </c:pt>
                <c:pt idx="80">
                  <c:v>42250</c:v>
                </c:pt>
                <c:pt idx="81">
                  <c:v>42251</c:v>
                </c:pt>
                <c:pt idx="82">
                  <c:v>42254</c:v>
                </c:pt>
                <c:pt idx="83">
                  <c:v>42255</c:v>
                </c:pt>
                <c:pt idx="84">
                  <c:v>42256</c:v>
                </c:pt>
                <c:pt idx="85">
                  <c:v>42257</c:v>
                </c:pt>
                <c:pt idx="86">
                  <c:v>42258</c:v>
                </c:pt>
                <c:pt idx="87">
                  <c:v>42261</c:v>
                </c:pt>
                <c:pt idx="88">
                  <c:v>42262</c:v>
                </c:pt>
                <c:pt idx="89">
                  <c:v>42263</c:v>
                </c:pt>
                <c:pt idx="90">
                  <c:v>42264</c:v>
                </c:pt>
                <c:pt idx="91">
                  <c:v>42265</c:v>
                </c:pt>
                <c:pt idx="92">
                  <c:v>42268</c:v>
                </c:pt>
                <c:pt idx="93">
                  <c:v>42269</c:v>
                </c:pt>
                <c:pt idx="94">
                  <c:v>42270</c:v>
                </c:pt>
                <c:pt idx="95">
                  <c:v>42271</c:v>
                </c:pt>
                <c:pt idx="96">
                  <c:v>42272</c:v>
                </c:pt>
                <c:pt idx="97">
                  <c:v>42275</c:v>
                </c:pt>
                <c:pt idx="98">
                  <c:v>42276</c:v>
                </c:pt>
                <c:pt idx="99">
                  <c:v>42277</c:v>
                </c:pt>
                <c:pt idx="100">
                  <c:v>42278</c:v>
                </c:pt>
                <c:pt idx="101">
                  <c:v>42279</c:v>
                </c:pt>
                <c:pt idx="102">
                  <c:v>42282</c:v>
                </c:pt>
                <c:pt idx="103">
                  <c:v>42283</c:v>
                </c:pt>
                <c:pt idx="104">
                  <c:v>42284</c:v>
                </c:pt>
                <c:pt idx="105">
                  <c:v>42285</c:v>
                </c:pt>
                <c:pt idx="106">
                  <c:v>42286</c:v>
                </c:pt>
                <c:pt idx="107">
                  <c:v>42289</c:v>
                </c:pt>
                <c:pt idx="108">
                  <c:v>42290</c:v>
                </c:pt>
                <c:pt idx="109">
                  <c:v>42291</c:v>
                </c:pt>
                <c:pt idx="110">
                  <c:v>42292</c:v>
                </c:pt>
                <c:pt idx="111">
                  <c:v>42293</c:v>
                </c:pt>
                <c:pt idx="112">
                  <c:v>42296</c:v>
                </c:pt>
                <c:pt idx="113">
                  <c:v>42297</c:v>
                </c:pt>
                <c:pt idx="114">
                  <c:v>42298</c:v>
                </c:pt>
                <c:pt idx="115">
                  <c:v>42299</c:v>
                </c:pt>
                <c:pt idx="116">
                  <c:v>42300</c:v>
                </c:pt>
                <c:pt idx="117">
                  <c:v>42303</c:v>
                </c:pt>
                <c:pt idx="118">
                  <c:v>42304</c:v>
                </c:pt>
                <c:pt idx="119">
                  <c:v>42305</c:v>
                </c:pt>
                <c:pt idx="120">
                  <c:v>42306</c:v>
                </c:pt>
                <c:pt idx="121">
                  <c:v>42307</c:v>
                </c:pt>
                <c:pt idx="122">
                  <c:v>42310</c:v>
                </c:pt>
                <c:pt idx="123">
                  <c:v>42311</c:v>
                </c:pt>
                <c:pt idx="124">
                  <c:v>42312</c:v>
                </c:pt>
                <c:pt idx="125">
                  <c:v>42313</c:v>
                </c:pt>
                <c:pt idx="126">
                  <c:v>42314</c:v>
                </c:pt>
                <c:pt idx="127">
                  <c:v>42317</c:v>
                </c:pt>
                <c:pt idx="128">
                  <c:v>42318</c:v>
                </c:pt>
                <c:pt idx="129">
                  <c:v>42319</c:v>
                </c:pt>
                <c:pt idx="130">
                  <c:v>42320</c:v>
                </c:pt>
                <c:pt idx="131">
                  <c:v>42321</c:v>
                </c:pt>
                <c:pt idx="132">
                  <c:v>42324</c:v>
                </c:pt>
                <c:pt idx="133">
                  <c:v>42325</c:v>
                </c:pt>
                <c:pt idx="134">
                  <c:v>42326</c:v>
                </c:pt>
                <c:pt idx="135">
                  <c:v>42327</c:v>
                </c:pt>
                <c:pt idx="136">
                  <c:v>42328</c:v>
                </c:pt>
                <c:pt idx="137">
                  <c:v>42331</c:v>
                </c:pt>
                <c:pt idx="138">
                  <c:v>42332</c:v>
                </c:pt>
                <c:pt idx="139">
                  <c:v>42333</c:v>
                </c:pt>
                <c:pt idx="140">
                  <c:v>42334</c:v>
                </c:pt>
                <c:pt idx="141">
                  <c:v>42335</c:v>
                </c:pt>
                <c:pt idx="142">
                  <c:v>42339</c:v>
                </c:pt>
                <c:pt idx="143">
                  <c:v>42340</c:v>
                </c:pt>
                <c:pt idx="144">
                  <c:v>42341</c:v>
                </c:pt>
                <c:pt idx="145">
                  <c:v>42342</c:v>
                </c:pt>
                <c:pt idx="146">
                  <c:v>42345</c:v>
                </c:pt>
                <c:pt idx="147">
                  <c:v>42346</c:v>
                </c:pt>
                <c:pt idx="148">
                  <c:v>42347</c:v>
                </c:pt>
                <c:pt idx="149">
                  <c:v>42348</c:v>
                </c:pt>
                <c:pt idx="150">
                  <c:v>42349</c:v>
                </c:pt>
                <c:pt idx="151">
                  <c:v>42352</c:v>
                </c:pt>
                <c:pt idx="152">
                  <c:v>42353</c:v>
                </c:pt>
                <c:pt idx="153">
                  <c:v>42354</c:v>
                </c:pt>
                <c:pt idx="154">
                  <c:v>42355</c:v>
                </c:pt>
                <c:pt idx="155">
                  <c:v>42356</c:v>
                </c:pt>
                <c:pt idx="156">
                  <c:v>42359</c:v>
                </c:pt>
                <c:pt idx="157">
                  <c:v>42360</c:v>
                </c:pt>
                <c:pt idx="158">
                  <c:v>42361</c:v>
                </c:pt>
                <c:pt idx="159">
                  <c:v>42366</c:v>
                </c:pt>
                <c:pt idx="160">
                  <c:v>42367</c:v>
                </c:pt>
                <c:pt idx="161">
                  <c:v>42373</c:v>
                </c:pt>
                <c:pt idx="162">
                  <c:v>42374</c:v>
                </c:pt>
                <c:pt idx="163">
                  <c:v>42375</c:v>
                </c:pt>
                <c:pt idx="164">
                  <c:v>42376</c:v>
                </c:pt>
                <c:pt idx="165">
                  <c:v>42377</c:v>
                </c:pt>
                <c:pt idx="166">
                  <c:v>42380</c:v>
                </c:pt>
                <c:pt idx="167">
                  <c:v>42381</c:v>
                </c:pt>
                <c:pt idx="168">
                  <c:v>42382</c:v>
                </c:pt>
                <c:pt idx="169">
                  <c:v>42383</c:v>
                </c:pt>
                <c:pt idx="170">
                  <c:v>42384</c:v>
                </c:pt>
                <c:pt idx="171">
                  <c:v>42387</c:v>
                </c:pt>
                <c:pt idx="172">
                  <c:v>42388</c:v>
                </c:pt>
                <c:pt idx="173">
                  <c:v>42389</c:v>
                </c:pt>
                <c:pt idx="174">
                  <c:v>42390</c:v>
                </c:pt>
                <c:pt idx="175">
                  <c:v>42391</c:v>
                </c:pt>
                <c:pt idx="176">
                  <c:v>42394</c:v>
                </c:pt>
                <c:pt idx="177">
                  <c:v>42395</c:v>
                </c:pt>
                <c:pt idx="178">
                  <c:v>42396</c:v>
                </c:pt>
                <c:pt idx="179">
                  <c:v>42397</c:v>
                </c:pt>
                <c:pt idx="180">
                  <c:v>42398</c:v>
                </c:pt>
                <c:pt idx="181">
                  <c:v>42401</c:v>
                </c:pt>
                <c:pt idx="182">
                  <c:v>42402</c:v>
                </c:pt>
                <c:pt idx="183">
                  <c:v>42403</c:v>
                </c:pt>
                <c:pt idx="184">
                  <c:v>42404</c:v>
                </c:pt>
                <c:pt idx="185">
                  <c:v>42405</c:v>
                </c:pt>
                <c:pt idx="186">
                  <c:v>42409</c:v>
                </c:pt>
                <c:pt idx="187">
                  <c:v>42410</c:v>
                </c:pt>
                <c:pt idx="188">
                  <c:v>42411</c:v>
                </c:pt>
                <c:pt idx="189">
                  <c:v>42412</c:v>
                </c:pt>
                <c:pt idx="190">
                  <c:v>42415</c:v>
                </c:pt>
                <c:pt idx="191">
                  <c:v>42416</c:v>
                </c:pt>
                <c:pt idx="192">
                  <c:v>42417</c:v>
                </c:pt>
                <c:pt idx="193">
                  <c:v>42418</c:v>
                </c:pt>
                <c:pt idx="194">
                  <c:v>42419</c:v>
                </c:pt>
                <c:pt idx="195">
                  <c:v>42422</c:v>
                </c:pt>
                <c:pt idx="196">
                  <c:v>42423</c:v>
                </c:pt>
                <c:pt idx="197">
                  <c:v>42424</c:v>
                </c:pt>
                <c:pt idx="198">
                  <c:v>42426</c:v>
                </c:pt>
                <c:pt idx="199">
                  <c:v>42429</c:v>
                </c:pt>
                <c:pt idx="200">
                  <c:v>42430</c:v>
                </c:pt>
                <c:pt idx="201">
                  <c:v>42431</c:v>
                </c:pt>
                <c:pt idx="202">
                  <c:v>42432</c:v>
                </c:pt>
                <c:pt idx="203">
                  <c:v>42433</c:v>
                </c:pt>
                <c:pt idx="204">
                  <c:v>42436</c:v>
                </c:pt>
                <c:pt idx="205">
                  <c:v>42437</c:v>
                </c:pt>
                <c:pt idx="206">
                  <c:v>42438</c:v>
                </c:pt>
                <c:pt idx="207">
                  <c:v>42439</c:v>
                </c:pt>
                <c:pt idx="208">
                  <c:v>42440</c:v>
                </c:pt>
                <c:pt idx="209">
                  <c:v>42443</c:v>
                </c:pt>
                <c:pt idx="210">
                  <c:v>42444</c:v>
                </c:pt>
                <c:pt idx="211">
                  <c:v>42445</c:v>
                </c:pt>
                <c:pt idx="212">
                  <c:v>42446</c:v>
                </c:pt>
                <c:pt idx="213">
                  <c:v>42447</c:v>
                </c:pt>
                <c:pt idx="214">
                  <c:v>42450</c:v>
                </c:pt>
                <c:pt idx="215">
                  <c:v>42451</c:v>
                </c:pt>
                <c:pt idx="216">
                  <c:v>42452</c:v>
                </c:pt>
                <c:pt idx="217">
                  <c:v>42457</c:v>
                </c:pt>
                <c:pt idx="218">
                  <c:v>42458</c:v>
                </c:pt>
                <c:pt idx="219">
                  <c:v>42459</c:v>
                </c:pt>
                <c:pt idx="220">
                  <c:v>42460</c:v>
                </c:pt>
                <c:pt idx="221">
                  <c:v>42461</c:v>
                </c:pt>
                <c:pt idx="222">
                  <c:v>42464</c:v>
                </c:pt>
                <c:pt idx="223">
                  <c:v>42465</c:v>
                </c:pt>
                <c:pt idx="224">
                  <c:v>42466</c:v>
                </c:pt>
                <c:pt idx="225">
                  <c:v>42467</c:v>
                </c:pt>
                <c:pt idx="226">
                  <c:v>42468</c:v>
                </c:pt>
                <c:pt idx="227">
                  <c:v>42471</c:v>
                </c:pt>
                <c:pt idx="228">
                  <c:v>42472</c:v>
                </c:pt>
                <c:pt idx="229">
                  <c:v>42473</c:v>
                </c:pt>
                <c:pt idx="230">
                  <c:v>42474</c:v>
                </c:pt>
                <c:pt idx="231">
                  <c:v>42475</c:v>
                </c:pt>
                <c:pt idx="232">
                  <c:v>42478</c:v>
                </c:pt>
                <c:pt idx="233">
                  <c:v>42479</c:v>
                </c:pt>
                <c:pt idx="234">
                  <c:v>42480</c:v>
                </c:pt>
                <c:pt idx="235">
                  <c:v>42481</c:v>
                </c:pt>
                <c:pt idx="236">
                  <c:v>42482</c:v>
                </c:pt>
                <c:pt idx="237">
                  <c:v>42485</c:v>
                </c:pt>
                <c:pt idx="238">
                  <c:v>42486</c:v>
                </c:pt>
                <c:pt idx="239">
                  <c:v>42487</c:v>
                </c:pt>
                <c:pt idx="240">
                  <c:v>42488</c:v>
                </c:pt>
                <c:pt idx="241">
                  <c:v>42489</c:v>
                </c:pt>
                <c:pt idx="242">
                  <c:v>42492</c:v>
                </c:pt>
                <c:pt idx="243">
                  <c:v>42493</c:v>
                </c:pt>
                <c:pt idx="244">
                  <c:v>42494</c:v>
                </c:pt>
                <c:pt idx="245">
                  <c:v>42495</c:v>
                </c:pt>
                <c:pt idx="246">
                  <c:v>42496</c:v>
                </c:pt>
                <c:pt idx="247">
                  <c:v>42499</c:v>
                </c:pt>
                <c:pt idx="248">
                  <c:v>42500</c:v>
                </c:pt>
                <c:pt idx="249">
                  <c:v>42501</c:v>
                </c:pt>
                <c:pt idx="250">
                  <c:v>42502</c:v>
                </c:pt>
                <c:pt idx="251">
                  <c:v>42503</c:v>
                </c:pt>
                <c:pt idx="252">
                  <c:v>42506</c:v>
                </c:pt>
                <c:pt idx="253">
                  <c:v>42507</c:v>
                </c:pt>
                <c:pt idx="254">
                  <c:v>42508</c:v>
                </c:pt>
                <c:pt idx="255">
                  <c:v>42509</c:v>
                </c:pt>
                <c:pt idx="256">
                  <c:v>42510</c:v>
                </c:pt>
                <c:pt idx="257">
                  <c:v>42513</c:v>
                </c:pt>
                <c:pt idx="258">
                  <c:v>42514</c:v>
                </c:pt>
                <c:pt idx="259">
                  <c:v>42515</c:v>
                </c:pt>
                <c:pt idx="260">
                  <c:v>42516</c:v>
                </c:pt>
                <c:pt idx="261">
                  <c:v>42517</c:v>
                </c:pt>
                <c:pt idx="262">
                  <c:v>42520</c:v>
                </c:pt>
                <c:pt idx="263">
                  <c:v>42521</c:v>
                </c:pt>
                <c:pt idx="264">
                  <c:v>42522</c:v>
                </c:pt>
                <c:pt idx="265">
                  <c:v>42523</c:v>
                </c:pt>
                <c:pt idx="266">
                  <c:v>42524</c:v>
                </c:pt>
                <c:pt idx="267">
                  <c:v>42527</c:v>
                </c:pt>
                <c:pt idx="268">
                  <c:v>42528</c:v>
                </c:pt>
                <c:pt idx="269">
                  <c:v>42529</c:v>
                </c:pt>
                <c:pt idx="270">
                  <c:v>42530</c:v>
                </c:pt>
                <c:pt idx="271">
                  <c:v>42531</c:v>
                </c:pt>
                <c:pt idx="272">
                  <c:v>42534</c:v>
                </c:pt>
                <c:pt idx="273">
                  <c:v>42535</c:v>
                </c:pt>
                <c:pt idx="274">
                  <c:v>42536</c:v>
                </c:pt>
                <c:pt idx="275">
                  <c:v>42537</c:v>
                </c:pt>
                <c:pt idx="276">
                  <c:v>42538</c:v>
                </c:pt>
                <c:pt idx="277">
                  <c:v>42541</c:v>
                </c:pt>
                <c:pt idx="278">
                  <c:v>42542</c:v>
                </c:pt>
                <c:pt idx="279">
                  <c:v>42543</c:v>
                </c:pt>
                <c:pt idx="280">
                  <c:v>42544</c:v>
                </c:pt>
                <c:pt idx="281">
                  <c:v>42545</c:v>
                </c:pt>
                <c:pt idx="282">
                  <c:v>42548</c:v>
                </c:pt>
                <c:pt idx="283">
                  <c:v>42549</c:v>
                </c:pt>
                <c:pt idx="284">
                  <c:v>42550</c:v>
                </c:pt>
                <c:pt idx="285">
                  <c:v>42551</c:v>
                </c:pt>
                <c:pt idx="286">
                  <c:v>42552</c:v>
                </c:pt>
                <c:pt idx="287">
                  <c:v>42555</c:v>
                </c:pt>
                <c:pt idx="288">
                  <c:v>42556</c:v>
                </c:pt>
                <c:pt idx="289">
                  <c:v>42558</c:v>
                </c:pt>
                <c:pt idx="290">
                  <c:v>42559</c:v>
                </c:pt>
                <c:pt idx="291">
                  <c:v>42562</c:v>
                </c:pt>
                <c:pt idx="292">
                  <c:v>42563</c:v>
                </c:pt>
                <c:pt idx="293">
                  <c:v>42564</c:v>
                </c:pt>
                <c:pt idx="294">
                  <c:v>42565</c:v>
                </c:pt>
                <c:pt idx="295">
                  <c:v>42566</c:v>
                </c:pt>
                <c:pt idx="296">
                  <c:v>42569</c:v>
                </c:pt>
                <c:pt idx="297">
                  <c:v>42570</c:v>
                </c:pt>
                <c:pt idx="298">
                  <c:v>42571</c:v>
                </c:pt>
                <c:pt idx="299">
                  <c:v>42572</c:v>
                </c:pt>
                <c:pt idx="300">
                  <c:v>42573</c:v>
                </c:pt>
                <c:pt idx="301">
                  <c:v>42576</c:v>
                </c:pt>
                <c:pt idx="302">
                  <c:v>42577</c:v>
                </c:pt>
                <c:pt idx="303">
                  <c:v>42578</c:v>
                </c:pt>
                <c:pt idx="304">
                  <c:v>42579</c:v>
                </c:pt>
                <c:pt idx="305">
                  <c:v>42580</c:v>
                </c:pt>
                <c:pt idx="306">
                  <c:v>42583</c:v>
                </c:pt>
                <c:pt idx="307">
                  <c:v>42584</c:v>
                </c:pt>
                <c:pt idx="308">
                  <c:v>42585</c:v>
                </c:pt>
                <c:pt idx="309">
                  <c:v>42586</c:v>
                </c:pt>
                <c:pt idx="310">
                  <c:v>42587</c:v>
                </c:pt>
                <c:pt idx="311">
                  <c:v>42590</c:v>
                </c:pt>
                <c:pt idx="312">
                  <c:v>42591</c:v>
                </c:pt>
                <c:pt idx="313">
                  <c:v>42592</c:v>
                </c:pt>
                <c:pt idx="314">
                  <c:v>42593</c:v>
                </c:pt>
                <c:pt idx="315">
                  <c:v>42594</c:v>
                </c:pt>
                <c:pt idx="316">
                  <c:v>42597</c:v>
                </c:pt>
                <c:pt idx="317">
                  <c:v>42598</c:v>
                </c:pt>
                <c:pt idx="318">
                  <c:v>42599</c:v>
                </c:pt>
                <c:pt idx="319">
                  <c:v>42600</c:v>
                </c:pt>
                <c:pt idx="320">
                  <c:v>42601</c:v>
                </c:pt>
                <c:pt idx="321">
                  <c:v>42604</c:v>
                </c:pt>
                <c:pt idx="322">
                  <c:v>42605</c:v>
                </c:pt>
                <c:pt idx="323">
                  <c:v>42606</c:v>
                </c:pt>
                <c:pt idx="324">
                  <c:v>42607</c:v>
                </c:pt>
                <c:pt idx="325">
                  <c:v>42608</c:v>
                </c:pt>
                <c:pt idx="326">
                  <c:v>42612</c:v>
                </c:pt>
                <c:pt idx="327">
                  <c:v>42613</c:v>
                </c:pt>
                <c:pt idx="328">
                  <c:v>42614</c:v>
                </c:pt>
                <c:pt idx="329">
                  <c:v>42615</c:v>
                </c:pt>
                <c:pt idx="330">
                  <c:v>42618</c:v>
                </c:pt>
                <c:pt idx="331">
                  <c:v>42619</c:v>
                </c:pt>
                <c:pt idx="332">
                  <c:v>42620</c:v>
                </c:pt>
                <c:pt idx="333">
                  <c:v>42621</c:v>
                </c:pt>
                <c:pt idx="334">
                  <c:v>42622</c:v>
                </c:pt>
                <c:pt idx="335">
                  <c:v>42626</c:v>
                </c:pt>
                <c:pt idx="336">
                  <c:v>42627</c:v>
                </c:pt>
                <c:pt idx="337">
                  <c:v>42628</c:v>
                </c:pt>
                <c:pt idx="338">
                  <c:v>42629</c:v>
                </c:pt>
                <c:pt idx="339">
                  <c:v>42632</c:v>
                </c:pt>
                <c:pt idx="340">
                  <c:v>42633</c:v>
                </c:pt>
                <c:pt idx="341">
                  <c:v>42634</c:v>
                </c:pt>
                <c:pt idx="342">
                  <c:v>42635</c:v>
                </c:pt>
                <c:pt idx="343">
                  <c:v>42636</c:v>
                </c:pt>
                <c:pt idx="344">
                  <c:v>42639</c:v>
                </c:pt>
                <c:pt idx="345">
                  <c:v>42640</c:v>
                </c:pt>
                <c:pt idx="346">
                  <c:v>42641</c:v>
                </c:pt>
                <c:pt idx="347">
                  <c:v>42642</c:v>
                </c:pt>
                <c:pt idx="348">
                  <c:v>42643</c:v>
                </c:pt>
                <c:pt idx="349">
                  <c:v>42646</c:v>
                </c:pt>
                <c:pt idx="350">
                  <c:v>42647</c:v>
                </c:pt>
                <c:pt idx="351">
                  <c:v>42648</c:v>
                </c:pt>
                <c:pt idx="352">
                  <c:v>42649</c:v>
                </c:pt>
                <c:pt idx="353">
                  <c:v>42650</c:v>
                </c:pt>
                <c:pt idx="354">
                  <c:v>42653</c:v>
                </c:pt>
                <c:pt idx="355">
                  <c:v>42654</c:v>
                </c:pt>
                <c:pt idx="356">
                  <c:v>42655</c:v>
                </c:pt>
                <c:pt idx="357">
                  <c:v>42656</c:v>
                </c:pt>
                <c:pt idx="358">
                  <c:v>42657</c:v>
                </c:pt>
                <c:pt idx="359">
                  <c:v>42660</c:v>
                </c:pt>
                <c:pt idx="360">
                  <c:v>42661</c:v>
                </c:pt>
                <c:pt idx="361">
                  <c:v>42662</c:v>
                </c:pt>
                <c:pt idx="362">
                  <c:v>42663</c:v>
                </c:pt>
                <c:pt idx="363">
                  <c:v>42664</c:v>
                </c:pt>
                <c:pt idx="364">
                  <c:v>42667</c:v>
                </c:pt>
                <c:pt idx="365">
                  <c:v>42668</c:v>
                </c:pt>
                <c:pt idx="366">
                  <c:v>42669</c:v>
                </c:pt>
                <c:pt idx="367">
                  <c:v>42670</c:v>
                </c:pt>
                <c:pt idx="368">
                  <c:v>42671</c:v>
                </c:pt>
                <c:pt idx="369">
                  <c:v>42676</c:v>
                </c:pt>
                <c:pt idx="370">
                  <c:v>42677</c:v>
                </c:pt>
                <c:pt idx="371">
                  <c:v>42678</c:v>
                </c:pt>
                <c:pt idx="372">
                  <c:v>42681</c:v>
                </c:pt>
                <c:pt idx="373">
                  <c:v>42682</c:v>
                </c:pt>
                <c:pt idx="374">
                  <c:v>42683</c:v>
                </c:pt>
                <c:pt idx="375">
                  <c:v>42684</c:v>
                </c:pt>
                <c:pt idx="376">
                  <c:v>42685</c:v>
                </c:pt>
                <c:pt idx="377">
                  <c:v>42688</c:v>
                </c:pt>
                <c:pt idx="378">
                  <c:v>42689</c:v>
                </c:pt>
                <c:pt idx="379">
                  <c:v>42690</c:v>
                </c:pt>
                <c:pt idx="380">
                  <c:v>42691</c:v>
                </c:pt>
                <c:pt idx="381">
                  <c:v>42692</c:v>
                </c:pt>
                <c:pt idx="382">
                  <c:v>42695</c:v>
                </c:pt>
                <c:pt idx="383">
                  <c:v>42696</c:v>
                </c:pt>
                <c:pt idx="384">
                  <c:v>42697</c:v>
                </c:pt>
                <c:pt idx="385">
                  <c:v>42698</c:v>
                </c:pt>
                <c:pt idx="386">
                  <c:v>42699</c:v>
                </c:pt>
                <c:pt idx="387">
                  <c:v>42702</c:v>
                </c:pt>
                <c:pt idx="388">
                  <c:v>42703</c:v>
                </c:pt>
                <c:pt idx="389">
                  <c:v>42705</c:v>
                </c:pt>
                <c:pt idx="390">
                  <c:v>42706</c:v>
                </c:pt>
                <c:pt idx="391">
                  <c:v>42709</c:v>
                </c:pt>
                <c:pt idx="392">
                  <c:v>42710</c:v>
                </c:pt>
                <c:pt idx="393">
                  <c:v>42711</c:v>
                </c:pt>
                <c:pt idx="394">
                  <c:v>42712</c:v>
                </c:pt>
                <c:pt idx="395">
                  <c:v>42713</c:v>
                </c:pt>
                <c:pt idx="396">
                  <c:v>42716</c:v>
                </c:pt>
                <c:pt idx="397">
                  <c:v>42717</c:v>
                </c:pt>
                <c:pt idx="398">
                  <c:v>42718</c:v>
                </c:pt>
                <c:pt idx="399">
                  <c:v>42719</c:v>
                </c:pt>
                <c:pt idx="400">
                  <c:v>42720</c:v>
                </c:pt>
                <c:pt idx="401">
                  <c:v>42723</c:v>
                </c:pt>
                <c:pt idx="402">
                  <c:v>42724</c:v>
                </c:pt>
                <c:pt idx="403">
                  <c:v>42725</c:v>
                </c:pt>
                <c:pt idx="404">
                  <c:v>42726</c:v>
                </c:pt>
                <c:pt idx="405">
                  <c:v>42727</c:v>
                </c:pt>
                <c:pt idx="406">
                  <c:v>42731</c:v>
                </c:pt>
                <c:pt idx="407">
                  <c:v>42732</c:v>
                </c:pt>
                <c:pt idx="408">
                  <c:v>42733</c:v>
                </c:pt>
                <c:pt idx="409">
                  <c:v>42738</c:v>
                </c:pt>
                <c:pt idx="410">
                  <c:v>42739</c:v>
                </c:pt>
                <c:pt idx="411">
                  <c:v>42740</c:v>
                </c:pt>
                <c:pt idx="412">
                  <c:v>42741</c:v>
                </c:pt>
                <c:pt idx="413">
                  <c:v>42744</c:v>
                </c:pt>
                <c:pt idx="414">
                  <c:v>42745</c:v>
                </c:pt>
                <c:pt idx="415">
                  <c:v>42746</c:v>
                </c:pt>
                <c:pt idx="416">
                  <c:v>42747</c:v>
                </c:pt>
                <c:pt idx="417">
                  <c:v>42748</c:v>
                </c:pt>
                <c:pt idx="418">
                  <c:v>42751</c:v>
                </c:pt>
                <c:pt idx="419">
                  <c:v>42752</c:v>
                </c:pt>
                <c:pt idx="420">
                  <c:v>42753</c:v>
                </c:pt>
                <c:pt idx="421">
                  <c:v>42754</c:v>
                </c:pt>
                <c:pt idx="422">
                  <c:v>42755</c:v>
                </c:pt>
                <c:pt idx="423">
                  <c:v>42758</c:v>
                </c:pt>
                <c:pt idx="424">
                  <c:v>42759</c:v>
                </c:pt>
                <c:pt idx="425">
                  <c:v>42760</c:v>
                </c:pt>
                <c:pt idx="426">
                  <c:v>42761</c:v>
                </c:pt>
                <c:pt idx="427">
                  <c:v>42762</c:v>
                </c:pt>
                <c:pt idx="428">
                  <c:v>42765</c:v>
                </c:pt>
                <c:pt idx="429">
                  <c:v>42766</c:v>
                </c:pt>
                <c:pt idx="430">
                  <c:v>42767</c:v>
                </c:pt>
                <c:pt idx="431">
                  <c:v>42768</c:v>
                </c:pt>
                <c:pt idx="432">
                  <c:v>42769</c:v>
                </c:pt>
                <c:pt idx="433">
                  <c:v>42772</c:v>
                </c:pt>
                <c:pt idx="434">
                  <c:v>42773</c:v>
                </c:pt>
                <c:pt idx="435">
                  <c:v>42774</c:v>
                </c:pt>
                <c:pt idx="436">
                  <c:v>42775</c:v>
                </c:pt>
                <c:pt idx="437">
                  <c:v>42776</c:v>
                </c:pt>
                <c:pt idx="438">
                  <c:v>42779</c:v>
                </c:pt>
                <c:pt idx="439">
                  <c:v>42780</c:v>
                </c:pt>
                <c:pt idx="440">
                  <c:v>42781</c:v>
                </c:pt>
                <c:pt idx="441">
                  <c:v>42782</c:v>
                </c:pt>
                <c:pt idx="442">
                  <c:v>42783</c:v>
                </c:pt>
                <c:pt idx="443">
                  <c:v>42786</c:v>
                </c:pt>
                <c:pt idx="444">
                  <c:v>42787</c:v>
                </c:pt>
                <c:pt idx="445">
                  <c:v>42788</c:v>
                </c:pt>
                <c:pt idx="446">
                  <c:v>42789</c:v>
                </c:pt>
                <c:pt idx="447">
                  <c:v>42790</c:v>
                </c:pt>
                <c:pt idx="448">
                  <c:v>42793</c:v>
                </c:pt>
                <c:pt idx="449">
                  <c:v>42794</c:v>
                </c:pt>
                <c:pt idx="450">
                  <c:v>42795</c:v>
                </c:pt>
                <c:pt idx="451">
                  <c:v>42796</c:v>
                </c:pt>
                <c:pt idx="452">
                  <c:v>42797</c:v>
                </c:pt>
                <c:pt idx="453">
                  <c:v>42800</c:v>
                </c:pt>
                <c:pt idx="454">
                  <c:v>42801</c:v>
                </c:pt>
                <c:pt idx="455">
                  <c:v>42802</c:v>
                </c:pt>
                <c:pt idx="456">
                  <c:v>42803</c:v>
                </c:pt>
                <c:pt idx="457">
                  <c:v>42804</c:v>
                </c:pt>
                <c:pt idx="458">
                  <c:v>42807</c:v>
                </c:pt>
                <c:pt idx="459">
                  <c:v>42808</c:v>
                </c:pt>
                <c:pt idx="460">
                  <c:v>42809</c:v>
                </c:pt>
                <c:pt idx="461">
                  <c:v>42810</c:v>
                </c:pt>
                <c:pt idx="462">
                  <c:v>42811</c:v>
                </c:pt>
                <c:pt idx="463">
                  <c:v>42814</c:v>
                </c:pt>
                <c:pt idx="464">
                  <c:v>42815</c:v>
                </c:pt>
                <c:pt idx="465">
                  <c:v>42816</c:v>
                </c:pt>
                <c:pt idx="466">
                  <c:v>42817</c:v>
                </c:pt>
                <c:pt idx="467">
                  <c:v>42818</c:v>
                </c:pt>
                <c:pt idx="468">
                  <c:v>42821</c:v>
                </c:pt>
                <c:pt idx="469">
                  <c:v>42822</c:v>
                </c:pt>
                <c:pt idx="470">
                  <c:v>42823</c:v>
                </c:pt>
                <c:pt idx="471">
                  <c:v>42824</c:v>
                </c:pt>
                <c:pt idx="472">
                  <c:v>42825</c:v>
                </c:pt>
                <c:pt idx="473">
                  <c:v>42828</c:v>
                </c:pt>
                <c:pt idx="474">
                  <c:v>42829</c:v>
                </c:pt>
                <c:pt idx="475">
                  <c:v>42830</c:v>
                </c:pt>
                <c:pt idx="476">
                  <c:v>42831</c:v>
                </c:pt>
                <c:pt idx="477">
                  <c:v>42832</c:v>
                </c:pt>
                <c:pt idx="478">
                  <c:v>42835</c:v>
                </c:pt>
                <c:pt idx="479">
                  <c:v>42836</c:v>
                </c:pt>
                <c:pt idx="480">
                  <c:v>42837</c:v>
                </c:pt>
                <c:pt idx="481">
                  <c:v>42842</c:v>
                </c:pt>
                <c:pt idx="482">
                  <c:v>42843</c:v>
                </c:pt>
                <c:pt idx="483">
                  <c:v>42844</c:v>
                </c:pt>
                <c:pt idx="484">
                  <c:v>42845</c:v>
                </c:pt>
                <c:pt idx="485">
                  <c:v>42846</c:v>
                </c:pt>
                <c:pt idx="486">
                  <c:v>42849</c:v>
                </c:pt>
                <c:pt idx="487">
                  <c:v>42850</c:v>
                </c:pt>
                <c:pt idx="488">
                  <c:v>42851</c:v>
                </c:pt>
                <c:pt idx="489">
                  <c:v>42852</c:v>
                </c:pt>
                <c:pt idx="490">
                  <c:v>42853</c:v>
                </c:pt>
                <c:pt idx="491">
                  <c:v>42857</c:v>
                </c:pt>
                <c:pt idx="492">
                  <c:v>42858</c:v>
                </c:pt>
                <c:pt idx="493">
                  <c:v>42859</c:v>
                </c:pt>
                <c:pt idx="494">
                  <c:v>42860</c:v>
                </c:pt>
                <c:pt idx="495">
                  <c:v>42863</c:v>
                </c:pt>
                <c:pt idx="496">
                  <c:v>42864</c:v>
                </c:pt>
                <c:pt idx="497">
                  <c:v>42865</c:v>
                </c:pt>
                <c:pt idx="498">
                  <c:v>42866</c:v>
                </c:pt>
                <c:pt idx="499">
                  <c:v>42867</c:v>
                </c:pt>
                <c:pt idx="500">
                  <c:v>42870</c:v>
                </c:pt>
                <c:pt idx="501">
                  <c:v>42871</c:v>
                </c:pt>
                <c:pt idx="502">
                  <c:v>42872</c:v>
                </c:pt>
                <c:pt idx="503">
                  <c:v>42873</c:v>
                </c:pt>
                <c:pt idx="504">
                  <c:v>42874</c:v>
                </c:pt>
                <c:pt idx="505">
                  <c:v>42877</c:v>
                </c:pt>
                <c:pt idx="506">
                  <c:v>42878</c:v>
                </c:pt>
                <c:pt idx="507">
                  <c:v>42879</c:v>
                </c:pt>
                <c:pt idx="508">
                  <c:v>42880</c:v>
                </c:pt>
                <c:pt idx="509">
                  <c:v>42881</c:v>
                </c:pt>
                <c:pt idx="510">
                  <c:v>42884</c:v>
                </c:pt>
                <c:pt idx="511">
                  <c:v>42885</c:v>
                </c:pt>
                <c:pt idx="512">
                  <c:v>42886</c:v>
                </c:pt>
                <c:pt idx="513">
                  <c:v>42887</c:v>
                </c:pt>
                <c:pt idx="514">
                  <c:v>42888</c:v>
                </c:pt>
                <c:pt idx="515">
                  <c:v>42891</c:v>
                </c:pt>
                <c:pt idx="516">
                  <c:v>42892</c:v>
                </c:pt>
                <c:pt idx="517">
                  <c:v>42893</c:v>
                </c:pt>
                <c:pt idx="518">
                  <c:v>42894</c:v>
                </c:pt>
                <c:pt idx="519">
                  <c:v>42895</c:v>
                </c:pt>
                <c:pt idx="520">
                  <c:v>42899</c:v>
                </c:pt>
                <c:pt idx="521">
                  <c:v>42900</c:v>
                </c:pt>
                <c:pt idx="522">
                  <c:v>42901</c:v>
                </c:pt>
                <c:pt idx="523">
                  <c:v>42902</c:v>
                </c:pt>
                <c:pt idx="524">
                  <c:v>42905</c:v>
                </c:pt>
                <c:pt idx="525">
                  <c:v>42906</c:v>
                </c:pt>
                <c:pt idx="526">
                  <c:v>42907</c:v>
                </c:pt>
                <c:pt idx="527">
                  <c:v>42908</c:v>
                </c:pt>
                <c:pt idx="528">
                  <c:v>42909</c:v>
                </c:pt>
                <c:pt idx="529">
                  <c:v>42912</c:v>
                </c:pt>
                <c:pt idx="530">
                  <c:v>42913</c:v>
                </c:pt>
                <c:pt idx="531">
                  <c:v>42914</c:v>
                </c:pt>
                <c:pt idx="532">
                  <c:v>42915</c:v>
                </c:pt>
                <c:pt idx="533">
                  <c:v>42916</c:v>
                </c:pt>
                <c:pt idx="534">
                  <c:v>42919</c:v>
                </c:pt>
                <c:pt idx="535">
                  <c:v>42920</c:v>
                </c:pt>
                <c:pt idx="536">
                  <c:v>42921</c:v>
                </c:pt>
                <c:pt idx="537">
                  <c:v>42922</c:v>
                </c:pt>
                <c:pt idx="538">
                  <c:v>42923</c:v>
                </c:pt>
                <c:pt idx="539">
                  <c:v>42926</c:v>
                </c:pt>
                <c:pt idx="540">
                  <c:v>42927</c:v>
                </c:pt>
                <c:pt idx="541">
                  <c:v>42928</c:v>
                </c:pt>
                <c:pt idx="542">
                  <c:v>42929</c:v>
                </c:pt>
                <c:pt idx="543">
                  <c:v>42930</c:v>
                </c:pt>
                <c:pt idx="544">
                  <c:v>42933</c:v>
                </c:pt>
                <c:pt idx="545">
                  <c:v>42934</c:v>
                </c:pt>
                <c:pt idx="546">
                  <c:v>42935</c:v>
                </c:pt>
                <c:pt idx="547">
                  <c:v>42936</c:v>
                </c:pt>
                <c:pt idx="548">
                  <c:v>42937</c:v>
                </c:pt>
                <c:pt idx="549">
                  <c:v>42940</c:v>
                </c:pt>
                <c:pt idx="550">
                  <c:v>42941</c:v>
                </c:pt>
                <c:pt idx="551">
                  <c:v>42942</c:v>
                </c:pt>
                <c:pt idx="552">
                  <c:v>42943</c:v>
                </c:pt>
                <c:pt idx="553">
                  <c:v>42944</c:v>
                </c:pt>
                <c:pt idx="554">
                  <c:v>42947</c:v>
                </c:pt>
                <c:pt idx="555">
                  <c:v>42948</c:v>
                </c:pt>
                <c:pt idx="556">
                  <c:v>42949</c:v>
                </c:pt>
                <c:pt idx="557">
                  <c:v>42950</c:v>
                </c:pt>
                <c:pt idx="558">
                  <c:v>42951</c:v>
                </c:pt>
                <c:pt idx="559">
                  <c:v>42954</c:v>
                </c:pt>
                <c:pt idx="560">
                  <c:v>42955</c:v>
                </c:pt>
                <c:pt idx="561">
                  <c:v>42956</c:v>
                </c:pt>
                <c:pt idx="562">
                  <c:v>42957</c:v>
                </c:pt>
                <c:pt idx="563">
                  <c:v>42958</c:v>
                </c:pt>
                <c:pt idx="564">
                  <c:v>42961</c:v>
                </c:pt>
                <c:pt idx="565">
                  <c:v>42962</c:v>
                </c:pt>
                <c:pt idx="566">
                  <c:v>42963</c:v>
                </c:pt>
                <c:pt idx="567">
                  <c:v>42964</c:v>
                </c:pt>
                <c:pt idx="568">
                  <c:v>42965</c:v>
                </c:pt>
                <c:pt idx="569">
                  <c:v>42969</c:v>
                </c:pt>
                <c:pt idx="570">
                  <c:v>42970</c:v>
                </c:pt>
                <c:pt idx="571">
                  <c:v>42971</c:v>
                </c:pt>
                <c:pt idx="572">
                  <c:v>42972</c:v>
                </c:pt>
                <c:pt idx="573">
                  <c:v>42976</c:v>
                </c:pt>
                <c:pt idx="574">
                  <c:v>42977</c:v>
                </c:pt>
                <c:pt idx="575">
                  <c:v>42978</c:v>
                </c:pt>
                <c:pt idx="576">
                  <c:v>42982</c:v>
                </c:pt>
                <c:pt idx="577">
                  <c:v>42983</c:v>
                </c:pt>
                <c:pt idx="578">
                  <c:v>42984</c:v>
                </c:pt>
                <c:pt idx="579">
                  <c:v>42985</c:v>
                </c:pt>
                <c:pt idx="580">
                  <c:v>42986</c:v>
                </c:pt>
                <c:pt idx="581">
                  <c:v>42989</c:v>
                </c:pt>
                <c:pt idx="582">
                  <c:v>42990</c:v>
                </c:pt>
                <c:pt idx="583">
                  <c:v>42991</c:v>
                </c:pt>
                <c:pt idx="584">
                  <c:v>42992</c:v>
                </c:pt>
                <c:pt idx="585">
                  <c:v>42993</c:v>
                </c:pt>
                <c:pt idx="586">
                  <c:v>42996</c:v>
                </c:pt>
                <c:pt idx="587">
                  <c:v>42997</c:v>
                </c:pt>
                <c:pt idx="588">
                  <c:v>42998</c:v>
                </c:pt>
                <c:pt idx="589">
                  <c:v>42999</c:v>
                </c:pt>
                <c:pt idx="590">
                  <c:v>43000</c:v>
                </c:pt>
                <c:pt idx="591">
                  <c:v>43003</c:v>
                </c:pt>
                <c:pt idx="592">
                  <c:v>43004</c:v>
                </c:pt>
                <c:pt idx="593">
                  <c:v>43005</c:v>
                </c:pt>
                <c:pt idx="594">
                  <c:v>43006</c:v>
                </c:pt>
                <c:pt idx="595">
                  <c:v>43007</c:v>
                </c:pt>
                <c:pt idx="596">
                  <c:v>43010</c:v>
                </c:pt>
                <c:pt idx="597">
                  <c:v>43011</c:v>
                </c:pt>
                <c:pt idx="598">
                  <c:v>43012</c:v>
                </c:pt>
                <c:pt idx="599">
                  <c:v>43013</c:v>
                </c:pt>
                <c:pt idx="600">
                  <c:v>43014</c:v>
                </c:pt>
                <c:pt idx="601">
                  <c:v>43017</c:v>
                </c:pt>
                <c:pt idx="602">
                  <c:v>43018</c:v>
                </c:pt>
                <c:pt idx="603">
                  <c:v>43019</c:v>
                </c:pt>
                <c:pt idx="604">
                  <c:v>43020</c:v>
                </c:pt>
                <c:pt idx="605">
                  <c:v>43021</c:v>
                </c:pt>
                <c:pt idx="606">
                  <c:v>43024</c:v>
                </c:pt>
                <c:pt idx="607">
                  <c:v>43025</c:v>
                </c:pt>
                <c:pt idx="608">
                  <c:v>43026</c:v>
                </c:pt>
                <c:pt idx="609">
                  <c:v>43027</c:v>
                </c:pt>
                <c:pt idx="610">
                  <c:v>43028</c:v>
                </c:pt>
                <c:pt idx="611">
                  <c:v>43031</c:v>
                </c:pt>
                <c:pt idx="612">
                  <c:v>43032</c:v>
                </c:pt>
                <c:pt idx="613">
                  <c:v>43033</c:v>
                </c:pt>
                <c:pt idx="614">
                  <c:v>43034</c:v>
                </c:pt>
                <c:pt idx="615">
                  <c:v>43035</c:v>
                </c:pt>
                <c:pt idx="616">
                  <c:v>43038</c:v>
                </c:pt>
                <c:pt idx="617">
                  <c:v>43041</c:v>
                </c:pt>
                <c:pt idx="618">
                  <c:v>43042</c:v>
                </c:pt>
                <c:pt idx="619">
                  <c:v>43045</c:v>
                </c:pt>
                <c:pt idx="620">
                  <c:v>43046</c:v>
                </c:pt>
                <c:pt idx="621">
                  <c:v>43047</c:v>
                </c:pt>
                <c:pt idx="622">
                  <c:v>43048</c:v>
                </c:pt>
                <c:pt idx="623">
                  <c:v>43049</c:v>
                </c:pt>
                <c:pt idx="624">
                  <c:v>43052</c:v>
                </c:pt>
                <c:pt idx="625">
                  <c:v>43053</c:v>
                </c:pt>
                <c:pt idx="626">
                  <c:v>43054</c:v>
                </c:pt>
                <c:pt idx="627">
                  <c:v>43055</c:v>
                </c:pt>
                <c:pt idx="628">
                  <c:v>43056</c:v>
                </c:pt>
                <c:pt idx="629">
                  <c:v>43059</c:v>
                </c:pt>
                <c:pt idx="630">
                  <c:v>43060</c:v>
                </c:pt>
                <c:pt idx="631">
                  <c:v>43061</c:v>
                </c:pt>
                <c:pt idx="632">
                  <c:v>43062</c:v>
                </c:pt>
                <c:pt idx="633">
                  <c:v>43063</c:v>
                </c:pt>
                <c:pt idx="634">
                  <c:v>43066</c:v>
                </c:pt>
                <c:pt idx="635">
                  <c:v>43067</c:v>
                </c:pt>
                <c:pt idx="636">
                  <c:v>43068</c:v>
                </c:pt>
                <c:pt idx="637">
                  <c:v>43070</c:v>
                </c:pt>
                <c:pt idx="638">
                  <c:v>43073</c:v>
                </c:pt>
                <c:pt idx="639">
                  <c:v>43074</c:v>
                </c:pt>
                <c:pt idx="640">
                  <c:v>43075</c:v>
                </c:pt>
                <c:pt idx="641">
                  <c:v>43076</c:v>
                </c:pt>
                <c:pt idx="642">
                  <c:v>43077</c:v>
                </c:pt>
                <c:pt idx="643">
                  <c:v>43080</c:v>
                </c:pt>
                <c:pt idx="644">
                  <c:v>43081</c:v>
                </c:pt>
                <c:pt idx="645">
                  <c:v>43082</c:v>
                </c:pt>
                <c:pt idx="646">
                  <c:v>43083</c:v>
                </c:pt>
                <c:pt idx="647">
                  <c:v>43084</c:v>
                </c:pt>
                <c:pt idx="648">
                  <c:v>43087</c:v>
                </c:pt>
                <c:pt idx="649">
                  <c:v>43088</c:v>
                </c:pt>
                <c:pt idx="650">
                  <c:v>43089</c:v>
                </c:pt>
                <c:pt idx="651">
                  <c:v>43090</c:v>
                </c:pt>
                <c:pt idx="652">
                  <c:v>43091</c:v>
                </c:pt>
                <c:pt idx="653">
                  <c:v>43095</c:v>
                </c:pt>
                <c:pt idx="654">
                  <c:v>43096</c:v>
                </c:pt>
                <c:pt idx="655">
                  <c:v>43097</c:v>
                </c:pt>
                <c:pt idx="656">
                  <c:v>43098</c:v>
                </c:pt>
                <c:pt idx="657">
                  <c:v>43103</c:v>
                </c:pt>
                <c:pt idx="658">
                  <c:v>43104</c:v>
                </c:pt>
                <c:pt idx="659">
                  <c:v>43105</c:v>
                </c:pt>
                <c:pt idx="660">
                  <c:v>43108</c:v>
                </c:pt>
                <c:pt idx="661">
                  <c:v>43109</c:v>
                </c:pt>
                <c:pt idx="662">
                  <c:v>43110</c:v>
                </c:pt>
                <c:pt idx="663">
                  <c:v>43111</c:v>
                </c:pt>
                <c:pt idx="664">
                  <c:v>43112</c:v>
                </c:pt>
                <c:pt idx="665">
                  <c:v>43115</c:v>
                </c:pt>
                <c:pt idx="666">
                  <c:v>43116</c:v>
                </c:pt>
                <c:pt idx="667">
                  <c:v>43117</c:v>
                </c:pt>
                <c:pt idx="668">
                  <c:v>43118</c:v>
                </c:pt>
                <c:pt idx="669">
                  <c:v>43119</c:v>
                </c:pt>
                <c:pt idx="670">
                  <c:v>43122</c:v>
                </c:pt>
                <c:pt idx="671">
                  <c:v>43123</c:v>
                </c:pt>
                <c:pt idx="672">
                  <c:v>43124</c:v>
                </c:pt>
                <c:pt idx="673">
                  <c:v>43125</c:v>
                </c:pt>
                <c:pt idx="674">
                  <c:v>43126</c:v>
                </c:pt>
                <c:pt idx="675">
                  <c:v>43129</c:v>
                </c:pt>
                <c:pt idx="676">
                  <c:v>43130</c:v>
                </c:pt>
                <c:pt idx="677">
                  <c:v>43131</c:v>
                </c:pt>
                <c:pt idx="678">
                  <c:v>43132</c:v>
                </c:pt>
                <c:pt idx="679">
                  <c:v>43133</c:v>
                </c:pt>
                <c:pt idx="680">
                  <c:v>43136</c:v>
                </c:pt>
                <c:pt idx="681">
                  <c:v>43137</c:v>
                </c:pt>
                <c:pt idx="682">
                  <c:v>43138</c:v>
                </c:pt>
                <c:pt idx="683">
                  <c:v>43139</c:v>
                </c:pt>
                <c:pt idx="684">
                  <c:v>43140</c:v>
                </c:pt>
                <c:pt idx="685">
                  <c:v>43143</c:v>
                </c:pt>
                <c:pt idx="686">
                  <c:v>43144</c:v>
                </c:pt>
                <c:pt idx="687">
                  <c:v>43145</c:v>
                </c:pt>
                <c:pt idx="688">
                  <c:v>43146</c:v>
                </c:pt>
                <c:pt idx="689">
                  <c:v>43150</c:v>
                </c:pt>
                <c:pt idx="690">
                  <c:v>43151</c:v>
                </c:pt>
                <c:pt idx="691">
                  <c:v>43152</c:v>
                </c:pt>
                <c:pt idx="692">
                  <c:v>43153</c:v>
                </c:pt>
                <c:pt idx="693">
                  <c:v>43154</c:v>
                </c:pt>
                <c:pt idx="694">
                  <c:v>43157</c:v>
                </c:pt>
                <c:pt idx="695">
                  <c:v>43158</c:v>
                </c:pt>
                <c:pt idx="696">
                  <c:v>43159</c:v>
                </c:pt>
                <c:pt idx="697">
                  <c:v>43160</c:v>
                </c:pt>
                <c:pt idx="698">
                  <c:v>43161</c:v>
                </c:pt>
                <c:pt idx="699">
                  <c:v>43164</c:v>
                </c:pt>
                <c:pt idx="700">
                  <c:v>43165</c:v>
                </c:pt>
                <c:pt idx="701">
                  <c:v>43166</c:v>
                </c:pt>
                <c:pt idx="702">
                  <c:v>43167</c:v>
                </c:pt>
                <c:pt idx="703">
                  <c:v>43168</c:v>
                </c:pt>
                <c:pt idx="704">
                  <c:v>43171</c:v>
                </c:pt>
                <c:pt idx="705">
                  <c:v>43172</c:v>
                </c:pt>
                <c:pt idx="706">
                  <c:v>43173</c:v>
                </c:pt>
                <c:pt idx="707">
                  <c:v>43174</c:v>
                </c:pt>
                <c:pt idx="708">
                  <c:v>43175</c:v>
                </c:pt>
                <c:pt idx="709">
                  <c:v>43178</c:v>
                </c:pt>
                <c:pt idx="710">
                  <c:v>43179</c:v>
                </c:pt>
                <c:pt idx="711">
                  <c:v>43180</c:v>
                </c:pt>
                <c:pt idx="712">
                  <c:v>43181</c:v>
                </c:pt>
                <c:pt idx="713">
                  <c:v>43182</c:v>
                </c:pt>
                <c:pt idx="714">
                  <c:v>43185</c:v>
                </c:pt>
                <c:pt idx="715">
                  <c:v>43186</c:v>
                </c:pt>
                <c:pt idx="716">
                  <c:v>43187</c:v>
                </c:pt>
                <c:pt idx="717">
                  <c:v>43192</c:v>
                </c:pt>
                <c:pt idx="718">
                  <c:v>43193</c:v>
                </c:pt>
                <c:pt idx="719">
                  <c:v>43194</c:v>
                </c:pt>
                <c:pt idx="720">
                  <c:v>43195</c:v>
                </c:pt>
                <c:pt idx="721">
                  <c:v>43196</c:v>
                </c:pt>
                <c:pt idx="722">
                  <c:v>43200</c:v>
                </c:pt>
                <c:pt idx="723">
                  <c:v>43201</c:v>
                </c:pt>
                <c:pt idx="724">
                  <c:v>43202</c:v>
                </c:pt>
                <c:pt idx="725">
                  <c:v>43203</c:v>
                </c:pt>
                <c:pt idx="726">
                  <c:v>43206</c:v>
                </c:pt>
                <c:pt idx="727">
                  <c:v>43207</c:v>
                </c:pt>
                <c:pt idx="728">
                  <c:v>43208</c:v>
                </c:pt>
                <c:pt idx="729">
                  <c:v>43209</c:v>
                </c:pt>
                <c:pt idx="730">
                  <c:v>43210</c:v>
                </c:pt>
                <c:pt idx="731">
                  <c:v>43213</c:v>
                </c:pt>
                <c:pt idx="732">
                  <c:v>43214</c:v>
                </c:pt>
                <c:pt idx="733">
                  <c:v>43215</c:v>
                </c:pt>
                <c:pt idx="734">
                  <c:v>43216</c:v>
                </c:pt>
                <c:pt idx="735">
                  <c:v>43217</c:v>
                </c:pt>
                <c:pt idx="736">
                  <c:v>43220</c:v>
                </c:pt>
                <c:pt idx="737">
                  <c:v>43222</c:v>
                </c:pt>
                <c:pt idx="738">
                  <c:v>43223</c:v>
                </c:pt>
                <c:pt idx="739">
                  <c:v>43224</c:v>
                </c:pt>
                <c:pt idx="740">
                  <c:v>43227</c:v>
                </c:pt>
                <c:pt idx="741">
                  <c:v>43228</c:v>
                </c:pt>
                <c:pt idx="742">
                  <c:v>43229</c:v>
                </c:pt>
                <c:pt idx="743">
                  <c:v>43230</c:v>
                </c:pt>
                <c:pt idx="744">
                  <c:v>43231</c:v>
                </c:pt>
                <c:pt idx="745">
                  <c:v>43234</c:v>
                </c:pt>
                <c:pt idx="746">
                  <c:v>43235</c:v>
                </c:pt>
                <c:pt idx="747">
                  <c:v>43236</c:v>
                </c:pt>
                <c:pt idx="748">
                  <c:v>43237</c:v>
                </c:pt>
                <c:pt idx="749">
                  <c:v>43238</c:v>
                </c:pt>
                <c:pt idx="750">
                  <c:v>43241</c:v>
                </c:pt>
                <c:pt idx="751">
                  <c:v>43242</c:v>
                </c:pt>
                <c:pt idx="752">
                  <c:v>43243</c:v>
                </c:pt>
                <c:pt idx="753">
                  <c:v>43244</c:v>
                </c:pt>
                <c:pt idx="754">
                  <c:v>43245</c:v>
                </c:pt>
                <c:pt idx="755">
                  <c:v>43248</c:v>
                </c:pt>
                <c:pt idx="756">
                  <c:v>43249</c:v>
                </c:pt>
                <c:pt idx="757">
                  <c:v>43250</c:v>
                </c:pt>
                <c:pt idx="758">
                  <c:v>43251</c:v>
                </c:pt>
                <c:pt idx="759">
                  <c:v>43252</c:v>
                </c:pt>
                <c:pt idx="760">
                  <c:v>43255</c:v>
                </c:pt>
                <c:pt idx="761">
                  <c:v>43256</c:v>
                </c:pt>
                <c:pt idx="762">
                  <c:v>43257</c:v>
                </c:pt>
                <c:pt idx="763">
                  <c:v>43258</c:v>
                </c:pt>
                <c:pt idx="764">
                  <c:v>43259</c:v>
                </c:pt>
                <c:pt idx="765">
                  <c:v>43262</c:v>
                </c:pt>
                <c:pt idx="766">
                  <c:v>43264</c:v>
                </c:pt>
                <c:pt idx="767">
                  <c:v>43265</c:v>
                </c:pt>
                <c:pt idx="768">
                  <c:v>43266</c:v>
                </c:pt>
                <c:pt idx="769">
                  <c:v>43269</c:v>
                </c:pt>
                <c:pt idx="770">
                  <c:v>43270</c:v>
                </c:pt>
                <c:pt idx="771">
                  <c:v>43271</c:v>
                </c:pt>
                <c:pt idx="772">
                  <c:v>43272</c:v>
                </c:pt>
                <c:pt idx="773">
                  <c:v>43273</c:v>
                </c:pt>
                <c:pt idx="774">
                  <c:v>43276</c:v>
                </c:pt>
                <c:pt idx="775">
                  <c:v>43277</c:v>
                </c:pt>
                <c:pt idx="776">
                  <c:v>43278</c:v>
                </c:pt>
                <c:pt idx="777">
                  <c:v>43279</c:v>
                </c:pt>
                <c:pt idx="778">
                  <c:v>43280</c:v>
                </c:pt>
                <c:pt idx="779">
                  <c:v>43283</c:v>
                </c:pt>
                <c:pt idx="780">
                  <c:v>43284</c:v>
                </c:pt>
                <c:pt idx="781">
                  <c:v>43285</c:v>
                </c:pt>
                <c:pt idx="782">
                  <c:v>43286</c:v>
                </c:pt>
                <c:pt idx="783">
                  <c:v>43287</c:v>
                </c:pt>
                <c:pt idx="784">
                  <c:v>43290</c:v>
                </c:pt>
                <c:pt idx="785">
                  <c:v>43291</c:v>
                </c:pt>
                <c:pt idx="786">
                  <c:v>43292</c:v>
                </c:pt>
                <c:pt idx="787">
                  <c:v>43293</c:v>
                </c:pt>
                <c:pt idx="788">
                  <c:v>43294</c:v>
                </c:pt>
                <c:pt idx="789">
                  <c:v>43297</c:v>
                </c:pt>
                <c:pt idx="790">
                  <c:v>43298</c:v>
                </c:pt>
                <c:pt idx="791">
                  <c:v>43299</c:v>
                </c:pt>
                <c:pt idx="792">
                  <c:v>43300</c:v>
                </c:pt>
                <c:pt idx="793">
                  <c:v>43301</c:v>
                </c:pt>
                <c:pt idx="794">
                  <c:v>43304</c:v>
                </c:pt>
                <c:pt idx="795">
                  <c:v>43305</c:v>
                </c:pt>
                <c:pt idx="796">
                  <c:v>43306</c:v>
                </c:pt>
                <c:pt idx="797">
                  <c:v>43307</c:v>
                </c:pt>
                <c:pt idx="798">
                  <c:v>43308</c:v>
                </c:pt>
                <c:pt idx="799">
                  <c:v>43311</c:v>
                </c:pt>
                <c:pt idx="800">
                  <c:v>43312</c:v>
                </c:pt>
                <c:pt idx="801">
                  <c:v>43313</c:v>
                </c:pt>
                <c:pt idx="802">
                  <c:v>43314</c:v>
                </c:pt>
                <c:pt idx="803">
                  <c:v>43315</c:v>
                </c:pt>
                <c:pt idx="804">
                  <c:v>43318</c:v>
                </c:pt>
                <c:pt idx="805">
                  <c:v>43319</c:v>
                </c:pt>
                <c:pt idx="806">
                  <c:v>43320</c:v>
                </c:pt>
                <c:pt idx="807">
                  <c:v>43321</c:v>
                </c:pt>
                <c:pt idx="808">
                  <c:v>43322</c:v>
                </c:pt>
                <c:pt idx="809">
                  <c:v>43325</c:v>
                </c:pt>
                <c:pt idx="810">
                  <c:v>43326</c:v>
                </c:pt>
                <c:pt idx="811">
                  <c:v>43327</c:v>
                </c:pt>
                <c:pt idx="812">
                  <c:v>43328</c:v>
                </c:pt>
                <c:pt idx="813">
                  <c:v>43329</c:v>
                </c:pt>
                <c:pt idx="814">
                  <c:v>43332</c:v>
                </c:pt>
                <c:pt idx="815">
                  <c:v>43334</c:v>
                </c:pt>
                <c:pt idx="816">
                  <c:v>43335</c:v>
                </c:pt>
                <c:pt idx="817">
                  <c:v>43336</c:v>
                </c:pt>
                <c:pt idx="818">
                  <c:v>43340</c:v>
                </c:pt>
                <c:pt idx="819">
                  <c:v>43341</c:v>
                </c:pt>
                <c:pt idx="820">
                  <c:v>43342</c:v>
                </c:pt>
                <c:pt idx="821">
                  <c:v>43343</c:v>
                </c:pt>
                <c:pt idx="822">
                  <c:v>43346</c:v>
                </c:pt>
                <c:pt idx="823">
                  <c:v>43347</c:v>
                </c:pt>
                <c:pt idx="824">
                  <c:v>43348</c:v>
                </c:pt>
                <c:pt idx="825">
                  <c:v>43349</c:v>
                </c:pt>
                <c:pt idx="826">
                  <c:v>43350</c:v>
                </c:pt>
                <c:pt idx="827">
                  <c:v>43353</c:v>
                </c:pt>
                <c:pt idx="828">
                  <c:v>43354</c:v>
                </c:pt>
                <c:pt idx="829">
                  <c:v>43355</c:v>
                </c:pt>
                <c:pt idx="830">
                  <c:v>43356</c:v>
                </c:pt>
                <c:pt idx="831">
                  <c:v>43357</c:v>
                </c:pt>
                <c:pt idx="832">
                  <c:v>43360</c:v>
                </c:pt>
                <c:pt idx="833">
                  <c:v>43361</c:v>
                </c:pt>
                <c:pt idx="834">
                  <c:v>43362</c:v>
                </c:pt>
                <c:pt idx="835">
                  <c:v>43363</c:v>
                </c:pt>
                <c:pt idx="836">
                  <c:v>43364</c:v>
                </c:pt>
                <c:pt idx="837">
                  <c:v>43367</c:v>
                </c:pt>
                <c:pt idx="838">
                  <c:v>43368</c:v>
                </c:pt>
                <c:pt idx="839">
                  <c:v>43369</c:v>
                </c:pt>
                <c:pt idx="840">
                  <c:v>43370</c:v>
                </c:pt>
                <c:pt idx="841">
                  <c:v>43371</c:v>
                </c:pt>
                <c:pt idx="842">
                  <c:v>43374</c:v>
                </c:pt>
                <c:pt idx="843">
                  <c:v>43375</c:v>
                </c:pt>
                <c:pt idx="844">
                  <c:v>43376</c:v>
                </c:pt>
                <c:pt idx="845">
                  <c:v>43377</c:v>
                </c:pt>
                <c:pt idx="846">
                  <c:v>43378</c:v>
                </c:pt>
                <c:pt idx="847">
                  <c:v>43381</c:v>
                </c:pt>
                <c:pt idx="848">
                  <c:v>43382</c:v>
                </c:pt>
                <c:pt idx="849">
                  <c:v>43383</c:v>
                </c:pt>
                <c:pt idx="850">
                  <c:v>43384</c:v>
                </c:pt>
                <c:pt idx="851">
                  <c:v>43385</c:v>
                </c:pt>
                <c:pt idx="852">
                  <c:v>43388</c:v>
                </c:pt>
                <c:pt idx="853">
                  <c:v>43389</c:v>
                </c:pt>
                <c:pt idx="854">
                  <c:v>43390</c:v>
                </c:pt>
                <c:pt idx="855">
                  <c:v>43391</c:v>
                </c:pt>
                <c:pt idx="856">
                  <c:v>43392</c:v>
                </c:pt>
                <c:pt idx="857">
                  <c:v>43395</c:v>
                </c:pt>
                <c:pt idx="858">
                  <c:v>43396</c:v>
                </c:pt>
                <c:pt idx="859">
                  <c:v>43397</c:v>
                </c:pt>
                <c:pt idx="860">
                  <c:v>43398</c:v>
                </c:pt>
                <c:pt idx="861">
                  <c:v>43399</c:v>
                </c:pt>
                <c:pt idx="862">
                  <c:v>43402</c:v>
                </c:pt>
                <c:pt idx="863">
                  <c:v>43403</c:v>
                </c:pt>
                <c:pt idx="864">
                  <c:v>43404</c:v>
                </c:pt>
                <c:pt idx="865">
                  <c:v>43409</c:v>
                </c:pt>
                <c:pt idx="866">
                  <c:v>43410</c:v>
                </c:pt>
                <c:pt idx="867">
                  <c:v>43411</c:v>
                </c:pt>
                <c:pt idx="868">
                  <c:v>43412</c:v>
                </c:pt>
                <c:pt idx="869">
                  <c:v>43413</c:v>
                </c:pt>
                <c:pt idx="870">
                  <c:v>43416</c:v>
                </c:pt>
                <c:pt idx="871">
                  <c:v>43417</c:v>
                </c:pt>
                <c:pt idx="872">
                  <c:v>43418</c:v>
                </c:pt>
                <c:pt idx="873">
                  <c:v>43419</c:v>
                </c:pt>
                <c:pt idx="874">
                  <c:v>43420</c:v>
                </c:pt>
                <c:pt idx="875">
                  <c:v>43423</c:v>
                </c:pt>
                <c:pt idx="876">
                  <c:v>43424</c:v>
                </c:pt>
                <c:pt idx="877">
                  <c:v>43425</c:v>
                </c:pt>
                <c:pt idx="878">
                  <c:v>43426</c:v>
                </c:pt>
                <c:pt idx="879">
                  <c:v>43427</c:v>
                </c:pt>
                <c:pt idx="880">
                  <c:v>43430</c:v>
                </c:pt>
                <c:pt idx="881">
                  <c:v>43431</c:v>
                </c:pt>
                <c:pt idx="882">
                  <c:v>43432</c:v>
                </c:pt>
                <c:pt idx="883">
                  <c:v>43433</c:v>
                </c:pt>
                <c:pt idx="884">
                  <c:v>43437</c:v>
                </c:pt>
                <c:pt idx="885">
                  <c:v>43438</c:v>
                </c:pt>
                <c:pt idx="886">
                  <c:v>43439</c:v>
                </c:pt>
                <c:pt idx="887">
                  <c:v>43440</c:v>
                </c:pt>
                <c:pt idx="888">
                  <c:v>43441</c:v>
                </c:pt>
                <c:pt idx="889">
                  <c:v>43444</c:v>
                </c:pt>
                <c:pt idx="890">
                  <c:v>43445</c:v>
                </c:pt>
                <c:pt idx="891">
                  <c:v>43446</c:v>
                </c:pt>
                <c:pt idx="892">
                  <c:v>43447</c:v>
                </c:pt>
                <c:pt idx="893">
                  <c:v>43448</c:v>
                </c:pt>
                <c:pt idx="894">
                  <c:v>43451</c:v>
                </c:pt>
                <c:pt idx="895">
                  <c:v>43452</c:v>
                </c:pt>
                <c:pt idx="896">
                  <c:v>43453</c:v>
                </c:pt>
                <c:pt idx="897">
                  <c:v>43454</c:v>
                </c:pt>
                <c:pt idx="898">
                  <c:v>43455</c:v>
                </c:pt>
                <c:pt idx="899">
                  <c:v>43460</c:v>
                </c:pt>
                <c:pt idx="900">
                  <c:v>43461</c:v>
                </c:pt>
                <c:pt idx="901">
                  <c:v>43462</c:v>
                </c:pt>
                <c:pt idx="902">
                  <c:v>43467</c:v>
                </c:pt>
                <c:pt idx="903">
                  <c:v>43468</c:v>
                </c:pt>
                <c:pt idx="904">
                  <c:v>43469</c:v>
                </c:pt>
                <c:pt idx="905">
                  <c:v>43472</c:v>
                </c:pt>
                <c:pt idx="906">
                  <c:v>43473</c:v>
                </c:pt>
                <c:pt idx="907">
                  <c:v>43474</c:v>
                </c:pt>
                <c:pt idx="908">
                  <c:v>43475</c:v>
                </c:pt>
                <c:pt idx="909">
                  <c:v>43476</c:v>
                </c:pt>
                <c:pt idx="910">
                  <c:v>43479</c:v>
                </c:pt>
                <c:pt idx="911">
                  <c:v>43480</c:v>
                </c:pt>
                <c:pt idx="912">
                  <c:v>43481</c:v>
                </c:pt>
                <c:pt idx="913">
                  <c:v>43482</c:v>
                </c:pt>
                <c:pt idx="914">
                  <c:v>43483</c:v>
                </c:pt>
                <c:pt idx="915">
                  <c:v>43486</c:v>
                </c:pt>
                <c:pt idx="916">
                  <c:v>43487</c:v>
                </c:pt>
                <c:pt idx="917">
                  <c:v>43488</c:v>
                </c:pt>
                <c:pt idx="918">
                  <c:v>43489</c:v>
                </c:pt>
                <c:pt idx="919">
                  <c:v>43490</c:v>
                </c:pt>
                <c:pt idx="920">
                  <c:v>43493</c:v>
                </c:pt>
                <c:pt idx="921">
                  <c:v>43494</c:v>
                </c:pt>
                <c:pt idx="922">
                  <c:v>43495</c:v>
                </c:pt>
                <c:pt idx="923">
                  <c:v>43496</c:v>
                </c:pt>
                <c:pt idx="924">
                  <c:v>43497</c:v>
                </c:pt>
                <c:pt idx="925">
                  <c:v>43500</c:v>
                </c:pt>
                <c:pt idx="926">
                  <c:v>43502</c:v>
                </c:pt>
                <c:pt idx="927">
                  <c:v>43503</c:v>
                </c:pt>
                <c:pt idx="928">
                  <c:v>43504</c:v>
                </c:pt>
                <c:pt idx="929">
                  <c:v>43507</c:v>
                </c:pt>
                <c:pt idx="930">
                  <c:v>43508</c:v>
                </c:pt>
                <c:pt idx="931">
                  <c:v>43509</c:v>
                </c:pt>
                <c:pt idx="932">
                  <c:v>43510</c:v>
                </c:pt>
                <c:pt idx="933">
                  <c:v>43511</c:v>
                </c:pt>
                <c:pt idx="934">
                  <c:v>43514</c:v>
                </c:pt>
                <c:pt idx="935">
                  <c:v>43515</c:v>
                </c:pt>
                <c:pt idx="936">
                  <c:v>43516</c:v>
                </c:pt>
                <c:pt idx="937">
                  <c:v>43517</c:v>
                </c:pt>
                <c:pt idx="938">
                  <c:v>43518</c:v>
                </c:pt>
                <c:pt idx="939">
                  <c:v>43522</c:v>
                </c:pt>
                <c:pt idx="940">
                  <c:v>43523</c:v>
                </c:pt>
                <c:pt idx="941">
                  <c:v>43524</c:v>
                </c:pt>
                <c:pt idx="942">
                  <c:v>43525</c:v>
                </c:pt>
                <c:pt idx="943">
                  <c:v>43528</c:v>
                </c:pt>
                <c:pt idx="944">
                  <c:v>43529</c:v>
                </c:pt>
                <c:pt idx="945">
                  <c:v>43530</c:v>
                </c:pt>
                <c:pt idx="946">
                  <c:v>43531</c:v>
                </c:pt>
                <c:pt idx="947">
                  <c:v>43532</c:v>
                </c:pt>
                <c:pt idx="948">
                  <c:v>43535</c:v>
                </c:pt>
                <c:pt idx="949">
                  <c:v>43536</c:v>
                </c:pt>
                <c:pt idx="950">
                  <c:v>43537</c:v>
                </c:pt>
                <c:pt idx="951">
                  <c:v>43538</c:v>
                </c:pt>
                <c:pt idx="952">
                  <c:v>43539</c:v>
                </c:pt>
                <c:pt idx="953">
                  <c:v>43542</c:v>
                </c:pt>
                <c:pt idx="954">
                  <c:v>43543</c:v>
                </c:pt>
                <c:pt idx="955">
                  <c:v>43544</c:v>
                </c:pt>
                <c:pt idx="956">
                  <c:v>43545</c:v>
                </c:pt>
                <c:pt idx="957">
                  <c:v>43546</c:v>
                </c:pt>
                <c:pt idx="958">
                  <c:v>43549</c:v>
                </c:pt>
                <c:pt idx="959">
                  <c:v>43550</c:v>
                </c:pt>
                <c:pt idx="960">
                  <c:v>43551</c:v>
                </c:pt>
                <c:pt idx="961">
                  <c:v>43552</c:v>
                </c:pt>
                <c:pt idx="962">
                  <c:v>43553</c:v>
                </c:pt>
                <c:pt idx="963">
                  <c:v>43556</c:v>
                </c:pt>
                <c:pt idx="964">
                  <c:v>43557</c:v>
                </c:pt>
                <c:pt idx="965">
                  <c:v>43558</c:v>
                </c:pt>
                <c:pt idx="966">
                  <c:v>43559</c:v>
                </c:pt>
                <c:pt idx="967">
                  <c:v>43560</c:v>
                </c:pt>
                <c:pt idx="968">
                  <c:v>43563</c:v>
                </c:pt>
                <c:pt idx="969">
                  <c:v>43565</c:v>
                </c:pt>
                <c:pt idx="970">
                  <c:v>43566</c:v>
                </c:pt>
                <c:pt idx="971">
                  <c:v>43567</c:v>
                </c:pt>
                <c:pt idx="972">
                  <c:v>43570</c:v>
                </c:pt>
                <c:pt idx="973">
                  <c:v>43571</c:v>
                </c:pt>
                <c:pt idx="974">
                  <c:v>43572</c:v>
                </c:pt>
                <c:pt idx="975">
                  <c:v>43577</c:v>
                </c:pt>
                <c:pt idx="976">
                  <c:v>43578</c:v>
                </c:pt>
                <c:pt idx="977">
                  <c:v>43579</c:v>
                </c:pt>
                <c:pt idx="978">
                  <c:v>43580</c:v>
                </c:pt>
                <c:pt idx="979">
                  <c:v>43581</c:v>
                </c:pt>
                <c:pt idx="980">
                  <c:v>43584</c:v>
                </c:pt>
                <c:pt idx="981">
                  <c:v>43585</c:v>
                </c:pt>
                <c:pt idx="982">
                  <c:v>43587</c:v>
                </c:pt>
                <c:pt idx="983">
                  <c:v>43588</c:v>
                </c:pt>
                <c:pt idx="984">
                  <c:v>43591</c:v>
                </c:pt>
                <c:pt idx="985">
                  <c:v>43592</c:v>
                </c:pt>
                <c:pt idx="986">
                  <c:v>43593</c:v>
                </c:pt>
                <c:pt idx="987">
                  <c:v>43594</c:v>
                </c:pt>
                <c:pt idx="988">
                  <c:v>43595</c:v>
                </c:pt>
                <c:pt idx="989">
                  <c:v>43598</c:v>
                </c:pt>
              </c:numCache>
            </c:numRef>
          </c:cat>
          <c:val>
            <c:numRef>
              <c:f>'HPI Stock Price May 15 - May 19'!$C$3:$C$1090</c:f>
              <c:numCache>
                <c:formatCode>0.00</c:formatCode>
                <c:ptCount val="1088"/>
                <c:pt idx="0">
                  <c:v>14.2</c:v>
                </c:pt>
                <c:pt idx="1">
                  <c:v>14.2</c:v>
                </c:pt>
                <c:pt idx="2">
                  <c:v>14</c:v>
                </c:pt>
                <c:pt idx="3">
                  <c:v>13.86</c:v>
                </c:pt>
                <c:pt idx="4">
                  <c:v>13.98</c:v>
                </c:pt>
                <c:pt idx="5">
                  <c:v>14.44</c:v>
                </c:pt>
                <c:pt idx="6">
                  <c:v>14.42</c:v>
                </c:pt>
                <c:pt idx="7">
                  <c:v>14.42</c:v>
                </c:pt>
                <c:pt idx="8">
                  <c:v>14.42</c:v>
                </c:pt>
                <c:pt idx="9">
                  <c:v>14.46</c:v>
                </c:pt>
                <c:pt idx="10">
                  <c:v>14.48</c:v>
                </c:pt>
                <c:pt idx="11">
                  <c:v>14.46</c:v>
                </c:pt>
                <c:pt idx="12">
                  <c:v>14.4</c:v>
                </c:pt>
                <c:pt idx="13">
                  <c:v>14.4</c:v>
                </c:pt>
                <c:pt idx="14">
                  <c:v>14.52</c:v>
                </c:pt>
                <c:pt idx="15">
                  <c:v>14.7</c:v>
                </c:pt>
                <c:pt idx="16">
                  <c:v>14.68</c:v>
                </c:pt>
                <c:pt idx="17">
                  <c:v>14.42</c:v>
                </c:pt>
                <c:pt idx="18">
                  <c:v>14.5</c:v>
                </c:pt>
                <c:pt idx="19">
                  <c:v>14.56</c:v>
                </c:pt>
                <c:pt idx="20">
                  <c:v>14.62</c:v>
                </c:pt>
                <c:pt idx="21">
                  <c:v>13.88</c:v>
                </c:pt>
                <c:pt idx="22">
                  <c:v>13.82</c:v>
                </c:pt>
                <c:pt idx="23">
                  <c:v>13.82</c:v>
                </c:pt>
                <c:pt idx="24">
                  <c:v>13.86</c:v>
                </c:pt>
                <c:pt idx="25">
                  <c:v>13.7</c:v>
                </c:pt>
                <c:pt idx="26">
                  <c:v>13.84</c:v>
                </c:pt>
                <c:pt idx="27">
                  <c:v>13.84</c:v>
                </c:pt>
                <c:pt idx="28">
                  <c:v>13.84</c:v>
                </c:pt>
                <c:pt idx="29">
                  <c:v>13.84</c:v>
                </c:pt>
                <c:pt idx="30">
                  <c:v>13.84</c:v>
                </c:pt>
                <c:pt idx="31">
                  <c:v>13.9</c:v>
                </c:pt>
                <c:pt idx="32">
                  <c:v>13.8</c:v>
                </c:pt>
                <c:pt idx="33">
                  <c:v>13.4</c:v>
                </c:pt>
                <c:pt idx="34">
                  <c:v>13.88</c:v>
                </c:pt>
                <c:pt idx="35">
                  <c:v>13.4</c:v>
                </c:pt>
                <c:pt idx="36">
                  <c:v>13.4</c:v>
                </c:pt>
                <c:pt idx="37">
                  <c:v>13.4</c:v>
                </c:pt>
                <c:pt idx="38">
                  <c:v>13.78</c:v>
                </c:pt>
                <c:pt idx="39">
                  <c:v>13.62</c:v>
                </c:pt>
                <c:pt idx="40">
                  <c:v>13.1</c:v>
                </c:pt>
                <c:pt idx="41">
                  <c:v>13.64</c:v>
                </c:pt>
                <c:pt idx="42">
                  <c:v>13.76</c:v>
                </c:pt>
                <c:pt idx="43">
                  <c:v>13.78</c:v>
                </c:pt>
                <c:pt idx="44">
                  <c:v>13.9</c:v>
                </c:pt>
                <c:pt idx="45">
                  <c:v>13.9</c:v>
                </c:pt>
                <c:pt idx="46">
                  <c:v>13.94</c:v>
                </c:pt>
                <c:pt idx="47">
                  <c:v>14</c:v>
                </c:pt>
                <c:pt idx="48">
                  <c:v>14</c:v>
                </c:pt>
                <c:pt idx="49">
                  <c:v>13.5</c:v>
                </c:pt>
                <c:pt idx="50">
                  <c:v>13.8</c:v>
                </c:pt>
                <c:pt idx="51">
                  <c:v>13.4</c:v>
                </c:pt>
                <c:pt idx="52">
                  <c:v>13.4</c:v>
                </c:pt>
                <c:pt idx="53">
                  <c:v>13.9</c:v>
                </c:pt>
                <c:pt idx="54">
                  <c:v>13.3</c:v>
                </c:pt>
                <c:pt idx="55">
                  <c:v>13.14</c:v>
                </c:pt>
                <c:pt idx="56">
                  <c:v>13.14</c:v>
                </c:pt>
                <c:pt idx="57">
                  <c:v>13.14</c:v>
                </c:pt>
                <c:pt idx="58">
                  <c:v>13.16</c:v>
                </c:pt>
                <c:pt idx="59">
                  <c:v>13.16</c:v>
                </c:pt>
                <c:pt idx="60">
                  <c:v>13.16</c:v>
                </c:pt>
                <c:pt idx="61">
                  <c:v>13.88</c:v>
                </c:pt>
                <c:pt idx="62">
                  <c:v>13.6</c:v>
                </c:pt>
                <c:pt idx="63">
                  <c:v>13.56</c:v>
                </c:pt>
                <c:pt idx="64">
                  <c:v>13.4</c:v>
                </c:pt>
                <c:pt idx="65">
                  <c:v>13.4</c:v>
                </c:pt>
                <c:pt idx="66">
                  <c:v>13.3</c:v>
                </c:pt>
                <c:pt idx="67">
                  <c:v>13.3</c:v>
                </c:pt>
                <c:pt idx="68">
                  <c:v>13.3</c:v>
                </c:pt>
                <c:pt idx="69">
                  <c:v>13.26</c:v>
                </c:pt>
                <c:pt idx="70">
                  <c:v>13.22</c:v>
                </c:pt>
                <c:pt idx="71">
                  <c:v>13.1</c:v>
                </c:pt>
                <c:pt idx="72">
                  <c:v>13.1</c:v>
                </c:pt>
                <c:pt idx="73">
                  <c:v>12.6</c:v>
                </c:pt>
                <c:pt idx="74">
                  <c:v>12</c:v>
                </c:pt>
                <c:pt idx="75">
                  <c:v>12.98</c:v>
                </c:pt>
                <c:pt idx="76">
                  <c:v>13</c:v>
                </c:pt>
                <c:pt idx="77">
                  <c:v>13.1</c:v>
                </c:pt>
                <c:pt idx="78">
                  <c:v>13.4</c:v>
                </c:pt>
                <c:pt idx="79">
                  <c:v>13.4</c:v>
                </c:pt>
                <c:pt idx="80">
                  <c:v>13.48</c:v>
                </c:pt>
                <c:pt idx="81">
                  <c:v>13.42</c:v>
                </c:pt>
                <c:pt idx="82">
                  <c:v>13.44</c:v>
                </c:pt>
                <c:pt idx="83">
                  <c:v>13.48</c:v>
                </c:pt>
                <c:pt idx="84">
                  <c:v>13.5</c:v>
                </c:pt>
                <c:pt idx="85">
                  <c:v>13.8</c:v>
                </c:pt>
                <c:pt idx="86">
                  <c:v>13.78</c:v>
                </c:pt>
                <c:pt idx="87">
                  <c:v>13.78</c:v>
                </c:pt>
                <c:pt idx="88">
                  <c:v>13.78</c:v>
                </c:pt>
                <c:pt idx="89">
                  <c:v>13.8</c:v>
                </c:pt>
                <c:pt idx="90">
                  <c:v>13.72</c:v>
                </c:pt>
                <c:pt idx="91">
                  <c:v>13.8</c:v>
                </c:pt>
                <c:pt idx="92">
                  <c:v>13.38</c:v>
                </c:pt>
                <c:pt idx="93">
                  <c:v>13</c:v>
                </c:pt>
                <c:pt idx="94">
                  <c:v>13</c:v>
                </c:pt>
                <c:pt idx="95" formatCode="General">
                  <c:v>#N/A</c:v>
                </c:pt>
                <c:pt idx="96">
                  <c:v>13</c:v>
                </c:pt>
                <c:pt idx="97">
                  <c:v>12.9</c:v>
                </c:pt>
                <c:pt idx="98">
                  <c:v>12.9</c:v>
                </c:pt>
                <c:pt idx="99">
                  <c:v>12.9</c:v>
                </c:pt>
                <c:pt idx="100">
                  <c:v>12.9</c:v>
                </c:pt>
                <c:pt idx="101">
                  <c:v>12.9</c:v>
                </c:pt>
                <c:pt idx="102">
                  <c:v>12.8</c:v>
                </c:pt>
                <c:pt idx="103">
                  <c:v>13</c:v>
                </c:pt>
                <c:pt idx="104">
                  <c:v>13</c:v>
                </c:pt>
                <c:pt idx="105">
                  <c:v>13</c:v>
                </c:pt>
                <c:pt idx="106">
                  <c:v>13</c:v>
                </c:pt>
                <c:pt idx="107">
                  <c:v>13</c:v>
                </c:pt>
                <c:pt idx="108">
                  <c:v>13</c:v>
                </c:pt>
                <c:pt idx="109">
                  <c:v>13.6</c:v>
                </c:pt>
                <c:pt idx="110">
                  <c:v>12.7</c:v>
                </c:pt>
                <c:pt idx="111">
                  <c:v>13.58</c:v>
                </c:pt>
                <c:pt idx="112">
                  <c:v>13</c:v>
                </c:pt>
                <c:pt idx="113">
                  <c:v>13</c:v>
                </c:pt>
                <c:pt idx="114">
                  <c:v>13</c:v>
                </c:pt>
                <c:pt idx="115">
                  <c:v>13.58</c:v>
                </c:pt>
                <c:pt idx="116">
                  <c:v>13.02</c:v>
                </c:pt>
                <c:pt idx="117">
                  <c:v>13.1</c:v>
                </c:pt>
                <c:pt idx="118">
                  <c:v>13.1</c:v>
                </c:pt>
                <c:pt idx="119">
                  <c:v>13.1</c:v>
                </c:pt>
                <c:pt idx="120">
                  <c:v>13.64</c:v>
                </c:pt>
                <c:pt idx="121">
                  <c:v>14.2</c:v>
                </c:pt>
                <c:pt idx="122">
                  <c:v>14.6</c:v>
                </c:pt>
                <c:pt idx="123">
                  <c:v>14</c:v>
                </c:pt>
                <c:pt idx="124">
                  <c:v>14</c:v>
                </c:pt>
                <c:pt idx="125">
                  <c:v>14</c:v>
                </c:pt>
                <c:pt idx="126">
                  <c:v>13.32</c:v>
                </c:pt>
                <c:pt idx="127">
                  <c:v>13.32</c:v>
                </c:pt>
                <c:pt idx="128">
                  <c:v>13.4</c:v>
                </c:pt>
                <c:pt idx="129">
                  <c:v>14.4</c:v>
                </c:pt>
                <c:pt idx="130">
                  <c:v>14.46</c:v>
                </c:pt>
                <c:pt idx="131">
                  <c:v>14.62</c:v>
                </c:pt>
                <c:pt idx="132">
                  <c:v>14.6</c:v>
                </c:pt>
                <c:pt idx="133">
                  <c:v>14.5</c:v>
                </c:pt>
                <c:pt idx="134">
                  <c:v>14.5</c:v>
                </c:pt>
                <c:pt idx="135">
                  <c:v>14.5</c:v>
                </c:pt>
                <c:pt idx="136">
                  <c:v>14.62</c:v>
                </c:pt>
                <c:pt idx="137">
                  <c:v>14.8</c:v>
                </c:pt>
                <c:pt idx="138">
                  <c:v>14.9</c:v>
                </c:pt>
                <c:pt idx="139">
                  <c:v>14.9</c:v>
                </c:pt>
                <c:pt idx="140">
                  <c:v>14.8</c:v>
                </c:pt>
                <c:pt idx="141">
                  <c:v>14.52</c:v>
                </c:pt>
                <c:pt idx="142">
                  <c:v>14.8</c:v>
                </c:pt>
                <c:pt idx="143">
                  <c:v>14.8</c:v>
                </c:pt>
                <c:pt idx="144">
                  <c:v>14.8</c:v>
                </c:pt>
                <c:pt idx="145">
                  <c:v>14.5</c:v>
                </c:pt>
                <c:pt idx="146">
                  <c:v>14.22</c:v>
                </c:pt>
                <c:pt idx="147">
                  <c:v>14.24</c:v>
                </c:pt>
                <c:pt idx="148">
                  <c:v>14.5</c:v>
                </c:pt>
                <c:pt idx="149">
                  <c:v>14.5</c:v>
                </c:pt>
                <c:pt idx="150">
                  <c:v>14.4</c:v>
                </c:pt>
                <c:pt idx="151">
                  <c:v>14.26</c:v>
                </c:pt>
                <c:pt idx="152">
                  <c:v>14.26</c:v>
                </c:pt>
                <c:pt idx="153">
                  <c:v>14.5</c:v>
                </c:pt>
                <c:pt idx="154">
                  <c:v>14.5</c:v>
                </c:pt>
                <c:pt idx="155">
                  <c:v>14.2</c:v>
                </c:pt>
                <c:pt idx="156">
                  <c:v>14.26</c:v>
                </c:pt>
                <c:pt idx="157">
                  <c:v>14.24</c:v>
                </c:pt>
                <c:pt idx="158">
                  <c:v>14.24</c:v>
                </c:pt>
                <c:pt idx="159">
                  <c:v>14.24</c:v>
                </c:pt>
                <c:pt idx="160">
                  <c:v>14.24</c:v>
                </c:pt>
                <c:pt idx="161">
                  <c:v>14.26</c:v>
                </c:pt>
                <c:pt idx="162">
                  <c:v>14.26</c:v>
                </c:pt>
                <c:pt idx="163">
                  <c:v>14.3</c:v>
                </c:pt>
                <c:pt idx="164">
                  <c:v>14</c:v>
                </c:pt>
                <c:pt idx="165">
                  <c:v>13.82</c:v>
                </c:pt>
                <c:pt idx="166">
                  <c:v>13.8</c:v>
                </c:pt>
                <c:pt idx="167">
                  <c:v>13.9</c:v>
                </c:pt>
                <c:pt idx="168">
                  <c:v>14.3</c:v>
                </c:pt>
                <c:pt idx="169">
                  <c:v>13.3</c:v>
                </c:pt>
                <c:pt idx="170">
                  <c:v>14.28</c:v>
                </c:pt>
                <c:pt idx="171">
                  <c:v>13.54</c:v>
                </c:pt>
                <c:pt idx="172">
                  <c:v>14.2</c:v>
                </c:pt>
                <c:pt idx="173">
                  <c:v>13.52</c:v>
                </c:pt>
                <c:pt idx="174">
                  <c:v>13.52</c:v>
                </c:pt>
                <c:pt idx="175">
                  <c:v>13.52</c:v>
                </c:pt>
                <c:pt idx="176">
                  <c:v>13.52</c:v>
                </c:pt>
                <c:pt idx="177">
                  <c:v>13.52</c:v>
                </c:pt>
                <c:pt idx="178">
                  <c:v>13.52</c:v>
                </c:pt>
                <c:pt idx="179">
                  <c:v>14.3</c:v>
                </c:pt>
                <c:pt idx="180">
                  <c:v>14.3</c:v>
                </c:pt>
                <c:pt idx="181">
                  <c:v>14.28</c:v>
                </c:pt>
                <c:pt idx="182">
                  <c:v>14.3</c:v>
                </c:pt>
                <c:pt idx="183">
                  <c:v>13.54</c:v>
                </c:pt>
                <c:pt idx="184">
                  <c:v>13.58</c:v>
                </c:pt>
                <c:pt idx="185">
                  <c:v>13.8</c:v>
                </c:pt>
                <c:pt idx="186">
                  <c:v>14.3</c:v>
                </c:pt>
                <c:pt idx="187">
                  <c:v>14.3</c:v>
                </c:pt>
                <c:pt idx="188">
                  <c:v>14.02</c:v>
                </c:pt>
                <c:pt idx="189">
                  <c:v>13.9</c:v>
                </c:pt>
                <c:pt idx="190">
                  <c:v>13.9</c:v>
                </c:pt>
                <c:pt idx="191">
                  <c:v>13.6</c:v>
                </c:pt>
                <c:pt idx="192">
                  <c:v>13.58</c:v>
                </c:pt>
                <c:pt idx="193">
                  <c:v>13.96</c:v>
                </c:pt>
                <c:pt idx="194">
                  <c:v>13.98</c:v>
                </c:pt>
                <c:pt idx="195">
                  <c:v>13.8</c:v>
                </c:pt>
                <c:pt idx="196">
                  <c:v>13.8</c:v>
                </c:pt>
                <c:pt idx="197">
                  <c:v>13.64</c:v>
                </c:pt>
                <c:pt idx="198">
                  <c:v>13.8</c:v>
                </c:pt>
                <c:pt idx="199">
                  <c:v>14</c:v>
                </c:pt>
                <c:pt idx="200">
                  <c:v>14</c:v>
                </c:pt>
                <c:pt idx="201">
                  <c:v>14</c:v>
                </c:pt>
                <c:pt idx="202">
                  <c:v>14</c:v>
                </c:pt>
                <c:pt idx="203">
                  <c:v>13.8</c:v>
                </c:pt>
                <c:pt idx="204">
                  <c:v>13.82</c:v>
                </c:pt>
                <c:pt idx="205">
                  <c:v>13.86</c:v>
                </c:pt>
                <c:pt idx="206">
                  <c:v>13.82</c:v>
                </c:pt>
                <c:pt idx="207">
                  <c:v>13.72</c:v>
                </c:pt>
                <c:pt idx="208">
                  <c:v>13.7</c:v>
                </c:pt>
                <c:pt idx="209">
                  <c:v>13.9</c:v>
                </c:pt>
                <c:pt idx="210">
                  <c:v>13.9</c:v>
                </c:pt>
                <c:pt idx="211">
                  <c:v>13.9</c:v>
                </c:pt>
                <c:pt idx="212">
                  <c:v>13.72</c:v>
                </c:pt>
                <c:pt idx="213">
                  <c:v>13.9</c:v>
                </c:pt>
                <c:pt idx="214">
                  <c:v>13.9</c:v>
                </c:pt>
                <c:pt idx="215">
                  <c:v>13.8</c:v>
                </c:pt>
                <c:pt idx="216">
                  <c:v>13.8</c:v>
                </c:pt>
                <c:pt idx="217">
                  <c:v>13.84</c:v>
                </c:pt>
                <c:pt idx="218">
                  <c:v>13.8</c:v>
                </c:pt>
                <c:pt idx="219">
                  <c:v>13.8</c:v>
                </c:pt>
                <c:pt idx="220">
                  <c:v>13.78</c:v>
                </c:pt>
                <c:pt idx="221">
                  <c:v>13.9</c:v>
                </c:pt>
                <c:pt idx="222">
                  <c:v>13.98</c:v>
                </c:pt>
                <c:pt idx="223">
                  <c:v>13.96</c:v>
                </c:pt>
                <c:pt idx="224">
                  <c:v>13.76</c:v>
                </c:pt>
                <c:pt idx="225">
                  <c:v>13.78</c:v>
                </c:pt>
                <c:pt idx="226">
                  <c:v>13.78</c:v>
                </c:pt>
                <c:pt idx="227">
                  <c:v>13.8</c:v>
                </c:pt>
                <c:pt idx="228">
                  <c:v>13.88</c:v>
                </c:pt>
                <c:pt idx="229">
                  <c:v>13.76</c:v>
                </c:pt>
                <c:pt idx="230">
                  <c:v>13.8</c:v>
                </c:pt>
                <c:pt idx="231">
                  <c:v>13.76</c:v>
                </c:pt>
                <c:pt idx="232">
                  <c:v>13.9</c:v>
                </c:pt>
                <c:pt idx="233">
                  <c:v>13.96</c:v>
                </c:pt>
                <c:pt idx="234">
                  <c:v>13.98</c:v>
                </c:pt>
                <c:pt idx="235">
                  <c:v>14</c:v>
                </c:pt>
                <c:pt idx="236">
                  <c:v>14</c:v>
                </c:pt>
                <c:pt idx="237">
                  <c:v>13.92</c:v>
                </c:pt>
                <c:pt idx="238">
                  <c:v>14</c:v>
                </c:pt>
                <c:pt idx="239">
                  <c:v>14</c:v>
                </c:pt>
                <c:pt idx="240">
                  <c:v>14</c:v>
                </c:pt>
                <c:pt idx="241">
                  <c:v>14.04</c:v>
                </c:pt>
                <c:pt idx="242">
                  <c:v>14.2</c:v>
                </c:pt>
                <c:pt idx="243">
                  <c:v>14.26</c:v>
                </c:pt>
                <c:pt idx="244">
                  <c:v>14.26</c:v>
                </c:pt>
                <c:pt idx="245">
                  <c:v>14.2</c:v>
                </c:pt>
                <c:pt idx="246">
                  <c:v>14</c:v>
                </c:pt>
                <c:pt idx="247">
                  <c:v>14</c:v>
                </c:pt>
                <c:pt idx="248">
                  <c:v>14</c:v>
                </c:pt>
                <c:pt idx="249">
                  <c:v>14.32</c:v>
                </c:pt>
                <c:pt idx="250">
                  <c:v>14.4</c:v>
                </c:pt>
                <c:pt idx="251">
                  <c:v>14.58</c:v>
                </c:pt>
                <c:pt idx="252">
                  <c:v>14.92</c:v>
                </c:pt>
                <c:pt idx="253">
                  <c:v>15.4</c:v>
                </c:pt>
                <c:pt idx="254">
                  <c:v>15.2</c:v>
                </c:pt>
                <c:pt idx="255">
                  <c:v>15.5</c:v>
                </c:pt>
                <c:pt idx="256">
                  <c:v>15.1</c:v>
                </c:pt>
                <c:pt idx="257">
                  <c:v>15.02</c:v>
                </c:pt>
                <c:pt idx="258">
                  <c:v>15.06</c:v>
                </c:pt>
                <c:pt idx="259">
                  <c:v>15.04</c:v>
                </c:pt>
                <c:pt idx="260">
                  <c:v>15.02</c:v>
                </c:pt>
                <c:pt idx="261">
                  <c:v>15.04</c:v>
                </c:pt>
                <c:pt idx="262">
                  <c:v>15.1</c:v>
                </c:pt>
                <c:pt idx="263">
                  <c:v>15.1</c:v>
                </c:pt>
                <c:pt idx="264">
                  <c:v>15.14</c:v>
                </c:pt>
                <c:pt idx="265">
                  <c:v>15.1</c:v>
                </c:pt>
                <c:pt idx="266">
                  <c:v>15.22</c:v>
                </c:pt>
                <c:pt idx="267">
                  <c:v>15.1</c:v>
                </c:pt>
                <c:pt idx="268">
                  <c:v>15.2</c:v>
                </c:pt>
                <c:pt idx="269">
                  <c:v>15.3</c:v>
                </c:pt>
                <c:pt idx="270">
                  <c:v>15.3</c:v>
                </c:pt>
                <c:pt idx="271">
                  <c:v>14.64</c:v>
                </c:pt>
                <c:pt idx="272">
                  <c:v>14.7</c:v>
                </c:pt>
                <c:pt idx="273">
                  <c:v>14.66</c:v>
                </c:pt>
                <c:pt idx="274">
                  <c:v>14.72</c:v>
                </c:pt>
                <c:pt idx="275">
                  <c:v>14.66</c:v>
                </c:pt>
                <c:pt idx="276">
                  <c:v>15</c:v>
                </c:pt>
                <c:pt idx="277">
                  <c:v>14.8</c:v>
                </c:pt>
                <c:pt idx="278">
                  <c:v>15</c:v>
                </c:pt>
                <c:pt idx="279">
                  <c:v>15.14</c:v>
                </c:pt>
                <c:pt idx="280">
                  <c:v>15.1</c:v>
                </c:pt>
                <c:pt idx="281">
                  <c:v>14.84</c:v>
                </c:pt>
                <c:pt idx="282">
                  <c:v>15</c:v>
                </c:pt>
                <c:pt idx="283">
                  <c:v>15</c:v>
                </c:pt>
                <c:pt idx="284">
                  <c:v>15</c:v>
                </c:pt>
                <c:pt idx="285">
                  <c:v>15.1</c:v>
                </c:pt>
                <c:pt idx="286">
                  <c:v>15.2</c:v>
                </c:pt>
                <c:pt idx="287">
                  <c:v>15.3</c:v>
                </c:pt>
                <c:pt idx="288">
                  <c:v>15.2</c:v>
                </c:pt>
                <c:pt idx="289">
                  <c:v>15.2</c:v>
                </c:pt>
                <c:pt idx="290">
                  <c:v>15.2</c:v>
                </c:pt>
                <c:pt idx="291">
                  <c:v>15.2</c:v>
                </c:pt>
                <c:pt idx="292">
                  <c:v>15.22</c:v>
                </c:pt>
                <c:pt idx="293">
                  <c:v>15.22</c:v>
                </c:pt>
                <c:pt idx="294">
                  <c:v>15.18</c:v>
                </c:pt>
                <c:pt idx="295">
                  <c:v>15.2</c:v>
                </c:pt>
                <c:pt idx="296">
                  <c:v>15.2</c:v>
                </c:pt>
                <c:pt idx="297">
                  <c:v>15.1</c:v>
                </c:pt>
                <c:pt idx="298">
                  <c:v>15.04</c:v>
                </c:pt>
                <c:pt idx="299">
                  <c:v>15</c:v>
                </c:pt>
                <c:pt idx="300">
                  <c:v>15.22</c:v>
                </c:pt>
                <c:pt idx="301">
                  <c:v>15.72</c:v>
                </c:pt>
                <c:pt idx="302">
                  <c:v>15.66</c:v>
                </c:pt>
                <c:pt idx="303">
                  <c:v>15.64</c:v>
                </c:pt>
                <c:pt idx="304">
                  <c:v>15.88</c:v>
                </c:pt>
                <c:pt idx="305">
                  <c:v>16.46</c:v>
                </c:pt>
                <c:pt idx="306">
                  <c:v>16.88</c:v>
                </c:pt>
                <c:pt idx="307">
                  <c:v>16.600000000000001</c:v>
                </c:pt>
                <c:pt idx="308">
                  <c:v>16.739999999999998</c:v>
                </c:pt>
                <c:pt idx="309">
                  <c:v>16.440000000000001</c:v>
                </c:pt>
                <c:pt idx="310">
                  <c:v>16.399999999999999</c:v>
                </c:pt>
                <c:pt idx="311">
                  <c:v>16.3</c:v>
                </c:pt>
                <c:pt idx="312">
                  <c:v>16.28</c:v>
                </c:pt>
                <c:pt idx="313">
                  <c:v>16.04</c:v>
                </c:pt>
                <c:pt idx="314">
                  <c:v>16</c:v>
                </c:pt>
                <c:pt idx="315">
                  <c:v>16.100000000000001</c:v>
                </c:pt>
                <c:pt idx="316">
                  <c:v>16.22</c:v>
                </c:pt>
                <c:pt idx="317">
                  <c:v>16.22</c:v>
                </c:pt>
                <c:pt idx="318">
                  <c:v>15.9</c:v>
                </c:pt>
                <c:pt idx="319">
                  <c:v>15.9</c:v>
                </c:pt>
                <c:pt idx="320">
                  <c:v>16</c:v>
                </c:pt>
                <c:pt idx="321">
                  <c:v>15.96</c:v>
                </c:pt>
                <c:pt idx="322">
                  <c:v>16.239999999999998</c:v>
                </c:pt>
                <c:pt idx="323">
                  <c:v>16</c:v>
                </c:pt>
                <c:pt idx="324">
                  <c:v>16.5</c:v>
                </c:pt>
                <c:pt idx="325">
                  <c:v>16.68</c:v>
                </c:pt>
                <c:pt idx="326">
                  <c:v>16.7</c:v>
                </c:pt>
                <c:pt idx="327">
                  <c:v>16.600000000000001</c:v>
                </c:pt>
                <c:pt idx="328">
                  <c:v>16.5</c:v>
                </c:pt>
                <c:pt idx="329">
                  <c:v>16.54</c:v>
                </c:pt>
                <c:pt idx="330">
                  <c:v>16.5</c:v>
                </c:pt>
                <c:pt idx="331">
                  <c:v>16.54</c:v>
                </c:pt>
                <c:pt idx="332">
                  <c:v>16.46</c:v>
                </c:pt>
                <c:pt idx="333">
                  <c:v>16.46</c:v>
                </c:pt>
                <c:pt idx="334">
                  <c:v>16.440000000000001</c:v>
                </c:pt>
                <c:pt idx="335">
                  <c:v>16.399999999999999</c:v>
                </c:pt>
                <c:pt idx="336">
                  <c:v>16.399999999999999</c:v>
                </c:pt>
                <c:pt idx="337">
                  <c:v>16.3</c:v>
                </c:pt>
                <c:pt idx="338">
                  <c:v>16.36</c:v>
                </c:pt>
                <c:pt idx="339">
                  <c:v>16.36</c:v>
                </c:pt>
                <c:pt idx="340">
                  <c:v>16.579999999999998</c:v>
                </c:pt>
                <c:pt idx="341">
                  <c:v>16.600000000000001</c:v>
                </c:pt>
                <c:pt idx="342">
                  <c:v>16.600000000000001</c:v>
                </c:pt>
                <c:pt idx="343">
                  <c:v>16.600000000000001</c:v>
                </c:pt>
                <c:pt idx="344">
                  <c:v>16.5</c:v>
                </c:pt>
                <c:pt idx="345">
                  <c:v>16.399999999999999</c:v>
                </c:pt>
                <c:pt idx="346">
                  <c:v>16.34</c:v>
                </c:pt>
                <c:pt idx="347">
                  <c:v>16.559999999999999</c:v>
                </c:pt>
                <c:pt idx="348">
                  <c:v>16.399999999999999</c:v>
                </c:pt>
                <c:pt idx="349">
                  <c:v>16.399999999999999</c:v>
                </c:pt>
                <c:pt idx="350">
                  <c:v>16.48</c:v>
                </c:pt>
                <c:pt idx="351">
                  <c:v>16.5</c:v>
                </c:pt>
                <c:pt idx="352">
                  <c:v>16.36</c:v>
                </c:pt>
                <c:pt idx="353">
                  <c:v>16.399999999999999</c:v>
                </c:pt>
                <c:pt idx="354">
                  <c:v>16.3</c:v>
                </c:pt>
                <c:pt idx="355">
                  <c:v>16.28</c:v>
                </c:pt>
                <c:pt idx="356">
                  <c:v>16.2</c:v>
                </c:pt>
                <c:pt idx="357">
                  <c:v>16.2</c:v>
                </c:pt>
                <c:pt idx="358">
                  <c:v>16.2</c:v>
                </c:pt>
                <c:pt idx="359">
                  <c:v>16.2</c:v>
                </c:pt>
                <c:pt idx="360">
                  <c:v>16.2</c:v>
                </c:pt>
                <c:pt idx="361">
                  <c:v>16.48</c:v>
                </c:pt>
                <c:pt idx="362">
                  <c:v>16.52</c:v>
                </c:pt>
                <c:pt idx="363">
                  <c:v>16.600000000000001</c:v>
                </c:pt>
                <c:pt idx="364">
                  <c:v>16.600000000000001</c:v>
                </c:pt>
                <c:pt idx="365">
                  <c:v>16.600000000000001</c:v>
                </c:pt>
                <c:pt idx="366">
                  <c:v>16.5</c:v>
                </c:pt>
                <c:pt idx="367">
                  <c:v>16.66</c:v>
                </c:pt>
                <c:pt idx="368">
                  <c:v>16.600000000000001</c:v>
                </c:pt>
                <c:pt idx="369">
                  <c:v>16.64</c:v>
                </c:pt>
                <c:pt idx="370">
                  <c:v>16.7</c:v>
                </c:pt>
                <c:pt idx="371">
                  <c:v>16.78</c:v>
                </c:pt>
                <c:pt idx="372">
                  <c:v>16.82</c:v>
                </c:pt>
                <c:pt idx="373">
                  <c:v>16.84</c:v>
                </c:pt>
                <c:pt idx="374">
                  <c:v>16.8</c:v>
                </c:pt>
                <c:pt idx="375">
                  <c:v>17.079999999999998</c:v>
                </c:pt>
                <c:pt idx="376">
                  <c:v>16.899999999999999</c:v>
                </c:pt>
                <c:pt idx="377">
                  <c:v>16.8</c:v>
                </c:pt>
                <c:pt idx="378">
                  <c:v>16.84</c:v>
                </c:pt>
                <c:pt idx="379">
                  <c:v>16.82</c:v>
                </c:pt>
                <c:pt idx="380">
                  <c:v>16.82</c:v>
                </c:pt>
                <c:pt idx="381">
                  <c:v>16.5</c:v>
                </c:pt>
                <c:pt idx="382">
                  <c:v>16.22</c:v>
                </c:pt>
                <c:pt idx="383">
                  <c:v>16.22</c:v>
                </c:pt>
                <c:pt idx="384">
                  <c:v>15.94</c:v>
                </c:pt>
                <c:pt idx="385">
                  <c:v>15.94</c:v>
                </c:pt>
                <c:pt idx="386">
                  <c:v>16</c:v>
                </c:pt>
                <c:pt idx="387">
                  <c:v>15.74</c:v>
                </c:pt>
                <c:pt idx="388">
                  <c:v>15.64</c:v>
                </c:pt>
                <c:pt idx="389">
                  <c:v>15.64</c:v>
                </c:pt>
                <c:pt idx="390">
                  <c:v>15.7</c:v>
                </c:pt>
                <c:pt idx="391">
                  <c:v>15.66</c:v>
                </c:pt>
                <c:pt idx="392">
                  <c:v>15.8</c:v>
                </c:pt>
                <c:pt idx="393">
                  <c:v>15.8</c:v>
                </c:pt>
                <c:pt idx="394">
                  <c:v>16.18</c:v>
                </c:pt>
                <c:pt idx="395">
                  <c:v>16.54</c:v>
                </c:pt>
                <c:pt idx="396">
                  <c:v>16.739999999999998</c:v>
                </c:pt>
                <c:pt idx="397">
                  <c:v>16.84</c:v>
                </c:pt>
                <c:pt idx="398">
                  <c:v>16.8</c:v>
                </c:pt>
                <c:pt idx="399">
                  <c:v>16.8</c:v>
                </c:pt>
                <c:pt idx="400">
                  <c:v>16.04</c:v>
                </c:pt>
                <c:pt idx="401">
                  <c:v>16</c:v>
                </c:pt>
                <c:pt idx="402">
                  <c:v>15.9</c:v>
                </c:pt>
                <c:pt idx="403">
                  <c:v>16</c:v>
                </c:pt>
                <c:pt idx="404">
                  <c:v>16.5</c:v>
                </c:pt>
                <c:pt idx="405">
                  <c:v>16.52</c:v>
                </c:pt>
                <c:pt idx="406">
                  <c:v>16.5</c:v>
                </c:pt>
                <c:pt idx="407">
                  <c:v>16.5</c:v>
                </c:pt>
                <c:pt idx="408">
                  <c:v>16.5</c:v>
                </c:pt>
                <c:pt idx="409">
                  <c:v>16.5</c:v>
                </c:pt>
                <c:pt idx="410">
                  <c:v>16.3</c:v>
                </c:pt>
                <c:pt idx="411">
                  <c:v>16.5</c:v>
                </c:pt>
                <c:pt idx="412">
                  <c:v>16.48</c:v>
                </c:pt>
                <c:pt idx="413">
                  <c:v>16.48</c:v>
                </c:pt>
                <c:pt idx="414">
                  <c:v>16.5</c:v>
                </c:pt>
                <c:pt idx="415">
                  <c:v>16.5</c:v>
                </c:pt>
                <c:pt idx="416">
                  <c:v>16.02</c:v>
                </c:pt>
                <c:pt idx="417">
                  <c:v>16.02</c:v>
                </c:pt>
                <c:pt idx="418">
                  <c:v>16.04</c:v>
                </c:pt>
                <c:pt idx="419">
                  <c:v>16.059999999999999</c:v>
                </c:pt>
                <c:pt idx="420">
                  <c:v>16.100000000000001</c:v>
                </c:pt>
                <c:pt idx="421">
                  <c:v>16.3</c:v>
                </c:pt>
                <c:pt idx="422">
                  <c:v>16.3</c:v>
                </c:pt>
                <c:pt idx="423">
                  <c:v>16.5</c:v>
                </c:pt>
                <c:pt idx="424">
                  <c:v>16.5</c:v>
                </c:pt>
                <c:pt idx="425">
                  <c:v>16.5</c:v>
                </c:pt>
                <c:pt idx="426">
                  <c:v>16.600000000000001</c:v>
                </c:pt>
                <c:pt idx="427">
                  <c:v>16.5</c:v>
                </c:pt>
                <c:pt idx="428">
                  <c:v>16.5</c:v>
                </c:pt>
                <c:pt idx="429">
                  <c:v>16.600000000000001</c:v>
                </c:pt>
                <c:pt idx="430">
                  <c:v>16.600000000000001</c:v>
                </c:pt>
                <c:pt idx="431">
                  <c:v>16.7</c:v>
                </c:pt>
                <c:pt idx="432">
                  <c:v>16.7</c:v>
                </c:pt>
                <c:pt idx="433">
                  <c:v>17.100000000000001</c:v>
                </c:pt>
                <c:pt idx="434">
                  <c:v>17.100000000000001</c:v>
                </c:pt>
                <c:pt idx="435">
                  <c:v>17.100000000000001</c:v>
                </c:pt>
                <c:pt idx="436">
                  <c:v>17.2</c:v>
                </c:pt>
                <c:pt idx="437">
                  <c:v>17.079999999999998</c:v>
                </c:pt>
                <c:pt idx="438">
                  <c:v>17.28</c:v>
                </c:pt>
                <c:pt idx="439">
                  <c:v>17.239999999999998</c:v>
                </c:pt>
                <c:pt idx="440">
                  <c:v>17.059999999999999</c:v>
                </c:pt>
                <c:pt idx="441">
                  <c:v>17</c:v>
                </c:pt>
                <c:pt idx="442">
                  <c:v>17.04</c:v>
                </c:pt>
                <c:pt idx="443">
                  <c:v>17.12</c:v>
                </c:pt>
                <c:pt idx="444">
                  <c:v>17.18</c:v>
                </c:pt>
                <c:pt idx="445">
                  <c:v>17.18</c:v>
                </c:pt>
                <c:pt idx="446">
                  <c:v>17.100000000000001</c:v>
                </c:pt>
                <c:pt idx="447">
                  <c:v>16.78</c:v>
                </c:pt>
                <c:pt idx="448">
                  <c:v>17</c:v>
                </c:pt>
                <c:pt idx="449">
                  <c:v>17</c:v>
                </c:pt>
                <c:pt idx="450">
                  <c:v>17</c:v>
                </c:pt>
                <c:pt idx="451">
                  <c:v>17</c:v>
                </c:pt>
                <c:pt idx="452">
                  <c:v>16.88</c:v>
                </c:pt>
                <c:pt idx="453">
                  <c:v>16.8</c:v>
                </c:pt>
                <c:pt idx="454">
                  <c:v>16.399999999999999</c:v>
                </c:pt>
                <c:pt idx="455">
                  <c:v>16</c:v>
                </c:pt>
                <c:pt idx="456">
                  <c:v>15.88</c:v>
                </c:pt>
                <c:pt idx="457">
                  <c:v>15.88</c:v>
                </c:pt>
                <c:pt idx="458">
                  <c:v>15.9</c:v>
                </c:pt>
                <c:pt idx="459">
                  <c:v>15.82</c:v>
                </c:pt>
                <c:pt idx="460">
                  <c:v>15.8</c:v>
                </c:pt>
                <c:pt idx="461">
                  <c:v>15.7</c:v>
                </c:pt>
                <c:pt idx="462">
                  <c:v>15.7</c:v>
                </c:pt>
                <c:pt idx="463">
                  <c:v>15.78</c:v>
                </c:pt>
                <c:pt idx="464">
                  <c:v>15.68</c:v>
                </c:pt>
                <c:pt idx="465">
                  <c:v>15.7</c:v>
                </c:pt>
                <c:pt idx="466">
                  <c:v>15.6</c:v>
                </c:pt>
                <c:pt idx="467">
                  <c:v>15.6</c:v>
                </c:pt>
                <c:pt idx="468">
                  <c:v>15.36</c:v>
                </c:pt>
                <c:pt idx="469">
                  <c:v>15.12</c:v>
                </c:pt>
                <c:pt idx="470">
                  <c:v>15</c:v>
                </c:pt>
                <c:pt idx="471">
                  <c:v>15.48</c:v>
                </c:pt>
                <c:pt idx="472">
                  <c:v>15.1</c:v>
                </c:pt>
                <c:pt idx="473">
                  <c:v>15.02</c:v>
                </c:pt>
                <c:pt idx="474">
                  <c:v>14.9</c:v>
                </c:pt>
                <c:pt idx="475">
                  <c:v>14.9</c:v>
                </c:pt>
                <c:pt idx="476">
                  <c:v>14.8</c:v>
                </c:pt>
                <c:pt idx="477">
                  <c:v>15.06</c:v>
                </c:pt>
                <c:pt idx="478">
                  <c:v>16.600000000000001</c:v>
                </c:pt>
                <c:pt idx="479">
                  <c:v>16.18</c:v>
                </c:pt>
                <c:pt idx="480">
                  <c:v>16.18</c:v>
                </c:pt>
                <c:pt idx="481">
                  <c:v>16.100000000000001</c:v>
                </c:pt>
                <c:pt idx="482">
                  <c:v>16.079999999999998</c:v>
                </c:pt>
                <c:pt idx="483">
                  <c:v>15.98</c:v>
                </c:pt>
                <c:pt idx="484">
                  <c:v>15.68</c:v>
                </c:pt>
                <c:pt idx="485">
                  <c:v>15.68</c:v>
                </c:pt>
                <c:pt idx="486">
                  <c:v>15.9</c:v>
                </c:pt>
                <c:pt idx="487">
                  <c:v>15.7</c:v>
                </c:pt>
                <c:pt idx="488">
                  <c:v>15.7</c:v>
                </c:pt>
                <c:pt idx="489">
                  <c:v>15.4</c:v>
                </c:pt>
                <c:pt idx="490">
                  <c:v>15.4</c:v>
                </c:pt>
                <c:pt idx="491">
                  <c:v>15.12</c:v>
                </c:pt>
                <c:pt idx="492">
                  <c:v>15.26</c:v>
                </c:pt>
                <c:pt idx="493">
                  <c:v>15.8</c:v>
                </c:pt>
                <c:pt idx="494">
                  <c:v>15.76</c:v>
                </c:pt>
                <c:pt idx="495">
                  <c:v>15.5</c:v>
                </c:pt>
                <c:pt idx="496">
                  <c:v>15.48</c:v>
                </c:pt>
                <c:pt idx="497">
                  <c:v>15.46</c:v>
                </c:pt>
                <c:pt idx="498">
                  <c:v>15.46</c:v>
                </c:pt>
                <c:pt idx="499">
                  <c:v>15.44</c:v>
                </c:pt>
                <c:pt idx="500">
                  <c:v>15.36</c:v>
                </c:pt>
                <c:pt idx="501">
                  <c:v>15.1</c:v>
                </c:pt>
                <c:pt idx="502">
                  <c:v>14.42</c:v>
                </c:pt>
                <c:pt idx="503">
                  <c:v>14.02</c:v>
                </c:pt>
                <c:pt idx="504">
                  <c:v>14.32</c:v>
                </c:pt>
                <c:pt idx="505">
                  <c:v>14.78</c:v>
                </c:pt>
                <c:pt idx="506">
                  <c:v>14.8</c:v>
                </c:pt>
                <c:pt idx="507">
                  <c:v>14.76</c:v>
                </c:pt>
                <c:pt idx="508">
                  <c:v>14.76</c:v>
                </c:pt>
                <c:pt idx="509">
                  <c:v>14.86</c:v>
                </c:pt>
                <c:pt idx="510">
                  <c:v>14.68</c:v>
                </c:pt>
                <c:pt idx="511">
                  <c:v>14.7</c:v>
                </c:pt>
                <c:pt idx="512">
                  <c:v>14.72</c:v>
                </c:pt>
                <c:pt idx="513">
                  <c:v>14.78</c:v>
                </c:pt>
                <c:pt idx="514">
                  <c:v>14.8</c:v>
                </c:pt>
                <c:pt idx="515">
                  <c:v>14.8</c:v>
                </c:pt>
                <c:pt idx="516">
                  <c:v>14.78</c:v>
                </c:pt>
                <c:pt idx="517">
                  <c:v>14.38</c:v>
                </c:pt>
                <c:pt idx="518">
                  <c:v>14.78</c:v>
                </c:pt>
                <c:pt idx="519">
                  <c:v>14.02</c:v>
                </c:pt>
                <c:pt idx="520">
                  <c:v>14</c:v>
                </c:pt>
                <c:pt idx="521">
                  <c:v>13.98</c:v>
                </c:pt>
                <c:pt idx="522">
                  <c:v>13.6</c:v>
                </c:pt>
                <c:pt idx="523">
                  <c:v>13.7</c:v>
                </c:pt>
                <c:pt idx="524">
                  <c:v>13.7</c:v>
                </c:pt>
                <c:pt idx="525">
                  <c:v>13.6</c:v>
                </c:pt>
                <c:pt idx="526">
                  <c:v>13.6</c:v>
                </c:pt>
                <c:pt idx="527">
                  <c:v>13.5</c:v>
                </c:pt>
                <c:pt idx="528">
                  <c:v>13.3</c:v>
                </c:pt>
                <c:pt idx="529">
                  <c:v>13.3</c:v>
                </c:pt>
                <c:pt idx="530">
                  <c:v>13.3</c:v>
                </c:pt>
                <c:pt idx="531">
                  <c:v>13.3</c:v>
                </c:pt>
                <c:pt idx="532">
                  <c:v>13.3</c:v>
                </c:pt>
                <c:pt idx="533">
                  <c:v>13.2</c:v>
                </c:pt>
                <c:pt idx="534">
                  <c:v>13.22</c:v>
                </c:pt>
                <c:pt idx="535">
                  <c:v>13.28</c:v>
                </c:pt>
                <c:pt idx="536">
                  <c:v>13.62</c:v>
                </c:pt>
                <c:pt idx="537">
                  <c:v>13.74</c:v>
                </c:pt>
                <c:pt idx="538">
                  <c:v>13.64</c:v>
                </c:pt>
                <c:pt idx="539">
                  <c:v>13.68</c:v>
                </c:pt>
                <c:pt idx="540">
                  <c:v>13.56</c:v>
                </c:pt>
                <c:pt idx="541">
                  <c:v>13.4</c:v>
                </c:pt>
                <c:pt idx="542">
                  <c:v>13.4</c:v>
                </c:pt>
                <c:pt idx="543">
                  <c:v>13.68</c:v>
                </c:pt>
                <c:pt idx="544">
                  <c:v>13.68</c:v>
                </c:pt>
                <c:pt idx="545">
                  <c:v>13.66</c:v>
                </c:pt>
                <c:pt idx="546">
                  <c:v>13.7</c:v>
                </c:pt>
                <c:pt idx="547">
                  <c:v>13.66</c:v>
                </c:pt>
                <c:pt idx="548">
                  <c:v>13.4</c:v>
                </c:pt>
                <c:pt idx="549">
                  <c:v>13.52</c:v>
                </c:pt>
                <c:pt idx="550">
                  <c:v>13.54</c:v>
                </c:pt>
                <c:pt idx="551">
                  <c:v>13.48</c:v>
                </c:pt>
                <c:pt idx="552">
                  <c:v>13.46</c:v>
                </c:pt>
                <c:pt idx="553">
                  <c:v>12.88</c:v>
                </c:pt>
                <c:pt idx="554">
                  <c:v>12.9</c:v>
                </c:pt>
                <c:pt idx="555">
                  <c:v>13.2</c:v>
                </c:pt>
                <c:pt idx="556">
                  <c:v>13.22</c:v>
                </c:pt>
                <c:pt idx="557">
                  <c:v>13.2</c:v>
                </c:pt>
                <c:pt idx="558">
                  <c:v>13.2</c:v>
                </c:pt>
                <c:pt idx="559">
                  <c:v>13.2</c:v>
                </c:pt>
                <c:pt idx="560">
                  <c:v>13.02</c:v>
                </c:pt>
                <c:pt idx="561">
                  <c:v>13</c:v>
                </c:pt>
                <c:pt idx="562">
                  <c:v>12.9</c:v>
                </c:pt>
                <c:pt idx="563">
                  <c:v>12.88</c:v>
                </c:pt>
                <c:pt idx="564">
                  <c:v>12.8</c:v>
                </c:pt>
                <c:pt idx="565">
                  <c:v>12.74</c:v>
                </c:pt>
                <c:pt idx="566">
                  <c:v>12.68</c:v>
                </c:pt>
                <c:pt idx="567">
                  <c:v>12.6</c:v>
                </c:pt>
                <c:pt idx="568">
                  <c:v>12.56</c:v>
                </c:pt>
                <c:pt idx="569">
                  <c:v>12.4</c:v>
                </c:pt>
                <c:pt idx="570">
                  <c:v>12.38</c:v>
                </c:pt>
                <c:pt idx="571">
                  <c:v>12.42</c:v>
                </c:pt>
                <c:pt idx="572">
                  <c:v>12.44</c:v>
                </c:pt>
                <c:pt idx="573">
                  <c:v>12.44</c:v>
                </c:pt>
                <c:pt idx="574">
                  <c:v>12.28</c:v>
                </c:pt>
                <c:pt idx="575">
                  <c:v>12.24</c:v>
                </c:pt>
                <c:pt idx="576">
                  <c:v>12.08</c:v>
                </c:pt>
                <c:pt idx="577">
                  <c:v>12.08</c:v>
                </c:pt>
                <c:pt idx="578">
                  <c:v>12.1</c:v>
                </c:pt>
                <c:pt idx="579">
                  <c:v>12.1</c:v>
                </c:pt>
                <c:pt idx="580">
                  <c:v>12.1</c:v>
                </c:pt>
                <c:pt idx="581">
                  <c:v>12.36</c:v>
                </c:pt>
                <c:pt idx="582">
                  <c:v>12.36</c:v>
                </c:pt>
                <c:pt idx="583">
                  <c:v>12.38</c:v>
                </c:pt>
                <c:pt idx="584">
                  <c:v>12.84</c:v>
                </c:pt>
                <c:pt idx="585">
                  <c:v>12.78</c:v>
                </c:pt>
                <c:pt idx="586">
                  <c:v>12.8</c:v>
                </c:pt>
                <c:pt idx="587">
                  <c:v>12.94</c:v>
                </c:pt>
                <c:pt idx="588">
                  <c:v>13</c:v>
                </c:pt>
                <c:pt idx="589">
                  <c:v>12.96</c:v>
                </c:pt>
                <c:pt idx="590">
                  <c:v>12.9</c:v>
                </c:pt>
                <c:pt idx="591">
                  <c:v>12.82</c:v>
                </c:pt>
                <c:pt idx="592">
                  <c:v>12.4</c:v>
                </c:pt>
                <c:pt idx="593">
                  <c:v>12.4</c:v>
                </c:pt>
                <c:pt idx="594">
                  <c:v>12.4</c:v>
                </c:pt>
                <c:pt idx="595">
                  <c:v>12.42</c:v>
                </c:pt>
                <c:pt idx="596">
                  <c:v>12.4</c:v>
                </c:pt>
                <c:pt idx="597">
                  <c:v>12.4</c:v>
                </c:pt>
                <c:pt idx="598">
                  <c:v>12.4</c:v>
                </c:pt>
                <c:pt idx="599">
                  <c:v>12.42</c:v>
                </c:pt>
                <c:pt idx="600">
                  <c:v>12.4</c:v>
                </c:pt>
                <c:pt idx="601">
                  <c:v>12.42</c:v>
                </c:pt>
                <c:pt idx="602">
                  <c:v>12.4</c:v>
                </c:pt>
                <c:pt idx="603">
                  <c:v>12.4</c:v>
                </c:pt>
                <c:pt idx="604">
                  <c:v>12.28</c:v>
                </c:pt>
                <c:pt idx="605">
                  <c:v>12.32</c:v>
                </c:pt>
                <c:pt idx="606">
                  <c:v>12.32</c:v>
                </c:pt>
                <c:pt idx="607">
                  <c:v>12.32</c:v>
                </c:pt>
                <c:pt idx="608">
                  <c:v>12.34</c:v>
                </c:pt>
                <c:pt idx="609">
                  <c:v>12.36</c:v>
                </c:pt>
                <c:pt idx="610">
                  <c:v>12.36</c:v>
                </c:pt>
                <c:pt idx="611">
                  <c:v>12.2</c:v>
                </c:pt>
                <c:pt idx="612">
                  <c:v>12.2</c:v>
                </c:pt>
                <c:pt idx="613">
                  <c:v>12.28</c:v>
                </c:pt>
                <c:pt idx="614">
                  <c:v>12.24</c:v>
                </c:pt>
                <c:pt idx="615">
                  <c:v>11.9</c:v>
                </c:pt>
                <c:pt idx="616">
                  <c:v>12</c:v>
                </c:pt>
                <c:pt idx="617">
                  <c:v>12.1</c:v>
                </c:pt>
                <c:pt idx="618">
                  <c:v>12.1</c:v>
                </c:pt>
                <c:pt idx="619">
                  <c:v>12.1</c:v>
                </c:pt>
                <c:pt idx="620">
                  <c:v>12.06</c:v>
                </c:pt>
                <c:pt idx="621">
                  <c:v>12.1</c:v>
                </c:pt>
                <c:pt idx="622">
                  <c:v>12.1</c:v>
                </c:pt>
                <c:pt idx="623">
                  <c:v>11.9</c:v>
                </c:pt>
                <c:pt idx="624">
                  <c:v>11.9</c:v>
                </c:pt>
                <c:pt idx="625">
                  <c:v>12</c:v>
                </c:pt>
                <c:pt idx="626">
                  <c:v>11.96</c:v>
                </c:pt>
                <c:pt idx="627">
                  <c:v>11.9</c:v>
                </c:pt>
                <c:pt idx="628">
                  <c:v>11.88</c:v>
                </c:pt>
                <c:pt idx="629">
                  <c:v>11.88</c:v>
                </c:pt>
                <c:pt idx="630">
                  <c:v>11.84</c:v>
                </c:pt>
                <c:pt idx="631">
                  <c:v>11.82</c:v>
                </c:pt>
                <c:pt idx="632">
                  <c:v>11.84</c:v>
                </c:pt>
                <c:pt idx="633">
                  <c:v>11.8</c:v>
                </c:pt>
                <c:pt idx="634">
                  <c:v>11.9</c:v>
                </c:pt>
                <c:pt idx="635">
                  <c:v>11.82</c:v>
                </c:pt>
                <c:pt idx="636">
                  <c:v>11.6</c:v>
                </c:pt>
                <c:pt idx="637">
                  <c:v>11.48</c:v>
                </c:pt>
                <c:pt idx="638">
                  <c:v>11.4</c:v>
                </c:pt>
                <c:pt idx="639">
                  <c:v>11.4</c:v>
                </c:pt>
                <c:pt idx="640">
                  <c:v>11.38</c:v>
                </c:pt>
                <c:pt idx="641">
                  <c:v>11.34</c:v>
                </c:pt>
                <c:pt idx="642">
                  <c:v>11.4</c:v>
                </c:pt>
                <c:pt idx="643">
                  <c:v>11.56</c:v>
                </c:pt>
                <c:pt idx="644">
                  <c:v>11.5</c:v>
                </c:pt>
                <c:pt idx="645">
                  <c:v>11.5</c:v>
                </c:pt>
                <c:pt idx="646">
                  <c:v>11.3</c:v>
                </c:pt>
                <c:pt idx="647">
                  <c:v>11</c:v>
                </c:pt>
                <c:pt idx="648">
                  <c:v>11.02</c:v>
                </c:pt>
                <c:pt idx="649">
                  <c:v>11</c:v>
                </c:pt>
                <c:pt idx="650">
                  <c:v>11</c:v>
                </c:pt>
                <c:pt idx="651">
                  <c:v>10.96</c:v>
                </c:pt>
                <c:pt idx="652">
                  <c:v>10.84</c:v>
                </c:pt>
                <c:pt idx="653">
                  <c:v>10.84</c:v>
                </c:pt>
                <c:pt idx="654">
                  <c:v>10.8</c:v>
                </c:pt>
                <c:pt idx="655">
                  <c:v>10.74</c:v>
                </c:pt>
                <c:pt idx="656">
                  <c:v>10.78</c:v>
                </c:pt>
                <c:pt idx="657">
                  <c:v>10.62</c:v>
                </c:pt>
                <c:pt idx="658">
                  <c:v>10.5</c:v>
                </c:pt>
                <c:pt idx="659">
                  <c:v>10.28</c:v>
                </c:pt>
                <c:pt idx="660">
                  <c:v>10.08</c:v>
                </c:pt>
                <c:pt idx="661">
                  <c:v>9.98</c:v>
                </c:pt>
                <c:pt idx="662">
                  <c:v>10</c:v>
                </c:pt>
                <c:pt idx="663">
                  <c:v>10</c:v>
                </c:pt>
                <c:pt idx="664">
                  <c:v>10.039999999999999</c:v>
                </c:pt>
                <c:pt idx="665">
                  <c:v>10</c:v>
                </c:pt>
                <c:pt idx="666">
                  <c:v>9.99</c:v>
                </c:pt>
                <c:pt idx="667">
                  <c:v>10</c:v>
                </c:pt>
                <c:pt idx="668">
                  <c:v>10</c:v>
                </c:pt>
                <c:pt idx="669">
                  <c:v>10</c:v>
                </c:pt>
                <c:pt idx="670">
                  <c:v>10.02</c:v>
                </c:pt>
                <c:pt idx="671">
                  <c:v>10.32</c:v>
                </c:pt>
                <c:pt idx="672">
                  <c:v>10.62</c:v>
                </c:pt>
                <c:pt idx="673">
                  <c:v>10.78</c:v>
                </c:pt>
                <c:pt idx="674">
                  <c:v>10.72</c:v>
                </c:pt>
                <c:pt idx="675">
                  <c:v>10.54</c:v>
                </c:pt>
                <c:pt idx="676">
                  <c:v>10.64</c:v>
                </c:pt>
                <c:pt idx="677">
                  <c:v>10.5</c:v>
                </c:pt>
                <c:pt idx="678">
                  <c:v>10.54</c:v>
                </c:pt>
                <c:pt idx="679">
                  <c:v>10.36</c:v>
                </c:pt>
                <c:pt idx="680">
                  <c:v>10.1</c:v>
                </c:pt>
                <c:pt idx="681">
                  <c:v>10.1</c:v>
                </c:pt>
                <c:pt idx="682">
                  <c:v>10.220000000000001</c:v>
                </c:pt>
                <c:pt idx="683">
                  <c:v>10.24</c:v>
                </c:pt>
                <c:pt idx="684">
                  <c:v>10.06</c:v>
                </c:pt>
                <c:pt idx="685">
                  <c:v>10.039999999999999</c:v>
                </c:pt>
                <c:pt idx="686">
                  <c:v>10.08</c:v>
                </c:pt>
                <c:pt idx="687">
                  <c:v>10.039999999999999</c:v>
                </c:pt>
                <c:pt idx="688">
                  <c:v>10.06</c:v>
                </c:pt>
                <c:pt idx="689">
                  <c:v>10</c:v>
                </c:pt>
                <c:pt idx="690">
                  <c:v>9.99</c:v>
                </c:pt>
                <c:pt idx="691">
                  <c:v>10.08</c:v>
                </c:pt>
                <c:pt idx="692">
                  <c:v>9.98</c:v>
                </c:pt>
                <c:pt idx="693">
                  <c:v>10</c:v>
                </c:pt>
                <c:pt idx="694">
                  <c:v>9.91</c:v>
                </c:pt>
                <c:pt idx="695">
                  <c:v>9.9</c:v>
                </c:pt>
                <c:pt idx="696">
                  <c:v>9.9</c:v>
                </c:pt>
                <c:pt idx="697">
                  <c:v>10.039999999999999</c:v>
                </c:pt>
                <c:pt idx="698">
                  <c:v>9.9</c:v>
                </c:pt>
                <c:pt idx="699">
                  <c:v>9.4</c:v>
                </c:pt>
                <c:pt idx="700">
                  <c:v>9.61</c:v>
                </c:pt>
                <c:pt idx="701">
                  <c:v>9.65</c:v>
                </c:pt>
                <c:pt idx="702">
                  <c:v>9.85</c:v>
                </c:pt>
                <c:pt idx="703">
                  <c:v>9.85</c:v>
                </c:pt>
                <c:pt idx="704">
                  <c:v>9.4499999999999993</c:v>
                </c:pt>
                <c:pt idx="705">
                  <c:v>9.98</c:v>
                </c:pt>
                <c:pt idx="706">
                  <c:v>9.6999999999999993</c:v>
                </c:pt>
                <c:pt idx="707">
                  <c:v>9.6</c:v>
                </c:pt>
                <c:pt idx="708">
                  <c:v>9.6</c:v>
                </c:pt>
                <c:pt idx="709">
                  <c:v>9.5</c:v>
                </c:pt>
                <c:pt idx="710">
                  <c:v>9.4600000000000009</c:v>
                </c:pt>
                <c:pt idx="711">
                  <c:v>9.75</c:v>
                </c:pt>
                <c:pt idx="712">
                  <c:v>9.85</c:v>
                </c:pt>
                <c:pt idx="713">
                  <c:v>9.65</c:v>
                </c:pt>
                <c:pt idx="714">
                  <c:v>9.66</c:v>
                </c:pt>
                <c:pt idx="715">
                  <c:v>9.5500000000000007</c:v>
                </c:pt>
                <c:pt idx="716">
                  <c:v>9.6</c:v>
                </c:pt>
                <c:pt idx="717">
                  <c:v>9.6</c:v>
                </c:pt>
                <c:pt idx="718">
                  <c:v>9.6999999999999993</c:v>
                </c:pt>
                <c:pt idx="719">
                  <c:v>9.8000000000000007</c:v>
                </c:pt>
                <c:pt idx="720">
                  <c:v>9.7899999999999991</c:v>
                </c:pt>
                <c:pt idx="721">
                  <c:v>9.75</c:v>
                </c:pt>
                <c:pt idx="722">
                  <c:v>9.6</c:v>
                </c:pt>
                <c:pt idx="723">
                  <c:v>9.68</c:v>
                </c:pt>
                <c:pt idx="724">
                  <c:v>9.4499999999999993</c:v>
                </c:pt>
                <c:pt idx="725">
                  <c:v>9.43</c:v>
                </c:pt>
                <c:pt idx="726">
                  <c:v>9.4</c:v>
                </c:pt>
                <c:pt idx="727">
                  <c:v>9.4</c:v>
                </c:pt>
                <c:pt idx="728">
                  <c:v>9.3800000000000008</c:v>
                </c:pt>
                <c:pt idx="729">
                  <c:v>9.32</c:v>
                </c:pt>
                <c:pt idx="730">
                  <c:v>9.3699999999999992</c:v>
                </c:pt>
                <c:pt idx="731">
                  <c:v>9.4499999999999993</c:v>
                </c:pt>
                <c:pt idx="732">
                  <c:v>9.2799999999999994</c:v>
                </c:pt>
                <c:pt idx="733">
                  <c:v>9.4</c:v>
                </c:pt>
                <c:pt idx="734">
                  <c:v>9.32</c:v>
                </c:pt>
                <c:pt idx="735">
                  <c:v>9.25</c:v>
                </c:pt>
                <c:pt idx="736">
                  <c:v>9.2899999999999991</c:v>
                </c:pt>
                <c:pt idx="737">
                  <c:v>9.39</c:v>
                </c:pt>
                <c:pt idx="738">
                  <c:v>9.39</c:v>
                </c:pt>
                <c:pt idx="739">
                  <c:v>8.6300000000000008</c:v>
                </c:pt>
                <c:pt idx="740">
                  <c:v>9.1</c:v>
                </c:pt>
                <c:pt idx="741">
                  <c:v>8.8000000000000007</c:v>
                </c:pt>
                <c:pt idx="742">
                  <c:v>8.7799999999999994</c:v>
                </c:pt>
                <c:pt idx="743">
                  <c:v>8.7799999999999994</c:v>
                </c:pt>
                <c:pt idx="744">
                  <c:v>8.7799999999999994</c:v>
                </c:pt>
                <c:pt idx="745">
                  <c:v>8.7799999999999994</c:v>
                </c:pt>
                <c:pt idx="746">
                  <c:v>8.7799999999999994</c:v>
                </c:pt>
                <c:pt idx="747">
                  <c:v>8.76</c:v>
                </c:pt>
                <c:pt idx="748">
                  <c:v>8.76</c:v>
                </c:pt>
                <c:pt idx="749">
                  <c:v>8.85</c:v>
                </c:pt>
                <c:pt idx="750">
                  <c:v>8.9</c:v>
                </c:pt>
                <c:pt idx="751">
                  <c:v>8.7899999999999991</c:v>
                </c:pt>
                <c:pt idx="752">
                  <c:v>8.9499999999999993</c:v>
                </c:pt>
                <c:pt idx="753">
                  <c:v>8.74</c:v>
                </c:pt>
                <c:pt idx="754">
                  <c:v>8.9</c:v>
                </c:pt>
                <c:pt idx="755">
                  <c:v>8.83</c:v>
                </c:pt>
                <c:pt idx="756">
                  <c:v>8.83</c:v>
                </c:pt>
                <c:pt idx="757">
                  <c:v>8.64</c:v>
                </c:pt>
                <c:pt idx="758">
                  <c:v>8.75</c:v>
                </c:pt>
                <c:pt idx="759">
                  <c:v>8.75</c:v>
                </c:pt>
                <c:pt idx="760">
                  <c:v>8.8000000000000007</c:v>
                </c:pt>
                <c:pt idx="761">
                  <c:v>8.8000000000000007</c:v>
                </c:pt>
                <c:pt idx="762">
                  <c:v>8.9</c:v>
                </c:pt>
                <c:pt idx="763">
                  <c:v>8.89</c:v>
                </c:pt>
                <c:pt idx="764">
                  <c:v>8.94</c:v>
                </c:pt>
                <c:pt idx="765">
                  <c:v>8.7899999999999991</c:v>
                </c:pt>
                <c:pt idx="766">
                  <c:v>8.7100000000000009</c:v>
                </c:pt>
                <c:pt idx="767">
                  <c:v>8.57</c:v>
                </c:pt>
                <c:pt idx="768">
                  <c:v>8.57</c:v>
                </c:pt>
                <c:pt idx="769">
                  <c:v>8</c:v>
                </c:pt>
                <c:pt idx="770">
                  <c:v>7.6</c:v>
                </c:pt>
                <c:pt idx="771">
                  <c:v>7.62</c:v>
                </c:pt>
                <c:pt idx="772">
                  <c:v>7.6</c:v>
                </c:pt>
                <c:pt idx="773">
                  <c:v>7.6</c:v>
                </c:pt>
                <c:pt idx="774">
                  <c:v>7.45</c:v>
                </c:pt>
                <c:pt idx="775">
                  <c:v>7.31</c:v>
                </c:pt>
                <c:pt idx="776">
                  <c:v>7.3</c:v>
                </c:pt>
                <c:pt idx="777">
                  <c:v>7.05</c:v>
                </c:pt>
                <c:pt idx="778">
                  <c:v>7.3</c:v>
                </c:pt>
                <c:pt idx="779">
                  <c:v>7.38</c:v>
                </c:pt>
                <c:pt idx="780">
                  <c:v>7.15</c:v>
                </c:pt>
                <c:pt idx="781">
                  <c:v>7.04</c:v>
                </c:pt>
                <c:pt idx="782">
                  <c:v>7.02</c:v>
                </c:pt>
                <c:pt idx="783">
                  <c:v>7.04</c:v>
                </c:pt>
                <c:pt idx="784">
                  <c:v>7.1</c:v>
                </c:pt>
                <c:pt idx="785">
                  <c:v>7.1</c:v>
                </c:pt>
                <c:pt idx="786">
                  <c:v>7.16</c:v>
                </c:pt>
                <c:pt idx="787">
                  <c:v>7.2</c:v>
                </c:pt>
                <c:pt idx="788">
                  <c:v>7.3</c:v>
                </c:pt>
                <c:pt idx="789">
                  <c:v>7.39</c:v>
                </c:pt>
                <c:pt idx="790">
                  <c:v>7.39</c:v>
                </c:pt>
                <c:pt idx="791">
                  <c:v>7.4</c:v>
                </c:pt>
                <c:pt idx="792">
                  <c:v>7.39</c:v>
                </c:pt>
                <c:pt idx="793">
                  <c:v>7.34</c:v>
                </c:pt>
                <c:pt idx="794">
                  <c:v>7.3</c:v>
                </c:pt>
                <c:pt idx="795">
                  <c:v>7.29</c:v>
                </c:pt>
                <c:pt idx="796">
                  <c:v>7.3</c:v>
                </c:pt>
                <c:pt idx="797">
                  <c:v>7.4</c:v>
                </c:pt>
                <c:pt idx="798">
                  <c:v>7.65</c:v>
                </c:pt>
                <c:pt idx="799">
                  <c:v>7.47</c:v>
                </c:pt>
                <c:pt idx="800">
                  <c:v>7.45</c:v>
                </c:pt>
                <c:pt idx="801">
                  <c:v>7.45</c:v>
                </c:pt>
                <c:pt idx="802">
                  <c:v>7.45</c:v>
                </c:pt>
                <c:pt idx="803">
                  <c:v>7.45</c:v>
                </c:pt>
                <c:pt idx="804">
                  <c:v>7.46</c:v>
                </c:pt>
                <c:pt idx="805">
                  <c:v>7.44</c:v>
                </c:pt>
                <c:pt idx="806">
                  <c:v>7.44</c:v>
                </c:pt>
                <c:pt idx="807">
                  <c:v>7.45</c:v>
                </c:pt>
                <c:pt idx="808">
                  <c:v>7.45</c:v>
                </c:pt>
                <c:pt idx="809">
                  <c:v>7.42</c:v>
                </c:pt>
                <c:pt idx="810">
                  <c:v>7.3</c:v>
                </c:pt>
                <c:pt idx="811">
                  <c:v>7.22</c:v>
                </c:pt>
                <c:pt idx="812">
                  <c:v>7.25</c:v>
                </c:pt>
                <c:pt idx="813">
                  <c:v>7.35</c:v>
                </c:pt>
                <c:pt idx="814">
                  <c:v>7.38</c:v>
                </c:pt>
                <c:pt idx="815">
                  <c:v>7.38</c:v>
                </c:pt>
                <c:pt idx="816">
                  <c:v>7.3</c:v>
                </c:pt>
                <c:pt idx="817">
                  <c:v>7.22</c:v>
                </c:pt>
                <c:pt idx="818">
                  <c:v>7.3</c:v>
                </c:pt>
                <c:pt idx="819">
                  <c:v>7.44</c:v>
                </c:pt>
                <c:pt idx="820">
                  <c:v>7.36</c:v>
                </c:pt>
                <c:pt idx="821">
                  <c:v>7.4</c:v>
                </c:pt>
                <c:pt idx="822">
                  <c:v>7.31</c:v>
                </c:pt>
                <c:pt idx="823">
                  <c:v>7.3</c:v>
                </c:pt>
                <c:pt idx="824">
                  <c:v>7.23</c:v>
                </c:pt>
                <c:pt idx="825">
                  <c:v>7.23</c:v>
                </c:pt>
                <c:pt idx="826">
                  <c:v>7.15</c:v>
                </c:pt>
                <c:pt idx="827">
                  <c:v>7.15</c:v>
                </c:pt>
                <c:pt idx="828">
                  <c:v>7.13</c:v>
                </c:pt>
                <c:pt idx="829">
                  <c:v>7.17</c:v>
                </c:pt>
                <c:pt idx="830">
                  <c:v>7.12</c:v>
                </c:pt>
                <c:pt idx="831">
                  <c:v>7.11</c:v>
                </c:pt>
                <c:pt idx="832">
                  <c:v>7.07</c:v>
                </c:pt>
                <c:pt idx="833">
                  <c:v>7.09</c:v>
                </c:pt>
                <c:pt idx="834">
                  <c:v>7.07</c:v>
                </c:pt>
                <c:pt idx="835">
                  <c:v>7.04</c:v>
                </c:pt>
                <c:pt idx="836">
                  <c:v>6.98</c:v>
                </c:pt>
                <c:pt idx="837">
                  <c:v>6.94</c:v>
                </c:pt>
                <c:pt idx="838">
                  <c:v>6.93</c:v>
                </c:pt>
                <c:pt idx="839">
                  <c:v>6.9</c:v>
                </c:pt>
                <c:pt idx="840">
                  <c:v>6.84</c:v>
                </c:pt>
                <c:pt idx="841">
                  <c:v>6.92</c:v>
                </c:pt>
                <c:pt idx="842">
                  <c:v>6.84</c:v>
                </c:pt>
                <c:pt idx="843">
                  <c:v>6.78</c:v>
                </c:pt>
                <c:pt idx="844">
                  <c:v>6.71</c:v>
                </c:pt>
                <c:pt idx="845">
                  <c:v>6.72</c:v>
                </c:pt>
                <c:pt idx="846">
                  <c:v>6.68</c:v>
                </c:pt>
                <c:pt idx="847">
                  <c:v>6.65</c:v>
                </c:pt>
                <c:pt idx="848">
                  <c:v>6.2</c:v>
                </c:pt>
                <c:pt idx="849">
                  <c:v>6.2</c:v>
                </c:pt>
                <c:pt idx="850">
                  <c:v>5.9</c:v>
                </c:pt>
                <c:pt idx="851">
                  <c:v>5.85</c:v>
                </c:pt>
                <c:pt idx="852">
                  <c:v>5.8</c:v>
                </c:pt>
                <c:pt idx="853">
                  <c:v>6</c:v>
                </c:pt>
                <c:pt idx="854">
                  <c:v>6.13</c:v>
                </c:pt>
                <c:pt idx="855">
                  <c:v>6.15</c:v>
                </c:pt>
                <c:pt idx="856">
                  <c:v>6.4</c:v>
                </c:pt>
                <c:pt idx="857">
                  <c:v>6.4</c:v>
                </c:pt>
                <c:pt idx="858">
                  <c:v>6.4</c:v>
                </c:pt>
                <c:pt idx="859">
                  <c:v>6.2</c:v>
                </c:pt>
                <c:pt idx="860">
                  <c:v>6.2</c:v>
                </c:pt>
                <c:pt idx="861">
                  <c:v>6.45</c:v>
                </c:pt>
                <c:pt idx="862">
                  <c:v>6.44</c:v>
                </c:pt>
                <c:pt idx="863">
                  <c:v>6.44</c:v>
                </c:pt>
                <c:pt idx="864">
                  <c:v>6.44</c:v>
                </c:pt>
                <c:pt idx="865">
                  <c:v>6.29</c:v>
                </c:pt>
                <c:pt idx="866">
                  <c:v>6.3</c:v>
                </c:pt>
                <c:pt idx="867">
                  <c:v>6.35</c:v>
                </c:pt>
                <c:pt idx="868">
                  <c:v>6.18</c:v>
                </c:pt>
                <c:pt idx="869">
                  <c:v>6.26</c:v>
                </c:pt>
                <c:pt idx="870">
                  <c:v>6.25</c:v>
                </c:pt>
                <c:pt idx="871">
                  <c:v>6.25</c:v>
                </c:pt>
                <c:pt idx="872">
                  <c:v>6</c:v>
                </c:pt>
                <c:pt idx="873">
                  <c:v>6.1</c:v>
                </c:pt>
                <c:pt idx="874">
                  <c:v>6.21</c:v>
                </c:pt>
                <c:pt idx="875">
                  <c:v>6.15</c:v>
                </c:pt>
                <c:pt idx="876">
                  <c:v>6.4</c:v>
                </c:pt>
                <c:pt idx="877">
                  <c:v>6.53</c:v>
                </c:pt>
                <c:pt idx="878">
                  <c:v>6.29</c:v>
                </c:pt>
                <c:pt idx="879">
                  <c:v>6</c:v>
                </c:pt>
                <c:pt idx="880">
                  <c:v>5.97</c:v>
                </c:pt>
                <c:pt idx="881">
                  <c:v>5.9</c:v>
                </c:pt>
                <c:pt idx="882">
                  <c:v>5.8</c:v>
                </c:pt>
                <c:pt idx="883">
                  <c:v>5.8</c:v>
                </c:pt>
                <c:pt idx="884">
                  <c:v>5.88</c:v>
                </c:pt>
                <c:pt idx="885">
                  <c:v>6.1</c:v>
                </c:pt>
                <c:pt idx="886">
                  <c:v>6.18</c:v>
                </c:pt>
                <c:pt idx="887">
                  <c:v>6</c:v>
                </c:pt>
                <c:pt idx="888">
                  <c:v>6.2</c:v>
                </c:pt>
                <c:pt idx="889">
                  <c:v>6.2</c:v>
                </c:pt>
                <c:pt idx="890">
                  <c:v>6.1</c:v>
                </c:pt>
                <c:pt idx="891">
                  <c:v>6.1</c:v>
                </c:pt>
                <c:pt idx="892">
                  <c:v>6.1</c:v>
                </c:pt>
                <c:pt idx="893">
                  <c:v>6.1</c:v>
                </c:pt>
                <c:pt idx="894">
                  <c:v>6</c:v>
                </c:pt>
                <c:pt idx="895">
                  <c:v>5.8</c:v>
                </c:pt>
                <c:pt idx="896">
                  <c:v>5.8</c:v>
                </c:pt>
                <c:pt idx="897">
                  <c:v>5.8</c:v>
                </c:pt>
                <c:pt idx="898">
                  <c:v>5.8</c:v>
                </c:pt>
                <c:pt idx="899">
                  <c:v>5.9</c:v>
                </c:pt>
                <c:pt idx="900">
                  <c:v>5.81</c:v>
                </c:pt>
                <c:pt idx="901">
                  <c:v>5.8</c:v>
                </c:pt>
                <c:pt idx="902">
                  <c:v>5.8</c:v>
                </c:pt>
                <c:pt idx="903">
                  <c:v>5.8</c:v>
                </c:pt>
                <c:pt idx="904">
                  <c:v>5.79</c:v>
                </c:pt>
                <c:pt idx="905">
                  <c:v>5.8</c:v>
                </c:pt>
                <c:pt idx="906">
                  <c:v>5.8</c:v>
                </c:pt>
                <c:pt idx="907">
                  <c:v>5.8</c:v>
                </c:pt>
                <c:pt idx="908">
                  <c:v>5.95</c:v>
                </c:pt>
                <c:pt idx="909">
                  <c:v>5.99</c:v>
                </c:pt>
                <c:pt idx="910">
                  <c:v>6.06</c:v>
                </c:pt>
                <c:pt idx="911">
                  <c:v>6.06</c:v>
                </c:pt>
                <c:pt idx="912">
                  <c:v>6.04</c:v>
                </c:pt>
                <c:pt idx="913">
                  <c:v>6.05</c:v>
                </c:pt>
                <c:pt idx="914">
                  <c:v>6.35</c:v>
                </c:pt>
                <c:pt idx="915">
                  <c:v>6.19</c:v>
                </c:pt>
                <c:pt idx="916">
                  <c:v>6.19</c:v>
                </c:pt>
                <c:pt idx="917">
                  <c:v>6.18</c:v>
                </c:pt>
                <c:pt idx="918">
                  <c:v>6.32</c:v>
                </c:pt>
                <c:pt idx="919">
                  <c:v>6.34</c:v>
                </c:pt>
                <c:pt idx="920">
                  <c:v>7.3</c:v>
                </c:pt>
                <c:pt idx="921">
                  <c:v>8</c:v>
                </c:pt>
                <c:pt idx="922">
                  <c:v>8.19</c:v>
                </c:pt>
                <c:pt idx="923">
                  <c:v>8.57</c:v>
                </c:pt>
                <c:pt idx="924">
                  <c:v>9.35</c:v>
                </c:pt>
                <c:pt idx="925">
                  <c:v>10.1</c:v>
                </c:pt>
                <c:pt idx="926">
                  <c:v>9.8000000000000007</c:v>
                </c:pt>
                <c:pt idx="927">
                  <c:v>9.42</c:v>
                </c:pt>
                <c:pt idx="928">
                  <c:v>9.51</c:v>
                </c:pt>
                <c:pt idx="929">
                  <c:v>9.68</c:v>
                </c:pt>
                <c:pt idx="930">
                  <c:v>9.5299999999999994</c:v>
                </c:pt>
                <c:pt idx="931">
                  <c:v>9.2100000000000009</c:v>
                </c:pt>
                <c:pt idx="932">
                  <c:v>9.14</c:v>
                </c:pt>
                <c:pt idx="933">
                  <c:v>9.3800000000000008</c:v>
                </c:pt>
                <c:pt idx="934">
                  <c:v>9.5</c:v>
                </c:pt>
                <c:pt idx="935">
                  <c:v>9.4499999999999993</c:v>
                </c:pt>
                <c:pt idx="936">
                  <c:v>9.5</c:v>
                </c:pt>
                <c:pt idx="937">
                  <c:v>9.5</c:v>
                </c:pt>
                <c:pt idx="938">
                  <c:v>9.43</c:v>
                </c:pt>
                <c:pt idx="939">
                  <c:v>9.48</c:v>
                </c:pt>
                <c:pt idx="940">
                  <c:v>9.44</c:v>
                </c:pt>
                <c:pt idx="941">
                  <c:v>9.32</c:v>
                </c:pt>
                <c:pt idx="942">
                  <c:v>9.19</c:v>
                </c:pt>
                <c:pt idx="943">
                  <c:v>9.61</c:v>
                </c:pt>
                <c:pt idx="944">
                  <c:v>9.5299999999999994</c:v>
                </c:pt>
                <c:pt idx="945">
                  <c:v>9.75</c:v>
                </c:pt>
                <c:pt idx="946">
                  <c:v>9.59</c:v>
                </c:pt>
                <c:pt idx="947">
                  <c:v>9.57</c:v>
                </c:pt>
                <c:pt idx="948">
                  <c:v>9.61</c:v>
                </c:pt>
                <c:pt idx="949">
                  <c:v>9.6</c:v>
                </c:pt>
                <c:pt idx="950">
                  <c:v>9.6</c:v>
                </c:pt>
                <c:pt idx="951">
                  <c:v>9.56</c:v>
                </c:pt>
                <c:pt idx="952">
                  <c:v>9.67</c:v>
                </c:pt>
                <c:pt idx="953">
                  <c:v>9.8000000000000007</c:v>
                </c:pt>
                <c:pt idx="954">
                  <c:v>9.65</c:v>
                </c:pt>
                <c:pt idx="955">
                  <c:v>9.65</c:v>
                </c:pt>
                <c:pt idx="956">
                  <c:v>9.86</c:v>
                </c:pt>
                <c:pt idx="957">
                  <c:v>10.4</c:v>
                </c:pt>
                <c:pt idx="958">
                  <c:v>10.38</c:v>
                </c:pt>
                <c:pt idx="959">
                  <c:v>10.28</c:v>
                </c:pt>
                <c:pt idx="960">
                  <c:v>10.039999999999999</c:v>
                </c:pt>
                <c:pt idx="961">
                  <c:v>10.199999999999999</c:v>
                </c:pt>
                <c:pt idx="962">
                  <c:v>10.220000000000001</c:v>
                </c:pt>
                <c:pt idx="963">
                  <c:v>10.26</c:v>
                </c:pt>
                <c:pt idx="964">
                  <c:v>10.9</c:v>
                </c:pt>
                <c:pt idx="965">
                  <c:v>10.8</c:v>
                </c:pt>
                <c:pt idx="966">
                  <c:v>11.1</c:v>
                </c:pt>
                <c:pt idx="967">
                  <c:v>11.1</c:v>
                </c:pt>
                <c:pt idx="968">
                  <c:v>11</c:v>
                </c:pt>
                <c:pt idx="969">
                  <c:v>10.94</c:v>
                </c:pt>
                <c:pt idx="970">
                  <c:v>10.92</c:v>
                </c:pt>
                <c:pt idx="971">
                  <c:v>11</c:v>
                </c:pt>
                <c:pt idx="972">
                  <c:v>11.02</c:v>
                </c:pt>
                <c:pt idx="973">
                  <c:v>11.18</c:v>
                </c:pt>
                <c:pt idx="974">
                  <c:v>11.34</c:v>
                </c:pt>
                <c:pt idx="975">
                  <c:v>11.3</c:v>
                </c:pt>
                <c:pt idx="976">
                  <c:v>11.4</c:v>
                </c:pt>
                <c:pt idx="977">
                  <c:v>11.34</c:v>
                </c:pt>
                <c:pt idx="978">
                  <c:v>11.3</c:v>
                </c:pt>
                <c:pt idx="979">
                  <c:v>11.48</c:v>
                </c:pt>
                <c:pt idx="980">
                  <c:v>11.72</c:v>
                </c:pt>
                <c:pt idx="981">
                  <c:v>12.68</c:v>
                </c:pt>
                <c:pt idx="982">
                  <c:v>12.82</c:v>
                </c:pt>
                <c:pt idx="983">
                  <c:v>13.42</c:v>
                </c:pt>
                <c:pt idx="984">
                  <c:v>13.5</c:v>
                </c:pt>
                <c:pt idx="985">
                  <c:v>13.6</c:v>
                </c:pt>
                <c:pt idx="986">
                  <c:v>13.54</c:v>
                </c:pt>
                <c:pt idx="987">
                  <c:v>14.42</c:v>
                </c:pt>
                <c:pt idx="988">
                  <c:v>15.3</c:v>
                </c:pt>
                <c:pt idx="989">
                  <c:v>15.3</c:v>
                </c:pt>
              </c:numCache>
            </c:numRef>
          </c:val>
          <c:smooth val="0"/>
          <c:extLst>
            <c:ext xmlns:c16="http://schemas.microsoft.com/office/drawing/2014/chart" uri="{C3380CC4-5D6E-409C-BE32-E72D297353CC}">
              <c16:uniqueId val="{00000000-E0D0-47E2-901A-39BFBA7F70E1}"/>
            </c:ext>
          </c:extLst>
        </c:ser>
        <c:dLbls>
          <c:showLegendKey val="0"/>
          <c:showVal val="0"/>
          <c:showCatName val="0"/>
          <c:showSerName val="0"/>
          <c:showPercent val="0"/>
          <c:showBubbleSize val="0"/>
        </c:dLbls>
        <c:smooth val="0"/>
        <c:axId val="569984872"/>
        <c:axId val="569987824"/>
      </c:lineChart>
      <c:dateAx>
        <c:axId val="569984872"/>
        <c:scaling>
          <c:orientation val="minMax"/>
        </c:scaling>
        <c:delete val="0"/>
        <c:axPos val="b"/>
        <c:majorGridlines>
          <c:spPr>
            <a:ln w="9525" cap="flat" cmpd="sng" algn="ctr">
              <a:solidFill>
                <a:schemeClr val="tx1">
                  <a:lumMod val="15000"/>
                  <a:lumOff val="85000"/>
                </a:schemeClr>
              </a:solidFill>
              <a:round/>
            </a:ln>
            <a:effectLst/>
          </c:spPr>
        </c:majorGridlines>
        <c:numFmt formatCode="[$-409]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69987824"/>
        <c:crosses val="autoZero"/>
        <c:auto val="1"/>
        <c:lblOffset val="100"/>
        <c:baseTimeUnit val="days"/>
        <c:majorUnit val="6"/>
        <c:majorTimeUnit val="months"/>
        <c:minorUnit val="6"/>
        <c:minorTimeUnit val="months"/>
      </c:dateAx>
      <c:valAx>
        <c:axId val="569987824"/>
        <c:scaling>
          <c:orientation val="minMax"/>
          <c:min val="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69984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EFBE3-DC0E-40A3-AE7F-CF9E907C9A9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1F334-CEF3-412B-B3AD-F7F14FE3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6091</Words>
  <Characters>35636</Characters>
  <Application>Microsoft Office Word</Application>
  <DocSecurity>0</DocSecurity>
  <Lines>1228</Lines>
  <Paragraphs>745</Paragraphs>
  <ScaleCrop>false</ScaleCrop>
  <HeadingPairs>
    <vt:vector size="2" baseType="variant">
      <vt:variant>
        <vt:lpstr>Title</vt:lpstr>
      </vt:variant>
      <vt:variant>
        <vt:i4>1</vt:i4>
      </vt:variant>
    </vt:vector>
  </HeadingPairs>
  <TitlesOfParts>
    <vt:vector size="1" baseType="lpstr">
      <vt:lpstr>9B21N006</vt:lpstr>
    </vt:vector>
  </TitlesOfParts>
  <Company>Ivey Business School</Company>
  <LinksUpToDate>false</LinksUpToDate>
  <CharactersWithSpaces>40982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9B21N006</dc:title>
  <dc:subject/>
  <dc:creator>smuir</dc:creator>
  <cp:keywords/>
  <cp:lastModifiedBy>Product Coordinator</cp:lastModifiedBy>
  <cp:revision>8</cp:revision>
  <cp:lastPrinted>2015-03-04T20:34:00Z</cp:lastPrinted>
  <dcterms:created xsi:type="dcterms:W3CDTF">2021-07-08T14:55:00Z</dcterms:created>
  <dcterms:modified xsi:type="dcterms:W3CDTF">2021-07-12T13:12:00Z</dcterms:modified>
</cp:coreProperties>
</file>