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1725C9" w14:textId="77777777" w:rsidR="0003309E" w:rsidRDefault="0003309E" w:rsidP="0003309E">
      <w:bookmarkStart w:id="0" w:name="_GoBack"/>
      <w:bookmarkEnd w:id="0"/>
    </w:p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62B29CFD" w14:textId="12228CA9" w:rsidR="0003309E" w:rsidRDefault="0003309E" w:rsidP="00585A13">
            <w:pPr>
              <w:spacing w:after="80" w:before="0"/>
              <w:ind w:left="0" w:firstLine="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A la semana 9, el equipo completó las actividades de la Fase 1 (definición del proyecto, levantamiento de requerimientos, diseño de la arquitectura y del modelo de datos, y priorización del backlog) y las épicas EP01 a EP04 del plan de trabajo, que suman 12 historias de usuario implementadas y probadas. PracticaLink se construye como un monolito modular: frontend Angular 20 + Ionic 9 (web y APK Android mediante Capacitor), backend FastAPI (Python 3.12) y base de datos PostgreSQL en Supabase, con 15 tablas y funciones transaccionales que concentran las reglas de negocio.</w:t>
            </w:r>
          </w:p>
          <w:p>
            <w:pPr>
              <w:spacing w:after="80" w:before="0"/>
              <w:ind w:left="0" w:firstLine="0"/>
              <w:jc w:val="both"/>
            </w:pPr>
            <w:r>
              <w:rPr>
                <w:rFonts w:ascii="Calibri" w:hAnsi="Calibri" w:eastAsia="Calibri"/>
                <w:b/>
                <w:i w:val="0"/>
                <w:sz w:val="20"/>
              </w:rPr>
              <w:t>Actividades realizadas por épica:</w:t>
            </w:r>
          </w:p>
          <w:p>
            <w:pPr>
              <w:spacing w:after="80" w:before="0"/>
              <w:ind w:left="283" w:hanging="198"/>
              <w:jc w:val="both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•  </w:t>
            </w:r>
            <w:r>
              <w:rPr>
                <w:rFonts w:ascii="Calibri" w:hAnsi="Calibri" w:eastAsia="Calibri"/>
                <w:b/>
                <w:i w:val="0"/>
                <w:sz w:val="20"/>
              </w:rPr>
              <w:t xml:space="preserve">EP01 — Acceso y gestión de usuarios (S5–S6): 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inicio y cierre de sesión con JWT y acceso según el rol (ESTUDIANTE, GESTOR y ADMINISTRADOR), controlado con guards en Angular y verificación de roles en cada endpoint. Además, registro público de estudiantes y panel de administración de usuarios.</w:t>
            </w:r>
          </w:p>
          <w:p>
            <w:pPr>
              <w:spacing w:after="80" w:before="0"/>
              <w:ind w:left="283" w:hanging="198"/>
              <w:jc w:val="both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•  </w:t>
            </w:r>
            <w:r>
              <w:rPr>
                <w:rFonts w:ascii="Calibri" w:hAnsi="Calibri" w:eastAsia="Calibri"/>
                <w:b/>
                <w:i w:val="0"/>
                <w:sz w:val="20"/>
              </w:rPr>
              <w:t xml:space="preserve">EP02 — Registro de práctica profesional (S6–S7): 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registro de los antecedentes de la práctica con validación en tres niveles (formulario, esquemas Pydantic y restricciones de la base de datos), búsqueda de la empresa por RUT en la API Chile RUT Empresa con caché de 30 días, y consulta de la práctica registrada.</w:t>
            </w:r>
          </w:p>
          <w:p>
            <w:pPr>
              <w:spacing w:after="80" w:before="0"/>
              <w:ind w:left="283" w:hanging="198"/>
              <w:jc w:val="both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•  </w:t>
            </w:r>
            <w:r>
              <w:rPr>
                <w:rFonts w:ascii="Calibri" w:hAnsi="Calibri" w:eastAsia="Calibri"/>
                <w:b/>
                <w:i w:val="0"/>
                <w:sz w:val="20"/>
              </w:rPr>
              <w:t xml:space="preserve">EP03 — Revisión y validación de prácticas (S7–S8): 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el gestor visualiza las solicitudes, consulta sus antecedentes y las aprueba, observa o rechaza; cada decisión queda registrada en el historial de estados. Con esta épica se publicó el Release 1.1 como APK Android de QA, conectada al backend en Render.</w:t>
            </w:r>
          </w:p>
          <w:p>
            <w:pPr>
              <w:spacing w:after="80" w:before="0"/>
              <w:ind w:left="283" w:hanging="198"/>
              <w:jc w:val="both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•  </w:t>
            </w:r>
            <w:r>
              <w:rPr>
                <w:rFonts w:ascii="Calibri" w:hAnsi="Calibri" w:eastAsia="Calibri"/>
                <w:b/>
                <w:i w:val="0"/>
                <w:sz w:val="20"/>
              </w:rPr>
              <w:t xml:space="preserve">EP04 — Gestión de estado de práctica (S8–S9): 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consulta del estado actual con la fecha del último cambio, listado de prácticas con búsqueda por RUT, inicio de la práctica (APROBADA → EN_CURSO) y consulta del historial de estados. Está integrada en la rama develop; falta habilitar la transición de estado en Supabase.</w:t>
            </w:r>
          </w:p>
          <w:p>
            <w:pPr>
              <w:spacing w:after="80" w:before="0"/>
              <w:ind w:left="0" w:firstLine="0"/>
              <w:jc w:val="both"/>
            </w:pPr>
            <w:r>
              <w:rPr>
                <w:rFonts w:ascii="Calibri" w:hAnsi="Calibri" w:eastAsia="Calibri"/>
                <w:b/>
                <w:i w:val="0"/>
                <w:sz w:val="20"/>
              </w:rPr>
              <w:t>Cumplimiento de los objetivos específicos:</w:t>
            </w:r>
          </w:p>
          <w:p>
            <w:pPr>
              <w:spacing w:after="80" w:before="0"/>
              <w:ind w:left="283" w:hanging="198"/>
              <w:jc w:val="both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•  </w:t>
            </w:r>
            <w:r>
              <w:rPr>
                <w:rFonts w:ascii="Calibri" w:hAnsi="Calibri" w:eastAsia="Calibri"/>
                <w:b/>
                <w:i w:val="0"/>
                <w:sz w:val="20"/>
              </w:rPr>
              <w:t xml:space="preserve">Diseñar la arquitectura y el modelo de datos: 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cumplido. El esquema de 15 tablas cubre todo el proceso, incluidas las tablas de seguimiento, incidencias, documentos y cierre, y está documentado en el Documento de Diseño UML.</w:t>
            </w:r>
          </w:p>
          <w:p>
            <w:pPr>
              <w:spacing w:after="80" w:before="0"/>
              <w:ind w:left="283" w:hanging="198"/>
              <w:jc w:val="both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•  </w:t>
            </w:r>
            <w:r>
              <w:rPr>
                <w:rFonts w:ascii="Calibri" w:hAnsi="Calibri" w:eastAsia="Calibri"/>
                <w:b/>
                <w:i w:val="0"/>
                <w:sz w:val="20"/>
              </w:rPr>
              <w:t xml:space="preserve">Implementar el registro, la revisión y la gestión del estado: 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cumplido con EP02, EP03 y EP04.</w:t>
            </w:r>
          </w:p>
          <w:p>
            <w:pPr>
              <w:spacing w:after="80" w:before="0"/>
              <w:ind w:left="283" w:hanging="198"/>
              <w:jc w:val="both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•  </w:t>
            </w:r>
            <w:r>
              <w:rPr>
                <w:rFonts w:ascii="Calibri" w:hAnsi="Calibri" w:eastAsia="Calibri"/>
                <w:b/>
                <w:i w:val="0"/>
                <w:sz w:val="20"/>
              </w:rPr>
              <w:t xml:space="preserve">Gestionar el acceso según roles y permisos: 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cumplido con EP01 y aplicado en todas las funcionalidades posteriores.</w:t>
            </w:r>
          </w:p>
          <w:p>
            <w:pPr>
              <w:spacing w:after="80" w:before="0"/>
              <w:ind w:left="283" w:hanging="198"/>
              <w:jc w:val="both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•  </w:t>
            </w:r>
            <w:r>
              <w:rPr>
                <w:rFonts w:ascii="Calibri" w:hAnsi="Calibri" w:eastAsia="Calibri"/>
                <w:b/>
                <w:i w:val="0"/>
                <w:sz w:val="20"/>
              </w:rPr>
              <w:t xml:space="preserve">Implementar seguimiento e incidencias: 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no iniciado; las tablas ya existen y las épicas EP05 y EP06 están planificadas entre las semanas 9 y 12.</w:t>
            </w:r>
          </w:p>
          <w:p>
            <w:pPr>
              <w:spacing w:after="80" w:before="0"/>
              <w:ind w:left="283" w:hanging="198"/>
              <w:jc w:val="both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•  </w:t>
            </w:r>
            <w:r>
              <w:rPr>
                <w:rFonts w:ascii="Calibri" w:hAnsi="Calibri" w:eastAsia="Calibri"/>
                <w:b/>
                <w:i w:val="0"/>
                <w:sz w:val="20"/>
              </w:rPr>
              <w:t xml:space="preserve">Validar la solución mediante pruebas: 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en curso. Hay 198 pruebas backend, 89 pruebas de componentes Angular y 9 pruebas de integración con PostgreSQL aprobadas; las pruebas integrales del PMV corresponden a las semanas 13 y 14.</w:t>
            </w: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 w14:paraId="0DD025FA" w14:textId="77777777" w:rsidR="0003309E" w:rsidRPr="00A370C8" w:rsidRDefault="0003309E" w:rsidP="00585A13">
            <w:pPr>
              <w:spacing w:after="80" w:before="0"/>
              <w:ind w:left="0" w:firstLine="0"/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Sin ajustes. El objetivo general y los cinco objetivos específicos definidos en la Fase 1 se mantienen, porque el alcance del Producto Mínimo Viable no ha cambiado y el avance se ajusta a la planificación.</w:t>
            </w: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0908C15F" w14:textId="77777777" w:rsidR="0003309E" w:rsidRPr="00711C16" w:rsidRDefault="0003309E" w:rsidP="00585A13">
            <w:pPr>
              <w:spacing w:after="80" w:before="0"/>
              <w:ind w:left="0" w:firstLine="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Se mantiene la metodología ágil e incremental, pero se formalizó como Scrum para organizar el trabajo de un equipo que pasó de dos a tres integrantes con la incorporación de Brandon Ramírez:</w:t>
            </w:r>
          </w:p>
          <w:p>
            <w:pPr>
              <w:spacing w:after="80" w:before="0"/>
              <w:ind w:left="283" w:hanging="198"/>
              <w:jc w:val="both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•  </w:t>
            </w:r>
            <w:r>
              <w:rPr>
                <w:rFonts w:ascii="Calibri" w:hAnsi="Calibri" w:eastAsia="Calibri"/>
                <w:b/>
                <w:i w:val="0"/>
                <w:sz w:val="20"/>
              </w:rPr>
              <w:t xml:space="preserve">Roles: 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Freddy Neilaf como Scrum Master, Carlos Seaman como Product Owner y Brandon Ramírez como Desarrollador / QA; los tres participan en el desarrollo.</w:t>
            </w:r>
          </w:p>
          <w:p>
            <w:pPr>
              <w:spacing w:after="80" w:before="0"/>
              <w:ind w:left="283" w:hanging="198"/>
              <w:jc w:val="both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•  </w:t>
            </w:r>
            <w:r>
              <w:rPr>
                <w:rFonts w:ascii="Calibri" w:hAnsi="Calibri" w:eastAsia="Calibri"/>
                <w:b/>
                <w:i w:val="0"/>
                <w:sz w:val="20"/>
              </w:rPr>
              <w:t xml:space="preserve">Sprints: 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5 sprints de dos semanas entre las semanas 5 y 14, cada uno asociado a una o dos épicas de la Carta Gantt.</w:t>
            </w:r>
          </w:p>
          <w:p>
            <w:pPr>
              <w:spacing w:after="80" w:before="0"/>
              <w:ind w:left="283" w:hanging="198"/>
              <w:jc w:val="both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•  </w:t>
            </w:r>
            <w:r>
              <w:rPr>
                <w:rFonts w:ascii="Calibri" w:hAnsi="Calibri" w:eastAsia="Calibri"/>
                <w:b/>
                <w:i w:val="0"/>
                <w:sz w:val="20"/>
              </w:rPr>
              <w:t xml:space="preserve">Artefactos: 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Product Vision, Product Backlog con historias estimadas mediante Poker Planning, Definition of Done de negocio y técnica por historia, y un Documento de Diseño UML que se actualiza en cada épica.</w:t>
            </w:r>
          </w:p>
          <w:p>
            <w:pPr>
              <w:spacing w:after="80" w:before="0"/>
              <w:ind w:left="283" w:hanging="198"/>
              <w:jc w:val="both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•  </w:t>
            </w:r>
            <w:r>
              <w:rPr>
                <w:rFonts w:ascii="Calibri" w:hAnsi="Calibri" w:eastAsia="Calibri"/>
                <w:b/>
                <w:i w:val="0"/>
                <w:sz w:val="20"/>
              </w:rPr>
              <w:t xml:space="preserve">Control de versiones: 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flujo de ramas feature → develop → release → main, con integración mediante pull requests y seguimiento de issues en GitHub Projects.</w:t>
            </w:r>
          </w:p>
          <w:p>
            <w:pPr>
              <w:spacing w:after="80" w:before="0"/>
              <w:ind w:left="283" w:hanging="198"/>
              <w:jc w:val="both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•  </w:t>
            </w:r>
            <w:r>
              <w:rPr>
                <w:rFonts w:ascii="Calibri" w:hAnsi="Calibri" w:eastAsia="Calibri"/>
                <w:b/>
                <w:i w:val="0"/>
                <w:sz w:val="20"/>
              </w:rPr>
              <w:t xml:space="preserve">Seguimiento: 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actas de control de avance con el docente, en las que se revisan las evidencias y se registran los acuerdos.</w:t>
            </w:r>
          </w:p>
          <w:p>
            <w:pPr>
              <w:spacing w:after="80" w:before="0"/>
              <w:ind w:left="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Este ajuste permite distribuir responsabilidades, medir el avance por historia y detectar a tiempo las diferencias entre la documentación y el código.</w:t>
            </w:r>
          </w:p>
        </w:tc>
      </w:tr>
      <w:tr w:rsidR="0003309E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2C28AC8B" w14:textId="7676AFBF" w:rsidR="0003309E" w:rsidRDefault="0003309E" w:rsidP="00585A13">
            <w:pPr>
              <w:spacing w:after="80" w:before="0"/>
              <w:ind w:left="0" w:firstLine="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Las siguientes evidencias muestran el avance del proyecto, tanto en el producto como en el proceso:</w:t>
            </w:r>
          </w:p>
          <w:p>
            <w:pPr>
              <w:spacing w:after="80" w:before="0"/>
              <w:ind w:left="283" w:hanging="198"/>
              <w:jc w:val="both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•  </w:t>
            </w:r>
            <w:r>
              <w:rPr>
                <w:rFonts w:ascii="Calibri" w:hAnsi="Calibri" w:eastAsia="Calibri"/>
                <w:b/>
                <w:i w:val="0"/>
                <w:sz w:val="20"/>
              </w:rPr>
              <w:t xml:space="preserve">Prototipo funcional de PracticaLink: 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demostración del Release 1.1 (APK Android de QA) y de la versión en develop con EP04. Permite comprobar en funcionamiento los flujos de acceso, registro, revisión y gestión de estado. Se complementa con los videos demostrativos de EP01 y EP02 del repositorio.</w:t>
            </w:r>
          </w:p>
          <w:p>
            <w:pPr>
              <w:spacing w:after="80" w:before="0"/>
              <w:ind w:left="283" w:hanging="198"/>
              <w:jc w:val="both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•  </w:t>
            </w:r>
            <w:r>
              <w:rPr>
                <w:rFonts w:ascii="Calibri" w:hAnsi="Calibri" w:eastAsia="Calibri"/>
                <w:b/>
                <w:i w:val="0"/>
                <w:sz w:val="20"/>
              </w:rPr>
              <w:t xml:space="preserve">Repositorio GitHub (capstone-gestion-practicas/gestion-practicas-profesionales): 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historial de commits, ramas y pull requests (#45 a #47 para EP03 y #58 para EP04), además del tablero de GitHub Projects. Muestra cómo se distribuyó y se integró el trabajo de cada integrante.</w:t>
            </w:r>
          </w:p>
          <w:p>
            <w:pPr>
              <w:spacing w:after="80" w:before="0"/>
              <w:ind w:left="283" w:hanging="198"/>
              <w:jc w:val="both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•  </w:t>
            </w:r>
            <w:r>
              <w:rPr>
                <w:rFonts w:ascii="Calibri" w:hAnsi="Calibri" w:eastAsia="Calibri"/>
                <w:b/>
                <w:i w:val="0"/>
                <w:sz w:val="20"/>
              </w:rPr>
              <w:t xml:space="preserve">Documentos de Fase 2: 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Documento 01 Product Vision, Documento 02 Product Backlog, Documento 04 Definition of Done y Documento 05 Documento de Diseño (casos de uso por épica, modelo E-R, clases, secuencias, componentes y despliegue). Dan cuenta del análisis y del diseño que guían la implementación.</w:t>
            </w:r>
          </w:p>
          <w:p>
            <w:pPr>
              <w:spacing w:after="80" w:before="0"/>
              <w:ind w:left="283" w:hanging="198"/>
              <w:jc w:val="both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•  </w:t>
            </w:r>
            <w:r>
              <w:rPr>
                <w:rFonts w:ascii="Calibri" w:hAnsi="Calibri" w:eastAsia="Calibri"/>
                <w:b/>
                <w:i w:val="0"/>
                <w:sz w:val="20"/>
              </w:rPr>
              <w:t xml:space="preserve">Pruebas automatizadas y cierre técnico de EP04: 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suites de pruebas backend, frontend y de integración, y el documento docs/EP04_CIERRE_TECNICO.md, que relaciona cada criterio de aceptación con su implementación y su prueba.</w:t>
            </w:r>
          </w:p>
          <w:p>
            <w:pPr>
              <w:spacing w:after="80" w:before="0"/>
              <w:ind w:left="283" w:hanging="198"/>
              <w:jc w:val="both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•  </w:t>
            </w:r>
            <w:r>
              <w:rPr>
                <w:rFonts w:ascii="Calibri" w:hAnsi="Calibri" w:eastAsia="Calibri"/>
                <w:b/>
                <w:i w:val="0"/>
                <w:sz w:val="20"/>
              </w:rPr>
              <w:t xml:space="preserve">Actas de control de avance: 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reuniones del 05/10 y 19/10 con el docente, con la revisión del avance y el control de acuerdos.</w:t>
            </w:r>
          </w:p>
          <w:p>
            <w:pPr>
              <w:spacing w:after="80" w:before="0"/>
              <w:ind w:left="0" w:firstLine="0"/>
              <w:jc w:val="both"/>
            </w:pPr>
            <w:r>
              <w:rPr>
                <w:rFonts w:ascii="Calibri" w:hAnsi="Calibri" w:eastAsia="Calibri"/>
                <w:b/>
                <w:i w:val="0"/>
                <w:sz w:val="20"/>
              </w:rPr>
              <w:t>Resguardo de la calidad:</w:t>
            </w:r>
          </w:p>
          <w:p>
            <w:pPr>
              <w:spacing w:after="80" w:before="0"/>
              <w:ind w:left="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La calidad se resguardó con prácticas propias de la ingeniería de software: cada historia se cierra solo cuando cumple su Definition of Done; las reglas de negocio críticas se ejecutan en funciones transaccionales de PostgreSQL con bloqueo de registros (FOR UPDATE) para evitar inconsistencias; la información se valida en el cliente, en la API y en la base de datos; los permisos se verifican en el backend y no solo en la interfaz; y cada cambio se integra mediante pull request con pruebas automatizadas. El diseño UML se verificó contra el código y el esquema real de la base de datos.</w:t>
            </w:r>
          </w:p>
        </w:tc>
      </w:tr>
    </w:tbl>
    <w:tbl>
      <w:tblPr>
        <w:tblStyle w:val="Tablaconcuadrcula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31DD54DD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26CA16E7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07A4A632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30D7DED" w14:textId="5701F8AA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895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  <w:tblInd w:w="-250" w:type="dxa"/>
      </w:tblPr>
      <w:tblGrid>
        <w:gridCol w:w="1050"/>
        <w:gridCol w:w="1150"/>
        <w:gridCol w:w="1050"/>
        <w:gridCol w:w="650"/>
        <w:gridCol w:w="1150"/>
        <w:gridCol w:w="1400"/>
        <w:gridCol w:w="1200"/>
        <w:gridCol w:w="1300"/>
      </w:tblGrid>
      <w:tr w:rsidR="00FD5149" w:rsidRPr="006E3B0D" w14:paraId="66FA4353" w14:textId="77777777" w:rsidTr="00EA0C09">
        <w:trPr>
          <w:trHeight w:val="415"/>
        </w:trPr>
        <w:tc>
          <w:tcPr>
            <w:tcW w:w="8950" w:type="dxa"/>
            <w:gridSpan w:val="8"/>
            <w:vAlign w:val="center"/>
          </w:tcPr>
          <w:p w14:paraId="0EAB918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54BB210F" w14:textId="77777777" w:rsidTr="009552E5">
        <w:trPr>
          <w:trHeight w:val="711"/>
        </w:trPr>
        <w:tc>
          <w:tcPr>
            <w:tcW w:w="1050" w:type="dxa"/>
            <w:vAlign w:val="center"/>
          </w:tcPr>
          <w:p w14:paraId="29F5C73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150" w:type="dxa"/>
            <w:vAlign w:val="center"/>
          </w:tcPr>
          <w:p w14:paraId="54E7FFF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050" w:type="dxa"/>
            <w:vAlign w:val="center"/>
          </w:tcPr>
          <w:p w14:paraId="63546E8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650" w:type="dxa"/>
            <w:vAlign w:val="center"/>
          </w:tcPr>
          <w:p w14:paraId="392197F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150" w:type="dxa"/>
            <w:vAlign w:val="center"/>
          </w:tcPr>
          <w:p w14:paraId="58CFFE4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400" w:type="dxa"/>
            <w:vAlign w:val="center"/>
          </w:tcPr>
          <w:p w14:paraId="3E59D27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200" w:type="dxa"/>
            <w:vAlign w:val="center"/>
          </w:tcPr>
          <w:p w14:paraId="16EAEFD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1300" w:type="dxa"/>
            <w:vAlign w:val="center"/>
          </w:tcPr>
          <w:p w14:paraId="4DFF430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FD5149" w:rsidRPr="006E3B0D" w14:paraId="0D4FAAA2" w14:textId="77777777" w:rsidTr="00EA0C09">
        <w:trPr/>
        <w:tc>
          <w:tcPr>
            <w:tcW w:w="1050" w:type="dxa"/>
          </w:tcPr>
          <w:p w14:paraId="29F01B29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Gestionar proyectos informáticos</w:t>
            </w:r>
          </w:p>
        </w:tc>
        <w:tc>
          <w:tcPr>
            <w:tcW w:w="1150" w:type="dxa"/>
          </w:tcPr>
          <w:p w14:paraId="7B4EBE25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Definición y planificación del proyecto</w:t>
            </w:r>
          </w:p>
        </w:tc>
        <w:tc>
          <w:tcPr>
            <w:tcW w:w="1050" w:type="dxa"/>
          </w:tcPr>
          <w:p w14:paraId="16E191DF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Computadores, documentación, herramientas de gestión.</w:t>
            </w:r>
          </w:p>
        </w:tc>
        <w:tc>
          <w:tcPr>
            <w:tcW w:w="650" w:type="dxa"/>
          </w:tcPr>
          <w:p w14:paraId="66A5D860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S1–S2</w:t>
            </w:r>
          </w:p>
        </w:tc>
        <w:tc>
          <w:tcPr>
            <w:tcW w:w="1150" w:type="dxa"/>
          </w:tcPr>
          <w:p w14:paraId="036AB5D8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Todo el equipo</w:t>
            </w:r>
          </w:p>
        </w:tc>
        <w:tc>
          <w:tcPr>
            <w:tcW w:w="1400" w:type="dxa"/>
          </w:tcPr>
          <w:p w14:paraId="2FCEC037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El alcance se acotó a un PMV para que fuera factible dentro del periodo académico.</w:t>
            </w:r>
          </w:p>
        </w:tc>
        <w:tc>
          <w:tcPr>
            <w:tcW w:w="1200" w:type="dxa"/>
          </w:tcPr>
          <w:p w14:paraId="29B0BFEB" w14:textId="77777777" w:rsidR="00FD5149" w:rsidRPr="00E54467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Completado</w:t>
            </w:r>
          </w:p>
        </w:tc>
        <w:tc>
          <w:tcPr>
            <w:tcW w:w="1300" w:type="dxa"/>
          </w:tcPr>
          <w:p w14:paraId="7C6D6F31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Sin ajustes.</w:t>
            </w:r>
          </w:p>
        </w:tc>
      </w:tr>
      <w:tr w:rsidR="00FD5149" w:rsidRPr="006E3B0D" w14:paraId="0D4FAAA2" w14:textId="77777777" w:rsidTr="00EA0C09">
        <w:trPr/>
        <w:tc>
          <w:tcPr>
            <w:tcW w:w="1050" w:type="dxa"/>
          </w:tcPr>
          <w:p w14:paraId="29F01B29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Gestionar proyectos informáticos</w:t>
            </w:r>
          </w:p>
        </w:tc>
        <w:tc>
          <w:tcPr>
            <w:tcW w:w="1150" w:type="dxa"/>
          </w:tcPr>
          <w:p w14:paraId="7B4EBE25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Levantamiento y análisis de requerimientos</w:t>
            </w:r>
          </w:p>
        </w:tc>
        <w:tc>
          <w:tcPr>
            <w:tcW w:w="1050" w:type="dxa"/>
          </w:tcPr>
          <w:p w14:paraId="16E191DF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Documentación, antecedentes del proceso de prácticas, computadores.</w:t>
            </w:r>
          </w:p>
        </w:tc>
        <w:tc>
          <w:tcPr>
            <w:tcW w:w="650" w:type="dxa"/>
          </w:tcPr>
          <w:p w14:paraId="66A5D860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S2–S3</w:t>
            </w:r>
          </w:p>
        </w:tc>
        <w:tc>
          <w:tcPr>
            <w:tcW w:w="1150" w:type="dxa"/>
          </w:tcPr>
          <w:p w14:paraId="036AB5D8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Carlos Seaman (PO), con el equipo</w:t>
            </w:r>
          </w:p>
        </w:tc>
        <w:tc>
          <w:tcPr>
            <w:tcW w:w="1400" w:type="dxa"/>
          </w:tcPr>
          <w:p w14:paraId="2FCEC037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Los datos reales del proceso (≈60 prácticas al año y usuarios involucrados) permitieron definir los indicadores del Product Vision.</w:t>
            </w:r>
          </w:p>
        </w:tc>
        <w:tc>
          <w:tcPr>
            <w:tcW w:w="1200" w:type="dxa"/>
          </w:tcPr>
          <w:p w14:paraId="29B0BFEB" w14:textId="77777777" w:rsidR="00FD5149" w:rsidRPr="00E54467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Completado</w:t>
            </w:r>
          </w:p>
        </w:tc>
        <w:tc>
          <w:tcPr>
            <w:tcW w:w="1300" w:type="dxa"/>
          </w:tcPr>
          <w:p w14:paraId="7C6D6F31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Se agregó el Documento 01 Product Vision.</w:t>
            </w:r>
          </w:p>
        </w:tc>
      </w:tr>
      <w:tr w:rsidR="00FD5149" w:rsidRPr="006E3B0D" w14:paraId="0D4FAAA2" w14:textId="77777777" w:rsidTr="00EA0C09">
        <w:trPr/>
        <w:tc>
          <w:tcPr>
            <w:tcW w:w="1050" w:type="dxa"/>
          </w:tcPr>
          <w:p w14:paraId="29F01B29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Construir modelos de datos / Desarrollar una solución de software</w:t>
            </w:r>
          </w:p>
        </w:tc>
        <w:tc>
          <w:tcPr>
            <w:tcW w:w="1150" w:type="dxa"/>
          </w:tcPr>
          <w:p w14:paraId="7B4EBE25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Diseño de arquitectura y modelo de datos</w:t>
            </w:r>
          </w:p>
        </w:tc>
        <w:tc>
          <w:tcPr>
            <w:tcW w:w="1050" w:type="dxa"/>
          </w:tcPr>
          <w:p w14:paraId="16E191DF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Herramientas de modelamiento, Supabase, documentación técnica.</w:t>
            </w:r>
          </w:p>
        </w:tc>
        <w:tc>
          <w:tcPr>
            <w:tcW w:w="650" w:type="dxa"/>
          </w:tcPr>
          <w:p w14:paraId="66A5D860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S3–S4</w:t>
            </w:r>
          </w:p>
        </w:tc>
        <w:tc>
          <w:tcPr>
            <w:tcW w:w="1150" w:type="dxa"/>
          </w:tcPr>
          <w:p w14:paraId="036AB5D8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Carlos Seaman (modelo de datos) y Freddy Neilaf (arquitectura)</w:t>
            </w:r>
          </w:p>
        </w:tc>
        <w:tc>
          <w:tcPr>
            <w:tcW w:w="1400" w:type="dxa"/>
          </w:tcPr>
          <w:p w14:paraId="2FCEC037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El modelo se diseñó completo desde el inicio, lo que evitó cambios estructurales en las épicas siguientes.</w:t>
            </w:r>
          </w:p>
        </w:tc>
        <w:tc>
          <w:tcPr>
            <w:tcW w:w="1200" w:type="dxa"/>
          </w:tcPr>
          <w:p w14:paraId="29B0BFEB" w14:textId="77777777" w:rsidR="00FD5149" w:rsidRPr="00E54467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Completado</w:t>
            </w:r>
          </w:p>
        </w:tc>
        <w:tc>
          <w:tcPr>
            <w:tcW w:w="1300" w:type="dxa"/>
          </w:tcPr>
          <w:p w14:paraId="7C6D6F31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Se agregó el Documento 05 de Diseño UML, que se actualiza en cada épica.</w:t>
            </w:r>
          </w:p>
        </w:tc>
      </w:tr>
      <w:tr w:rsidR="00FD5149" w:rsidRPr="006E3B0D" w14:paraId="0D4FAAA2" w14:textId="77777777" w:rsidTr="00EA0C09">
        <w:trPr/>
        <w:tc>
          <w:tcPr>
            <w:tcW w:w="1050" w:type="dxa"/>
          </w:tcPr>
          <w:p w14:paraId="29F01B29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Gestionar proyectos informáticos</w:t>
            </w:r>
          </w:p>
        </w:tc>
        <w:tc>
          <w:tcPr>
            <w:tcW w:w="1150" w:type="dxa"/>
          </w:tcPr>
          <w:p w14:paraId="7B4EBE25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Definición y priorización del backlog</w:t>
            </w:r>
          </w:p>
        </w:tc>
        <w:tc>
          <w:tcPr>
            <w:tcW w:w="1050" w:type="dxa"/>
          </w:tcPr>
          <w:p w14:paraId="16E191DF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GitHub, GitHub Projects, computadores.</w:t>
            </w:r>
          </w:p>
        </w:tc>
        <w:tc>
          <w:tcPr>
            <w:tcW w:w="650" w:type="dxa"/>
          </w:tcPr>
          <w:p w14:paraId="66A5D860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S3–S4</w:t>
            </w:r>
          </w:p>
        </w:tc>
        <w:tc>
          <w:tcPr>
            <w:tcW w:w="1150" w:type="dxa"/>
          </w:tcPr>
          <w:p w14:paraId="036AB5D8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Carlos Seaman (PO)</w:t>
            </w:r>
          </w:p>
        </w:tc>
        <w:tc>
          <w:tcPr>
            <w:tcW w:w="1400" w:type="dxa"/>
          </w:tcPr>
          <w:p w14:paraId="2FCEC037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La estimación inicial no estaba formalizada; se realizó Poker Planning en la semana 8.</w:t>
            </w:r>
          </w:p>
        </w:tc>
        <w:tc>
          <w:tcPr>
            <w:tcW w:w="1200" w:type="dxa"/>
          </w:tcPr>
          <w:p w14:paraId="29B0BFEB" w14:textId="77777777" w:rsidR="00FD5149" w:rsidRPr="00E54467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Completado</w:t>
            </w:r>
          </w:p>
        </w:tc>
        <w:tc>
          <w:tcPr>
            <w:tcW w:w="1300" w:type="dxa"/>
          </w:tcPr>
          <w:p w14:paraId="7C6D6F31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Se agregaron las funcionalidades de apoyo y la Historia 020 al backlog.</w:t>
            </w:r>
          </w:p>
        </w:tc>
      </w:tr>
      <w:tr w:rsidR="00FD5149" w:rsidRPr="006E3B0D" w14:paraId="0D4FAAA2" w14:textId="77777777" w:rsidTr="00EA0C09">
        <w:trPr/>
        <w:tc>
          <w:tcPr>
            <w:tcW w:w="1050" w:type="dxa"/>
          </w:tcPr>
          <w:p w14:paraId="29F01B29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Desarrollar una solución de software</w:t>
            </w:r>
          </w:p>
        </w:tc>
        <w:tc>
          <w:tcPr>
            <w:tcW w:w="1150" w:type="dxa"/>
          </w:tcPr>
          <w:p w14:paraId="7B4EBE25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EP01 — Acceso y gestión de usuarios</w:t>
            </w:r>
          </w:p>
        </w:tc>
        <w:tc>
          <w:tcPr>
            <w:tcW w:w="1050" w:type="dxa"/>
          </w:tcPr>
          <w:p w14:paraId="16E191DF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IDE, base de datos (Supabase), Git/GitHub.</w:t>
            </w:r>
          </w:p>
        </w:tc>
        <w:tc>
          <w:tcPr>
            <w:tcW w:w="650" w:type="dxa"/>
          </w:tcPr>
          <w:p w14:paraId="66A5D860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S5–S6</w:t>
            </w:r>
          </w:p>
        </w:tc>
        <w:tc>
          <w:tcPr>
            <w:tcW w:w="1150" w:type="dxa"/>
          </w:tcPr>
          <w:p w14:paraId="036AB5D8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Carlos Seaman; Freddy Neilaf (modularización)</w:t>
            </w:r>
          </w:p>
        </w:tc>
        <w:tc>
          <w:tcPr>
            <w:tcW w:w="1400" w:type="dxa"/>
          </w:tcPr>
          <w:p w14:paraId="2FCEC037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Validar los permisos por rol en el backend y no solo en la interfaz.</w:t>
            </w:r>
          </w:p>
        </w:tc>
        <w:tc>
          <w:tcPr>
            <w:tcW w:w="1200" w:type="dxa"/>
          </w:tcPr>
          <w:p w14:paraId="29B0BFEB" w14:textId="77777777" w:rsidR="00FD5149" w:rsidRPr="00E54467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Completado</w:t>
            </w:r>
          </w:p>
        </w:tc>
        <w:tc>
          <w:tcPr>
            <w:tcW w:w="1300" w:type="dxa"/>
          </w:tcPr>
          <w:p w14:paraId="7C6D6F31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Se agregaron el registro público de estudiantes y el panel de administración de usuarios.</w:t>
            </w:r>
          </w:p>
        </w:tc>
      </w:tr>
      <w:tr w:rsidR="00FD5149" w:rsidRPr="006E3B0D" w14:paraId="0D4FAAA2" w14:textId="77777777" w:rsidTr="00EA0C09">
        <w:trPr/>
        <w:tc>
          <w:tcPr>
            <w:tcW w:w="1050" w:type="dxa"/>
          </w:tcPr>
          <w:p w14:paraId="29F01B29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Desarrollar una solución de software</w:t>
            </w:r>
          </w:p>
        </w:tc>
        <w:tc>
          <w:tcPr>
            <w:tcW w:w="1150" w:type="dxa"/>
          </w:tcPr>
          <w:p w14:paraId="7B4EBE25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EP02 — Registro de práctica profesional</w:t>
            </w:r>
          </w:p>
        </w:tc>
        <w:tc>
          <w:tcPr>
            <w:tcW w:w="1050" w:type="dxa"/>
          </w:tcPr>
          <w:p w14:paraId="16E191DF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IDE, base de datos (Supabase), Git/GitHub. API Chile RUT Empresa.</w:t>
            </w:r>
          </w:p>
        </w:tc>
        <w:tc>
          <w:tcPr>
            <w:tcW w:w="650" w:type="dxa"/>
          </w:tcPr>
          <w:p w14:paraId="66A5D860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S6–S7</w:t>
            </w:r>
          </w:p>
        </w:tc>
        <w:tc>
          <w:tcPr>
            <w:tcW w:w="1150" w:type="dxa"/>
          </w:tcPr>
          <w:p w14:paraId="036AB5D8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Carlos Seaman (HU02.1 y HU02.2); Freddy Neilaf (HU02.3)</w:t>
            </w:r>
          </w:p>
        </w:tc>
        <w:tc>
          <w:tcPr>
            <w:tcW w:w="1400" w:type="dxa"/>
          </w:tcPr>
          <w:p w14:paraId="2FCEC037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Dependencia de una API externa; se mitigó con una caché de 30 días.</w:t>
            </w:r>
          </w:p>
        </w:tc>
        <w:tc>
          <w:tcPr>
            <w:tcW w:w="1200" w:type="dxa"/>
          </w:tcPr>
          <w:p w14:paraId="29B0BFEB" w14:textId="77777777" w:rsidR="00FD5149" w:rsidRPr="00E54467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Completado</w:t>
            </w:r>
          </w:p>
        </w:tc>
        <w:tc>
          <w:tcPr>
            <w:tcW w:w="1300" w:type="dxa"/>
          </w:tcPr>
          <w:p w14:paraId="7C6D6F31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Se agregaron completar perfil y búsqueda de empresa por RUT.</w:t>
            </w:r>
          </w:p>
        </w:tc>
      </w:tr>
      <w:tr w:rsidR="00FD5149" w:rsidRPr="006E3B0D" w14:paraId="0D4FAAA2" w14:textId="77777777" w:rsidTr="00EA0C09">
        <w:trPr/>
        <w:tc>
          <w:tcPr>
            <w:tcW w:w="1050" w:type="dxa"/>
          </w:tcPr>
          <w:p w14:paraId="29F01B29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Desarrollar una solución de software</w:t>
            </w:r>
          </w:p>
        </w:tc>
        <w:tc>
          <w:tcPr>
            <w:tcW w:w="1150" w:type="dxa"/>
          </w:tcPr>
          <w:p w14:paraId="7B4EBE25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EP03 — Revisión y validación de prácticas</w:t>
            </w:r>
          </w:p>
        </w:tc>
        <w:tc>
          <w:tcPr>
            <w:tcW w:w="1050" w:type="dxa"/>
          </w:tcPr>
          <w:p w14:paraId="16E191DF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IDE, base de datos (Supabase), Git/GitHub.</w:t>
            </w:r>
          </w:p>
        </w:tc>
        <w:tc>
          <w:tcPr>
            <w:tcW w:w="650" w:type="dxa"/>
          </w:tcPr>
          <w:p w14:paraId="66A5D860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S7–S8</w:t>
            </w:r>
          </w:p>
        </w:tc>
        <w:tc>
          <w:tcPr>
            <w:tcW w:w="1150" w:type="dxa"/>
          </w:tcPr>
          <w:p w14:paraId="036AB5D8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Carlos Seaman (implementación); Freddy Neilaf (pruebas y mejoras); Brandon Ramírez (integración release 1.2)</w:t>
            </w:r>
          </w:p>
        </w:tc>
        <w:tc>
          <w:tcPr>
            <w:tcW w:w="1400" w:type="dxa"/>
          </w:tcPr>
          <w:p w14:paraId="2FCEC037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Conflictos al integrar ramas paralelas; se resolvieron modularizando el backend por dominio.</w:t>
            </w:r>
          </w:p>
        </w:tc>
        <w:tc>
          <w:tcPr>
            <w:tcW w:w="1200" w:type="dxa"/>
          </w:tcPr>
          <w:p w14:paraId="29B0BFEB" w14:textId="77777777" w:rsidR="00FD5149" w:rsidRPr="00E54467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Completado</w:t>
            </w:r>
          </w:p>
        </w:tc>
        <w:tc>
          <w:tcPr>
            <w:tcW w:w="1300" w:type="dxa"/>
          </w:tcPr>
          <w:p w14:paraId="7C6D6F31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Sin ajustes de alcance.</w:t>
            </w:r>
          </w:p>
        </w:tc>
      </w:tr>
      <w:tr w:rsidR="00FD5149" w:rsidRPr="006E3B0D" w14:paraId="0D4FAAA2" w14:textId="77777777" w:rsidTr="00EA0C09">
        <w:trPr/>
        <w:tc>
          <w:tcPr>
            <w:tcW w:w="1050" w:type="dxa"/>
          </w:tcPr>
          <w:p w14:paraId="29F01B29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Desarrollar una solución de software</w:t>
            </w:r>
          </w:p>
        </w:tc>
        <w:tc>
          <w:tcPr>
            <w:tcW w:w="1150" w:type="dxa"/>
          </w:tcPr>
          <w:p w14:paraId="7B4EBE25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EP04 — Gestión de estado de práctica profesional</w:t>
            </w:r>
          </w:p>
        </w:tc>
        <w:tc>
          <w:tcPr>
            <w:tcW w:w="1050" w:type="dxa"/>
          </w:tcPr>
          <w:p w14:paraId="16E191DF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IDE, base de datos (Supabase), Git/GitHub.</w:t>
            </w:r>
          </w:p>
        </w:tc>
        <w:tc>
          <w:tcPr>
            <w:tcW w:w="650" w:type="dxa"/>
          </w:tcPr>
          <w:p w14:paraId="66A5D860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S8–S9</w:t>
            </w:r>
          </w:p>
        </w:tc>
        <w:tc>
          <w:tcPr>
            <w:tcW w:w="1150" w:type="dxa"/>
          </w:tcPr>
          <w:p w14:paraId="036AB5D8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Freddy Neilaf; Brandon Ramírez (revisión y QA)</w:t>
            </w:r>
          </w:p>
        </w:tc>
        <w:tc>
          <w:tcPr>
            <w:tcW w:w="1400" w:type="dxa"/>
          </w:tcPr>
          <w:p w14:paraId="2FCEC037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Habilitar la transición en Supabase exige permisos y una conexión restringida.</w:t>
            </w:r>
          </w:p>
        </w:tc>
        <w:tc>
          <w:tcPr>
            <w:tcW w:w="1200" w:type="dxa"/>
          </w:tcPr>
          <w:p w14:paraId="29B0BFEB" w14:textId="77777777" w:rsidR="00FD5149" w:rsidRPr="00E54467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En curso</w:t>
            </w:r>
          </w:p>
        </w:tc>
        <w:tc>
          <w:tcPr>
            <w:tcW w:w="1300" w:type="dxa"/>
          </w:tcPr>
          <w:p w14:paraId="7C6D6F31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HU04.2 se limitó al inicio APROBADA → EN_CURSO; el cierre queda para EP07.</w:t>
            </w:r>
          </w:p>
        </w:tc>
      </w:tr>
      <w:tr w:rsidR="00FD5149" w:rsidRPr="006E3B0D" w14:paraId="0D4FAAA2" w14:textId="77777777" w:rsidTr="00EA0C09">
        <w:trPr/>
        <w:tc>
          <w:tcPr>
            <w:tcW w:w="1050" w:type="dxa"/>
          </w:tcPr>
          <w:p w14:paraId="29F01B29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Desarrollar una solución de software</w:t>
            </w:r>
          </w:p>
        </w:tc>
        <w:tc>
          <w:tcPr>
            <w:tcW w:w="1150" w:type="dxa"/>
          </w:tcPr>
          <w:p w14:paraId="7B4EBE25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Despliegue QA y aplicación Android (Release 1.1)</w:t>
            </w:r>
          </w:p>
        </w:tc>
        <w:tc>
          <w:tcPr>
            <w:tcW w:w="1050" w:type="dxa"/>
          </w:tcPr>
          <w:p w14:paraId="16E191DF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Render, Supabase, Capacitor, Android Studio.</w:t>
            </w:r>
          </w:p>
        </w:tc>
        <w:tc>
          <w:tcPr>
            <w:tcW w:w="650" w:type="dxa"/>
          </w:tcPr>
          <w:p w14:paraId="66A5D860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S8</w:t>
            </w:r>
          </w:p>
        </w:tc>
        <w:tc>
          <w:tcPr>
            <w:tcW w:w="1150" w:type="dxa"/>
          </w:tcPr>
          <w:p w14:paraId="036AB5D8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Carlos Seaman</w:t>
            </w:r>
          </w:p>
        </w:tc>
        <w:tc>
          <w:tcPr>
            <w:tcW w:w="1400" w:type="dxa"/>
          </w:tcPr>
          <w:p w14:paraId="2FCEC037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La instancia gratuita de Render se suspende por inactividad y tarda cerca de un minuto en responder.</w:t>
            </w:r>
          </w:p>
        </w:tc>
        <w:tc>
          <w:tcPr>
            <w:tcW w:w="1200" w:type="dxa"/>
          </w:tcPr>
          <w:p w14:paraId="29B0BFEB" w14:textId="77777777" w:rsidR="00FD5149" w:rsidRPr="00E54467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Completado</w:t>
            </w:r>
          </w:p>
        </w:tc>
        <w:tc>
          <w:tcPr>
            <w:tcW w:w="1300" w:type="dxa"/>
          </w:tcPr>
          <w:p w14:paraId="7C6D6F31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Actividad agregada: adelanta parte del despliegue para validar el sistema con usuarios.</w:t>
            </w:r>
          </w:p>
        </w:tc>
      </w:tr>
      <w:tr w:rsidR="00FD5149" w:rsidRPr="006E3B0D" w14:paraId="0D4FAAA2" w14:textId="77777777" w:rsidTr="00EA0C09">
        <w:trPr/>
        <w:tc>
          <w:tcPr>
            <w:tcW w:w="1050" w:type="dxa"/>
          </w:tcPr>
          <w:p w14:paraId="29F01B29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Gestionar proyectos informáticos</w:t>
            </w:r>
          </w:p>
        </w:tc>
        <w:tc>
          <w:tcPr>
            <w:tcW w:w="1150" w:type="dxa"/>
          </w:tcPr>
          <w:p w14:paraId="7B4EBE25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Documentación de Fase 2 (Documentos 01, 02, 04 y 05)</w:t>
            </w:r>
          </w:p>
        </w:tc>
        <w:tc>
          <w:tcPr>
            <w:tcW w:w="1050" w:type="dxa"/>
          </w:tcPr>
          <w:p w14:paraId="16E191DF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Documentación, repositorio, herramientas de diagramado.</w:t>
            </w:r>
          </w:p>
        </w:tc>
        <w:tc>
          <w:tcPr>
            <w:tcW w:w="650" w:type="dxa"/>
          </w:tcPr>
          <w:p w14:paraId="66A5D860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S5–S9</w:t>
            </w:r>
          </w:p>
        </w:tc>
        <w:tc>
          <w:tcPr>
            <w:tcW w:w="1150" w:type="dxa"/>
          </w:tcPr>
          <w:p w14:paraId="036AB5D8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Freddy Neilaf</w:t>
            </w:r>
          </w:p>
        </w:tc>
        <w:tc>
          <w:tcPr>
            <w:tcW w:w="1400" w:type="dxa"/>
          </w:tcPr>
          <w:p w14:paraId="2FCEC037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Mantener la coherencia entre documentos y código; se verificó el diseño contra el repositorio.</w:t>
            </w:r>
          </w:p>
        </w:tc>
        <w:tc>
          <w:tcPr>
            <w:tcW w:w="1200" w:type="dxa"/>
          </w:tcPr>
          <w:p w14:paraId="29B0BFEB" w14:textId="77777777" w:rsidR="00FD5149" w:rsidRPr="00E54467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Completado</w:t>
            </w:r>
          </w:p>
        </w:tc>
        <w:tc>
          <w:tcPr>
            <w:tcW w:w="1300" w:type="dxa"/>
          </w:tcPr>
          <w:p w14:paraId="7C6D6F31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Actividad agregada según los entregables de Fase 2.</w:t>
            </w:r>
          </w:p>
        </w:tc>
      </w:tr>
      <w:tr w:rsidR="00FD5149" w:rsidRPr="006E3B0D" w14:paraId="0D4FAAA2" w14:textId="77777777" w:rsidTr="00EA0C09">
        <w:trPr/>
        <w:tc>
          <w:tcPr>
            <w:tcW w:w="1050" w:type="dxa"/>
          </w:tcPr>
          <w:p w14:paraId="29F01B29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Desarrollar una solución de software</w:t>
            </w:r>
          </w:p>
        </w:tc>
        <w:tc>
          <w:tcPr>
            <w:tcW w:w="1150" w:type="dxa"/>
          </w:tcPr>
          <w:p w14:paraId="7B4EBE25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EP05 — Seguimiento de práctica</w:t>
            </w:r>
          </w:p>
        </w:tc>
        <w:tc>
          <w:tcPr>
            <w:tcW w:w="1050" w:type="dxa"/>
          </w:tcPr>
          <w:p w14:paraId="16E191DF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IDE, base de datos (Supabase), Git/GitHub.</w:t>
            </w:r>
          </w:p>
        </w:tc>
        <w:tc>
          <w:tcPr>
            <w:tcW w:w="650" w:type="dxa"/>
          </w:tcPr>
          <w:p w14:paraId="66A5D860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S9–S11</w:t>
            </w:r>
          </w:p>
        </w:tc>
        <w:tc>
          <w:tcPr>
            <w:tcW w:w="1150" w:type="dxa"/>
          </w:tcPr>
          <w:p w14:paraId="036AB5D8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Todo el equipo</w:t>
            </w:r>
          </w:p>
        </w:tc>
        <w:tc>
          <w:tcPr>
            <w:tcW w:w="1400" w:type="dxa"/>
          </w:tcPr>
          <w:p w14:paraId="2FCEC037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Puede requerir ajustes según los requerimientos del seguimiento.</w:t>
            </w:r>
          </w:p>
        </w:tc>
        <w:tc>
          <w:tcPr>
            <w:tcW w:w="1200" w:type="dxa"/>
          </w:tcPr>
          <w:p w14:paraId="29B0BFEB" w14:textId="77777777" w:rsidR="00FD5149" w:rsidRPr="00E54467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No iniciado</w:t>
            </w:r>
          </w:p>
        </w:tc>
        <w:tc>
          <w:tcPr>
            <w:tcW w:w="1300" w:type="dxa"/>
          </w:tcPr>
          <w:p w14:paraId="7C6D6F31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—</w:t>
            </w:r>
          </w:p>
        </w:tc>
      </w:tr>
      <w:tr w:rsidR="00FD5149" w:rsidRPr="006E3B0D" w14:paraId="0D4FAAA2" w14:textId="77777777" w:rsidTr="00EA0C09">
        <w:trPr/>
        <w:tc>
          <w:tcPr>
            <w:tcW w:w="1050" w:type="dxa"/>
          </w:tcPr>
          <w:p w14:paraId="29F01B29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Desarrollar una solución de software</w:t>
            </w:r>
          </w:p>
        </w:tc>
        <w:tc>
          <w:tcPr>
            <w:tcW w:w="1150" w:type="dxa"/>
          </w:tcPr>
          <w:p w14:paraId="7B4EBE25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EP06 — Gestión de incidencias y alertas</w:t>
            </w:r>
          </w:p>
        </w:tc>
        <w:tc>
          <w:tcPr>
            <w:tcW w:w="1050" w:type="dxa"/>
          </w:tcPr>
          <w:p w14:paraId="16E191DF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IDE, base de datos (Supabase), Git/GitHub.</w:t>
            </w:r>
          </w:p>
        </w:tc>
        <w:tc>
          <w:tcPr>
            <w:tcW w:w="650" w:type="dxa"/>
          </w:tcPr>
          <w:p w14:paraId="66A5D860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S10–S12</w:t>
            </w:r>
          </w:p>
        </w:tc>
        <w:tc>
          <w:tcPr>
            <w:tcW w:w="1150" w:type="dxa"/>
          </w:tcPr>
          <w:p w14:paraId="036AB5D8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Todo el equipo</w:t>
            </w:r>
          </w:p>
        </w:tc>
        <w:tc>
          <w:tcPr>
            <w:tcW w:w="1400" w:type="dxa"/>
          </w:tcPr>
          <w:p w14:paraId="2FCEC037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Alinear los estados de incidencia del DoD con el esquema (ABIERTA, EN_REVISION, RESUELTA, CERRADA).</w:t>
            </w:r>
          </w:p>
        </w:tc>
        <w:tc>
          <w:tcPr>
            <w:tcW w:w="1200" w:type="dxa"/>
          </w:tcPr>
          <w:p w14:paraId="29B0BFEB" w14:textId="77777777" w:rsidR="00FD5149" w:rsidRPr="00E54467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No iniciado</w:t>
            </w:r>
          </w:p>
        </w:tc>
        <w:tc>
          <w:tcPr>
            <w:tcW w:w="1300" w:type="dxa"/>
          </w:tcPr>
          <w:p w14:paraId="7C6D6F31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—</w:t>
            </w:r>
          </w:p>
        </w:tc>
      </w:tr>
      <w:tr w:rsidR="00FD5149" w:rsidRPr="006E3B0D" w14:paraId="0D4FAAA2" w14:textId="77777777" w:rsidTr="00EA0C09">
        <w:trPr/>
        <w:tc>
          <w:tcPr>
            <w:tcW w:w="1050" w:type="dxa"/>
          </w:tcPr>
          <w:p w14:paraId="29F01B29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Desarrollar una solución de software</w:t>
            </w:r>
          </w:p>
        </w:tc>
        <w:tc>
          <w:tcPr>
            <w:tcW w:w="1150" w:type="dxa"/>
          </w:tcPr>
          <w:p w14:paraId="7B4EBE25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EP07 — Cierre de práctica profesional</w:t>
            </w:r>
          </w:p>
        </w:tc>
        <w:tc>
          <w:tcPr>
            <w:tcW w:w="1050" w:type="dxa"/>
          </w:tcPr>
          <w:p w14:paraId="16E191DF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IDE, base de datos (Supabase), Git/GitHub.</w:t>
            </w:r>
          </w:p>
        </w:tc>
        <w:tc>
          <w:tcPr>
            <w:tcW w:w="650" w:type="dxa"/>
          </w:tcPr>
          <w:p w14:paraId="66A5D860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S12–S13</w:t>
            </w:r>
          </w:p>
        </w:tc>
        <w:tc>
          <w:tcPr>
            <w:tcW w:w="1150" w:type="dxa"/>
          </w:tcPr>
          <w:p w14:paraId="036AB5D8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Todo el equipo</w:t>
            </w:r>
          </w:p>
        </w:tc>
        <w:tc>
          <w:tcPr>
            <w:tcW w:w="1400" w:type="dxa"/>
          </w:tcPr>
          <w:p w14:paraId="2FCEC037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Debe incorporar las transiciones de cierre que no se incluyeron en EP04.</w:t>
            </w:r>
          </w:p>
        </w:tc>
        <w:tc>
          <w:tcPr>
            <w:tcW w:w="1200" w:type="dxa"/>
          </w:tcPr>
          <w:p w14:paraId="29B0BFEB" w14:textId="77777777" w:rsidR="00FD5149" w:rsidRPr="00E54467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No iniciado</w:t>
            </w:r>
          </w:p>
        </w:tc>
        <w:tc>
          <w:tcPr>
            <w:tcW w:w="1300" w:type="dxa"/>
          </w:tcPr>
          <w:p w14:paraId="7C6D6F31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—</w:t>
            </w:r>
          </w:p>
        </w:tc>
      </w:tr>
      <w:tr w:rsidR="00FD5149" w:rsidRPr="006E3B0D" w14:paraId="0D4FAAA2" w14:textId="77777777" w:rsidTr="00EA0C09">
        <w:trPr/>
        <w:tc>
          <w:tcPr>
            <w:tcW w:w="1050" w:type="dxa"/>
          </w:tcPr>
          <w:p w14:paraId="29F01B29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Realizar pruebas de certificación / Desarrollar una solución de software</w:t>
            </w:r>
          </w:p>
        </w:tc>
        <w:tc>
          <w:tcPr>
            <w:tcW w:w="1150" w:type="dxa"/>
          </w:tcPr>
          <w:p w14:paraId="7B4EBE25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Integración y pruebas del PMV</w:t>
            </w:r>
          </w:p>
        </w:tc>
        <w:tc>
          <w:tcPr>
            <w:tcW w:w="1050" w:type="dxa"/>
          </w:tcPr>
          <w:p w14:paraId="16E191DF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PracticaLink, casos de prueba, Postman, Git/GitHub.</w:t>
            </w:r>
          </w:p>
        </w:tc>
        <w:tc>
          <w:tcPr>
            <w:tcW w:w="650" w:type="dxa"/>
          </w:tcPr>
          <w:p w14:paraId="66A5D860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S13–S14</w:t>
            </w:r>
          </w:p>
        </w:tc>
        <w:tc>
          <w:tcPr>
            <w:tcW w:w="1150" w:type="dxa"/>
          </w:tcPr>
          <w:p w14:paraId="036AB5D8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Brandon Ramírez (QA), con el equipo</w:t>
            </w:r>
          </w:p>
        </w:tc>
        <w:tc>
          <w:tcPr>
            <w:tcW w:w="1400" w:type="dxa"/>
          </w:tcPr>
          <w:p w14:paraId="2FCEC037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Las pruebas automatizadas existentes reducen el trabajo de regresión.</w:t>
            </w:r>
          </w:p>
        </w:tc>
        <w:tc>
          <w:tcPr>
            <w:tcW w:w="1200" w:type="dxa"/>
          </w:tcPr>
          <w:p w14:paraId="29B0BFEB" w14:textId="77777777" w:rsidR="00FD5149" w:rsidRPr="00E54467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No iniciado</w:t>
            </w:r>
          </w:p>
        </w:tc>
        <w:tc>
          <w:tcPr>
            <w:tcW w:w="1300" w:type="dxa"/>
          </w:tcPr>
          <w:p w14:paraId="7C6D6F31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—</w:t>
            </w:r>
          </w:p>
        </w:tc>
      </w:tr>
      <w:tr w:rsidR="00FD5149" w:rsidRPr="006E3B0D" w14:paraId="0D4FAAA2" w14:textId="77777777" w:rsidTr="00EA0C09">
        <w:trPr/>
        <w:tc>
          <w:tcPr>
            <w:tcW w:w="1050" w:type="dxa"/>
          </w:tcPr>
          <w:p w14:paraId="29F01B29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Realizar pruebas de certificación</w:t>
            </w:r>
          </w:p>
        </w:tc>
        <w:tc>
          <w:tcPr>
            <w:tcW w:w="1150" w:type="dxa"/>
          </w:tcPr>
          <w:p w14:paraId="7B4EBE25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Correcciones y ajustes del PMV</w:t>
            </w:r>
          </w:p>
        </w:tc>
        <w:tc>
          <w:tcPr>
            <w:tcW w:w="1050" w:type="dxa"/>
          </w:tcPr>
          <w:p w14:paraId="16E191DF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PracticaLink, resultados de pruebas, Git/GitHub.</w:t>
            </w:r>
          </w:p>
        </w:tc>
        <w:tc>
          <w:tcPr>
            <w:tcW w:w="650" w:type="dxa"/>
          </w:tcPr>
          <w:p w14:paraId="66A5D860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S14–S15</w:t>
            </w:r>
          </w:p>
        </w:tc>
        <w:tc>
          <w:tcPr>
            <w:tcW w:w="1150" w:type="dxa"/>
          </w:tcPr>
          <w:p w14:paraId="036AB5D8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Todo el equipo</w:t>
            </w:r>
          </w:p>
        </w:tc>
        <w:tc>
          <w:tcPr>
            <w:tcW w:w="1400" w:type="dxa"/>
          </w:tcPr>
          <w:p w14:paraId="2FCEC037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Priorizar errores que afecten funcionalidades principales.</w:t>
            </w:r>
          </w:p>
        </w:tc>
        <w:tc>
          <w:tcPr>
            <w:tcW w:w="1200" w:type="dxa"/>
          </w:tcPr>
          <w:p w14:paraId="29B0BFEB" w14:textId="77777777" w:rsidR="00FD5149" w:rsidRPr="00E54467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No iniciado</w:t>
            </w:r>
          </w:p>
        </w:tc>
        <w:tc>
          <w:tcPr>
            <w:tcW w:w="1300" w:type="dxa"/>
          </w:tcPr>
          <w:p w14:paraId="7C6D6F31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—</w:t>
            </w:r>
          </w:p>
        </w:tc>
      </w:tr>
      <w:tr w:rsidR="00FD5149" w:rsidRPr="006E3B0D" w14:paraId="0D4FAAA2" w14:textId="77777777" w:rsidTr="00EA0C09">
        <w:trPr/>
        <w:tc>
          <w:tcPr>
            <w:tcW w:w="1050" w:type="dxa"/>
          </w:tcPr>
          <w:p w14:paraId="29F01B29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Realizar pruebas de certificación / Gestionar proyectos informáticos</w:t>
            </w:r>
          </w:p>
        </w:tc>
        <w:tc>
          <w:tcPr>
            <w:tcW w:w="1150" w:type="dxa"/>
          </w:tcPr>
          <w:p w14:paraId="7B4EBE25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Estabilización y documentación final</w:t>
            </w:r>
          </w:p>
        </w:tc>
        <w:tc>
          <w:tcPr>
            <w:tcW w:w="1050" w:type="dxa"/>
          </w:tcPr>
          <w:p w14:paraId="16E191DF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Sistema desarrollado, repositorio, documentación y evidencias.</w:t>
            </w:r>
          </w:p>
        </w:tc>
        <w:tc>
          <w:tcPr>
            <w:tcW w:w="650" w:type="dxa"/>
          </w:tcPr>
          <w:p w14:paraId="66A5D860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S16–S17</w:t>
            </w:r>
          </w:p>
        </w:tc>
        <w:tc>
          <w:tcPr>
            <w:tcW w:w="1150" w:type="dxa"/>
          </w:tcPr>
          <w:p w14:paraId="036AB5D8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Freddy Neilaf, con el equipo</w:t>
            </w:r>
          </w:p>
        </w:tc>
        <w:tc>
          <w:tcPr>
            <w:tcW w:w="1400" w:type="dxa"/>
          </w:tcPr>
          <w:p w14:paraId="2FCEC037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Verificar el cumplimiento de los objetivos y requerimientos.</w:t>
            </w:r>
          </w:p>
        </w:tc>
        <w:tc>
          <w:tcPr>
            <w:tcW w:w="1200" w:type="dxa"/>
          </w:tcPr>
          <w:p w14:paraId="29B0BFEB" w14:textId="77777777" w:rsidR="00FD5149" w:rsidRPr="00E54467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No iniciado</w:t>
            </w:r>
          </w:p>
        </w:tc>
        <w:tc>
          <w:tcPr>
            <w:tcW w:w="1300" w:type="dxa"/>
          </w:tcPr>
          <w:p w14:paraId="7C6D6F31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—</w:t>
            </w:r>
          </w:p>
        </w:tc>
      </w:tr>
      <w:tr w:rsidR="00FD5149" w:rsidRPr="006E3B0D" w14:paraId="0D4FAAA2" w14:textId="77777777" w:rsidTr="00EA0C09">
        <w:trPr/>
        <w:tc>
          <w:tcPr>
            <w:tcW w:w="1050" w:type="dxa"/>
          </w:tcPr>
          <w:p w14:paraId="29F01B29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Gestionar proyectos informáticos</w:t>
            </w:r>
          </w:p>
        </w:tc>
        <w:tc>
          <w:tcPr>
            <w:tcW w:w="1150" w:type="dxa"/>
          </w:tcPr>
          <w:p w14:paraId="7B4EBE25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Preparación, presentación y entrega final</w:t>
            </w:r>
          </w:p>
        </w:tc>
        <w:tc>
          <w:tcPr>
            <w:tcW w:w="1050" w:type="dxa"/>
          </w:tcPr>
          <w:p w14:paraId="16E191DF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PMV, presentación, documentación y evidencias.</w:t>
            </w:r>
          </w:p>
        </w:tc>
        <w:tc>
          <w:tcPr>
            <w:tcW w:w="650" w:type="dxa"/>
          </w:tcPr>
          <w:p w14:paraId="66A5D860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S17–S18</w:t>
            </w:r>
          </w:p>
        </w:tc>
        <w:tc>
          <w:tcPr>
            <w:tcW w:w="1150" w:type="dxa"/>
          </w:tcPr>
          <w:p w14:paraId="036AB5D8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Todo el equipo</w:t>
            </w:r>
          </w:p>
        </w:tc>
        <w:tc>
          <w:tcPr>
            <w:tcW w:w="1400" w:type="dxa"/>
          </w:tcPr>
          <w:p w14:paraId="2FCEC037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Preparar previamente la demostración de las funcionalidades principales.</w:t>
            </w:r>
          </w:p>
        </w:tc>
        <w:tc>
          <w:tcPr>
            <w:tcW w:w="1200" w:type="dxa"/>
          </w:tcPr>
          <w:p w14:paraId="29B0BFEB" w14:textId="77777777" w:rsidR="00FD5149" w:rsidRPr="00E54467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No iniciado</w:t>
            </w:r>
          </w:p>
        </w:tc>
        <w:tc>
          <w:tcPr>
            <w:tcW w:w="1300" w:type="dxa"/>
          </w:tcPr>
          <w:p w14:paraId="7C6D6F31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—</w:t>
            </w:r>
          </w:p>
        </w:tc>
      </w:tr>
    </w:tbl>
    <w:p w14:paraId="66FF4E8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17CE44DE" w14:textId="77777777" w:rsidR="0003309E" w:rsidRPr="00371CBB" w:rsidRDefault="0003309E" w:rsidP="00C5122E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/>
                <w:color w:val="1F3864" w:themeColor="accent1" w:themeShade="80"/>
              </w:rPr>
              <w:t>Factores que han f</w:t>
            </w:r>
            <w:r w:rsidRPr="00CD38BD">
              <w:rPr>
                <w:rFonts w:ascii="Calibri" w:hAnsi="Calibri"/>
                <w:b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b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b/>
                <w:color w:val="1F3864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b/>
                <w:color w:val="548DD4"/>
                <w:sz w:val="20"/>
                <w:szCs w:val="20"/>
                <w:lang w:eastAsia="es-CL"/>
              </w:rPr>
              <w:t xml:space="preserve">: </w:t>
            </w:r>
            <w:r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</w:p>
          <w:p>
            <w:pPr>
              <w:spacing w:after="80" w:before="0"/>
              <w:ind w:left="0" w:firstLine="0"/>
              <w:jc w:val="both"/>
            </w:pPr>
            <w:r>
              <w:rPr>
                <w:rFonts w:ascii="Calibri" w:hAnsi="Calibri" w:eastAsia="Calibri"/>
                <w:b/>
                <w:i w:val="0"/>
                <w:sz w:val="20"/>
              </w:rPr>
              <w:t>Factores que facilitaron el desarrollo</w:t>
            </w:r>
          </w:p>
          <w:p>
            <w:pPr>
              <w:spacing w:after="80" w:before="0"/>
              <w:ind w:left="283" w:hanging="198"/>
              <w:jc w:val="both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•  </w:t>
            </w:r>
            <w:r>
              <w:rPr>
                <w:rFonts w:ascii="Calibri" w:hAnsi="Calibri" w:eastAsia="Calibri"/>
                <w:b/>
                <w:i w:val="0"/>
                <w:sz w:val="20"/>
              </w:rPr>
              <w:t xml:space="preserve">Arquitectura y patrón comunes: 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todos los módulos siguen el mismo patrón (ruta, esquema, servicio y función de base de datos), por lo que cada épica nueva reutiliza la estructura de la anterior.</w:t>
            </w:r>
          </w:p>
          <w:p>
            <w:pPr>
              <w:spacing w:after="80" w:before="0"/>
              <w:ind w:left="283" w:hanging="198"/>
              <w:jc w:val="both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•  </w:t>
            </w:r>
            <w:r>
              <w:rPr>
                <w:rFonts w:ascii="Calibri" w:hAnsi="Calibri" w:eastAsia="Calibri"/>
                <w:b/>
                <w:i w:val="0"/>
                <w:sz w:val="20"/>
              </w:rPr>
              <w:t xml:space="preserve">Modelo de datos completo desde el inicio: 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las tablas de todas las épicas se definieron en la Fase 1, lo que evitó migraciones al avanzar.</w:t>
            </w:r>
          </w:p>
          <w:p>
            <w:pPr>
              <w:spacing w:after="80" w:before="0"/>
              <w:ind w:left="283" w:hanging="198"/>
              <w:jc w:val="both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•  </w:t>
            </w:r>
            <w:r>
              <w:rPr>
                <w:rFonts w:ascii="Calibri" w:hAnsi="Calibri" w:eastAsia="Calibri"/>
                <w:b/>
                <w:i w:val="0"/>
                <w:sz w:val="20"/>
              </w:rPr>
              <w:t xml:space="preserve">Flujo de trabajo en GitHub: 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las ramas por historia y los pull requests permitieron trabajar en paralelo y revisar los cambios antes de integrarlos.</w:t>
            </w:r>
          </w:p>
          <w:p>
            <w:pPr>
              <w:spacing w:after="80" w:before="0"/>
              <w:ind w:left="283" w:hanging="198"/>
              <w:jc w:val="both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•  </w:t>
            </w:r>
            <w:r>
              <w:rPr>
                <w:rFonts w:ascii="Calibri" w:hAnsi="Calibri" w:eastAsia="Calibri"/>
                <w:b/>
                <w:i w:val="0"/>
                <w:sz w:val="20"/>
              </w:rPr>
              <w:t xml:space="preserve">Roles definidos y reuniones de control: 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la asignación de Scrum Master, Product Owner y QA y las actas con el docente ordenaron las decisiones y los plazos.</w:t>
            </w:r>
          </w:p>
          <w:p>
            <w:pPr>
              <w:spacing w:after="80" w:before="0"/>
              <w:ind w:left="283" w:hanging="198"/>
              <w:jc w:val="both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•  </w:t>
            </w:r>
            <w:r>
              <w:rPr>
                <w:rFonts w:ascii="Calibri" w:hAnsi="Calibri" w:eastAsia="Calibri"/>
                <w:b/>
                <w:i w:val="0"/>
                <w:sz w:val="20"/>
              </w:rPr>
              <w:t xml:space="preserve">Pruebas automatizadas: 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permiten detectar regresiones al modificar módulos ya terminados.</w:t>
            </w:r>
          </w:p>
          <w:p>
            <w:pPr>
              <w:spacing w:after="80" w:before="0"/>
              <w:ind w:left="0" w:firstLine="0"/>
              <w:jc w:val="both"/>
            </w:pPr>
            <w:r>
              <w:rPr>
                <w:rFonts w:ascii="Calibri" w:hAnsi="Calibri" w:eastAsia="Calibri"/>
                <w:b/>
                <w:i w:val="0"/>
                <w:sz w:val="20"/>
              </w:rPr>
              <w:t>Factores que dificultaron el desarrollo y acciones tomadas</w:t>
            </w:r>
          </w:p>
          <w:p>
            <w:pPr>
              <w:spacing w:after="80" w:before="0"/>
              <w:ind w:left="283" w:hanging="198"/>
              <w:jc w:val="both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•  </w:t>
            </w:r>
            <w:r>
              <w:rPr>
                <w:rFonts w:ascii="Calibri" w:hAnsi="Calibri" w:eastAsia="Calibri"/>
                <w:b/>
                <w:i w:val="0"/>
                <w:sz w:val="20"/>
              </w:rPr>
              <w:t xml:space="preserve">Diferencias entre la documentación y el código: 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el rol «coordinador» de los documentos es GESTOR en el sistema, y los estados del DoD no coincidían con el catálogo real. Acción: se unificó el nombre del rol y se verificó el Documento de Diseño contra el repositorio; los criterios pendientes de EP04 se acordarán con el docente.</w:t>
            </w:r>
          </w:p>
          <w:p>
            <w:pPr>
              <w:spacing w:after="80" w:before="0"/>
              <w:ind w:left="283" w:hanging="198"/>
              <w:jc w:val="both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•  </w:t>
            </w:r>
            <w:r>
              <w:rPr>
                <w:rFonts w:ascii="Calibri" w:hAnsi="Calibri" w:eastAsia="Calibri"/>
                <w:b/>
                <w:i w:val="0"/>
                <w:sz w:val="20"/>
              </w:rPr>
              <w:t xml:space="preserve">Funcionalidades necesarias no planificadas: 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el registro, el perfil del estudiante y el panel de administración eran necesarios para operar el sistema. Acción: se implementaron como funcionalidades de apoyo y se agregaron al backlog.</w:t>
            </w:r>
          </w:p>
          <w:p>
            <w:pPr>
              <w:spacing w:after="80" w:before="0"/>
              <w:ind w:left="283" w:hanging="198"/>
              <w:jc w:val="both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•  </w:t>
            </w:r>
            <w:r>
              <w:rPr>
                <w:rFonts w:ascii="Calibri" w:hAnsi="Calibri" w:eastAsia="Calibri"/>
                <w:b/>
                <w:i w:val="0"/>
                <w:sz w:val="20"/>
              </w:rPr>
              <w:t xml:space="preserve">Integración de ramas paralelas: 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al integrar EP02 y EP03 aparecieron conflictos. Acción: se modularizó el backend por dominio (release 1.2) y se definió un flujo de ramas obligatorio.</w:t>
            </w:r>
          </w:p>
          <w:p>
            <w:pPr>
              <w:spacing w:after="80" w:before="0"/>
              <w:ind w:left="283" w:hanging="198"/>
              <w:jc w:val="both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•  </w:t>
            </w:r>
            <w:r>
              <w:rPr>
                <w:rFonts w:ascii="Calibri" w:hAnsi="Calibri" w:eastAsia="Calibri"/>
                <w:b/>
                <w:i w:val="0"/>
                <w:sz w:val="20"/>
              </w:rPr>
              <w:t xml:space="preserve">Despliegue seguro de la base de datos: 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la transición de estado de EP04 requiere permisos restringidos en Supabase. Acción: se habilitará en la semana 9 con un usuario de conexión dedicado.</w:t>
            </w:r>
          </w:p>
          <w:p>
            <w:pPr>
              <w:spacing w:after="80" w:before="0"/>
              <w:ind w:left="283" w:hanging="198"/>
              <w:jc w:val="both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•  </w:t>
            </w:r>
            <w:r>
              <w:rPr>
                <w:rFonts w:ascii="Calibri" w:hAnsi="Calibri" w:eastAsia="Calibri"/>
                <w:b/>
                <w:i w:val="0"/>
                <w:sz w:val="20"/>
              </w:rPr>
              <w:t xml:space="preserve">Disponibilidad de tiempo y distribución del trabajo: 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al inicio las tareas no tenían responsables. Acción: se asignaron responsables por actividad y se estimó el backlog con Poker Planning.</w:t>
            </w: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0E567A33" w14:textId="2A8FED79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b/>
                <w:color w:val="1F3864" w:themeColor="accent1" w:themeShade="80"/>
              </w:rPr>
              <w:lastRenderedPageBreak/>
              <w:t xml:space="preserve">Actividades ajustadas o eliminadas: </w:t>
            </w:r>
            <w:r w:rsidR="00521026">
              <w:rPr>
                <w:b/>
              </w:rPr>
              <w:t xml:space="preserve"> </w:t>
            </w:r>
          </w:p>
          <w:p>
            <w:pPr>
              <w:spacing w:after="80" w:before="0"/>
              <w:ind w:left="283" w:hanging="198"/>
              <w:jc w:val="both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•  </w:t>
            </w:r>
            <w:r>
              <w:rPr>
                <w:rFonts w:ascii="Calibri" w:hAnsi="Calibri" w:eastAsia="Calibri"/>
                <w:b/>
                <w:i w:val="0"/>
                <w:sz w:val="20"/>
              </w:rPr>
              <w:t xml:space="preserve">Actividades agregadas: 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funcionalidades de apoyo (registro público, completar perfil, panel de administración y búsqueda de empresa por RUT con caché); despliegue de QA en Render con aplicación Android, para validar el sistema con usuarios antes del PMV; y documentación de Fase 2 (Documentos 01, 02, 04 y 05), exigida en esta fase.</w:t>
            </w:r>
          </w:p>
          <w:p>
            <w:pPr>
              <w:spacing w:after="80" w:before="0"/>
              <w:ind w:left="283" w:hanging="198"/>
              <w:jc w:val="both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•  </w:t>
            </w:r>
            <w:r>
              <w:rPr>
                <w:rFonts w:ascii="Calibri" w:hAnsi="Calibri" w:eastAsia="Calibri"/>
                <w:b/>
                <w:i w:val="0"/>
                <w:sz w:val="20"/>
              </w:rPr>
              <w:t xml:space="preserve">Actividad ajustada — EP04: 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HU04.2 se acotó a la transición APROBADA → EN_CURSO, y la consulta del historial quedó disponible para el gestor y el administrador. Las transiciones de cierre se implementarán en EP07, donde corresponden según el backlog.</w:t>
            </w:r>
          </w:p>
          <w:p>
            <w:pPr>
              <w:spacing w:after="80" w:before="0"/>
              <w:ind w:left="283" w:hanging="198"/>
              <w:jc w:val="both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•  </w:t>
            </w:r>
            <w:r>
              <w:rPr>
                <w:rFonts w:ascii="Calibri" w:hAnsi="Calibri" w:eastAsia="Calibri"/>
                <w:b/>
                <w:i w:val="0"/>
                <w:sz w:val="20"/>
              </w:rPr>
              <w:t xml:space="preserve">Actividad ajustada — plan de trabajo: 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se reemplazó «Por asignar» por los responsables de cada actividad, y la metodología se formalizó como Scrum con sprints de dos semanas.</w:t>
            </w:r>
          </w:p>
          <w:p>
            <w:pPr>
              <w:spacing w:after="80" w:before="0"/>
              <w:ind w:left="283" w:hanging="198"/>
              <w:jc w:val="both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•  </w:t>
            </w:r>
            <w:r>
              <w:rPr>
                <w:rFonts w:ascii="Calibri" w:hAnsi="Calibri" w:eastAsia="Calibri"/>
                <w:b/>
                <w:i w:val="0"/>
                <w:sz w:val="20"/>
              </w:rPr>
              <w:t xml:space="preserve">Actividades eliminadas: 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ninguna. Las épicas EP05 a EP07 y las actividades de integración, pruebas y cierre se mantienen en las semanas planificadas.</w:t>
            </w: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71F24186" w14:textId="6C9A0274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b/>
                <w:color w:val="1F3864" w:themeColor="accent1" w:themeShade="80"/>
              </w:rPr>
              <w:t>Actividades que no has iniciado o están retrasadas:</w:t>
            </w:r>
          </w:p>
          <w:p>
            <w:pPr>
              <w:spacing w:after="80" w:before="0"/>
              <w:ind w:left="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No hay actividades retrasadas. Las actividades no iniciadas (EP05, EP06, EP07, integración y pruebas del PMV, correcciones, estabilización y entrega final) corresponden a semanas posteriores a la semana 9, según la Carta Gantt.</w:t>
            </w:r>
          </w:p>
          <w:p>
            <w:pPr>
              <w:spacing w:after="80" w:before="0"/>
              <w:ind w:left="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Sí hay tareas pendientes de EP04 que deben cerrarse durante la semana 9 para no afectar EP05: habilitar la transición de estado en Supabase, revisar el pull request por otro integrante, preparar la colección Postman y acordar con el docente los criterios pendientes del DoD. Para cumplirlas, se asignaron responsables y plazos en el acta del 19/10, y EP05 comenzará en paralelo, ya que sus tablas no dependen de esas tareas.</w:t>
            </w: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31069C" w14:textId="77777777" w:rsidR="005A0A7C" w:rsidRDefault="005A0A7C" w:rsidP="0003309E">
      <w:pPr>
        <w:spacing w:after="0" w:line="240" w:lineRule="auto"/>
      </w:pPr>
      <w:r>
        <w:separator/>
      </w:r>
    </w:p>
  </w:endnote>
  <w:endnote w:type="continuationSeparator" w:id="0">
    <w:p w14:paraId="69B8617C" w14:textId="77777777" w:rsidR="005A0A7C" w:rsidRDefault="005A0A7C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421B8F5" w14:textId="77777777" w:rsidR="005A0A7C" w:rsidRDefault="005A0A7C" w:rsidP="0003309E">
      <w:pPr>
        <w:spacing w:after="0" w:line="240" w:lineRule="auto"/>
      </w:pPr>
      <w:r>
        <w:separator/>
      </w:r>
    </w:p>
  </w:footnote>
  <w:footnote w:type="continuationSeparator" w:id="0">
    <w:p w14:paraId="362472A8" w14:textId="77777777" w:rsidR="005A0A7C" w:rsidRDefault="005A0A7C" w:rsidP="0003309E">
      <w:pPr>
        <w:spacing w:after="0" w:line="240" w:lineRule="auto"/>
      </w:pPr>
      <w:r>
        <w:continuationSeparator/>
      </w:r>
    </w:p>
  </w:footnote>
  <w:footnote w:id="1">
    <w:p w14:paraId="4451B7D5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3608EA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806DE0"/>
    <w:rsid w:val="0081536B"/>
    <w:rsid w:val="008479F5"/>
    <w:rsid w:val="0085275A"/>
    <w:rsid w:val="008F621F"/>
    <w:rsid w:val="009378F7"/>
    <w:rsid w:val="009552E5"/>
    <w:rsid w:val="00976ABB"/>
    <w:rsid w:val="009E52DF"/>
    <w:rsid w:val="00B31361"/>
    <w:rsid w:val="00B4258F"/>
    <w:rsid w:val="00B8164D"/>
    <w:rsid w:val="00BE1024"/>
    <w:rsid w:val="00C20F3D"/>
    <w:rsid w:val="00C44557"/>
    <w:rsid w:val="00C5122E"/>
    <w:rsid w:val="00CE0AA8"/>
    <w:rsid w:val="00D67975"/>
    <w:rsid w:val="00D714E2"/>
    <w:rsid w:val="00DF3386"/>
    <w:rsid w:val="00E50368"/>
    <w:rsid w:val="00EA0C09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6CA5683-AF87-4E40-B841-2E23A3B52406}">
  <ds:schemaRefs>
    <ds:schemaRef ds:uri="http://purl.org/dc/terms/"/>
    <ds:schemaRef ds:uri="http://purl.org/dc/elements/1.1/"/>
    <ds:schemaRef ds:uri="http://schemas.openxmlformats.org/package/2006/metadata/core-properties"/>
    <ds:schemaRef ds:uri="http://www.w3.org/XML/1998/namespace"/>
    <ds:schemaRef ds:uri="http://schemas.microsoft.com/office/2006/metadata/properties"/>
    <ds:schemaRef ds:uri="http://schemas.microsoft.com/office/2006/documentManagement/types"/>
    <ds:schemaRef ds:uri="http://purl.org/dc/dcmitype/"/>
    <ds:schemaRef ds:uri="http://schemas.microsoft.com/office/infopath/2007/PartnerControls"/>
    <ds:schemaRef ds:uri="126e8a1c-9ea9-435a-ac89-d06c80d62e30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538</Words>
  <Characters>2960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Victoria Acevedo D</cp:lastModifiedBy>
  <cp:revision>4</cp:revision>
  <dcterms:created xsi:type="dcterms:W3CDTF">2022-08-24T18:14:00Z</dcterms:created>
  <dcterms:modified xsi:type="dcterms:W3CDTF">2023-02-06T15:14:00Z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