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8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969"/>
        <w:gridCol w:w="4855"/>
      </w:tblGrid>
      <w:tr>
        <w:trPr/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Heading1"/>
              <w:spacing w:before="240" w:after="60"/>
              <w:ind w:hanging="360" w:start="360"/>
              <w:rPr/>
            </w:pPr>
            <w:r>
              <w:rPr/>
              <w:t xml:space="preserve">Fecha </w:t>
            </w:r>
          </w:p>
        </w:tc>
        <w:tc>
          <w:tcPr>
            <w:tcW w:w="485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pacing w:before="240" w:after="60"/>
              <w:ind w:hanging="360" w:start="360"/>
              <w:rPr/>
            </w:pPr>
            <w:r>
              <w:rPr/>
              <w:t>19/10/2026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87"/>
        <w:gridCol w:w="8343"/>
      </w:tblGrid>
      <w:tr>
        <w:trPr/>
        <w:tc>
          <w:tcPr>
            <w:tcW w:w="8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Agenda reunión</w:t>
            </w:r>
          </w:p>
        </w:tc>
      </w:tr>
      <w:tr>
        <w:trPr/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Revisión de Avance de Planificación</w:t>
            </w:r>
          </w:p>
        </w:tc>
      </w:tr>
      <w:tr>
        <w:trPr>
          <w:trHeight w:val="43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Coordinación de Fechas Futuras</w:t>
            </w:r>
          </w:p>
        </w:tc>
      </w:tr>
      <w:tr>
        <w:trPr>
          <w:trHeight w:val="43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Control de Acuerdos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3"/>
        <w:tblW w:w="87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997"/>
        <w:gridCol w:w="4801"/>
        <w:gridCol w:w="986"/>
      </w:tblGrid>
      <w:tr>
        <w:trPr/>
        <w:tc>
          <w:tcPr>
            <w:tcW w:w="87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Asistentes Reunión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Nombre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Rol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Presente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Felipe Antonio Krauss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Docente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Freddy Neilaf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Scrum Master / Desarrollador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Carlos Seaman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Product Owner / Desarrollador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Brandon Ramírez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Desarrollador / QA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720"/>
        <w:rPr/>
      </w:pPr>
      <w:r>
        <w:rPr/>
        <w:t>Revisión de Avance de Planificación</w:t>
      </w:r>
    </w:p>
    <w:p>
      <w:pPr>
        <w:pStyle w:val="normal1"/>
        <w:rPr/>
      </w:pPr>
      <w:r>
        <w:rPr/>
      </w:r>
    </w:p>
    <w:tbl>
      <w:tblPr>
        <w:tblStyle w:val="Table4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737"/>
        <w:gridCol w:w="1501"/>
        <w:gridCol w:w="4592"/>
      </w:tblGrid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666666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Actividad Comprometida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666666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Semana Comprometida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666666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Evidencias de cumplimiento</w:t>
            </w:r>
          </w:p>
        </w:tc>
      </w:tr>
      <w:tr>
        <w:trPr/>
        <w:tc>
          <w:tcPr>
            <w:tcW w:w="2737" w:type="dxa"/>
            <w:tcBorders>
              <w:top w:val="single" w:sz="8" w:space="0" w:color="666666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Definición y planificación del proyecto</w:t>
            </w:r>
          </w:p>
        </w:tc>
        <w:tc>
          <w:tcPr>
            <w:tcW w:w="1501" w:type="dxa"/>
            <w:tcBorders>
              <w:top w:val="single" w:sz="8" w:space="0" w:color="666666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S1 – S2</w:t>
            </w:r>
          </w:p>
        </w:tc>
        <w:tc>
          <w:tcPr>
            <w:tcW w:w="4592" w:type="dxa"/>
            <w:tcBorders>
              <w:top w:val="single" w:sz="8" w:space="0" w:color="666666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Documento 1.5 Definición de Proyecto APT.</w:t>
            </w:r>
          </w:p>
          <w:p>
            <w:pPr>
              <w:pStyle w:val="normal1"/>
              <w:jc w:val="start"/>
              <w:rPr/>
            </w:pPr>
            <w:r>
              <w:rPr/>
              <w:t>Evaluación formativa Fase 1 (1.4).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Levantamiento y análisis de requerimientos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S2 – S3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Requerimientos y épicas EP01–EP07 definidos en la Definición de Proyecto.</w:t>
            </w:r>
          </w:p>
          <w:p>
            <w:pPr>
              <w:pStyle w:val="normal1"/>
              <w:jc w:val="start"/>
              <w:rPr/>
            </w:pPr>
            <w:r>
              <w:rPr/>
              <w:t>Documento 01 – Product Vision.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Diseño de arquitectura y modelo de datos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S3 – S4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Arquitectura monolítica modular documentada en el README del repositorio.</w:t>
            </w:r>
          </w:p>
          <w:p>
            <w:pPr>
              <w:pStyle w:val="normal1"/>
              <w:jc w:val="start"/>
              <w:rPr/>
            </w:pPr>
            <w:r>
              <w:rPr/>
              <w:t>Modelo de datos implementado en Supabase (scripts/BD/schema.sql).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Definición y priorización del backlog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S3 – S4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Historias de usuario por épica en GitHub Issues y GitHub Projects.</w:t>
            </w:r>
          </w:p>
          <w:p>
            <w:pPr>
              <w:pStyle w:val="normal1"/>
              <w:jc w:val="start"/>
              <w:rPr/>
            </w:pPr>
            <w:r>
              <w:rPr/>
              <w:t>Documento 02 – Product Backlog.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EP01 — Acceso y gestión de usuarios (HU01.1, HU01.2, HU01.3)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S5 – S6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Issues #1 a #3 cerradas en GitHub Projects.</w:t>
            </w:r>
          </w:p>
          <w:p>
            <w:pPr>
              <w:pStyle w:val="normal1"/>
              <w:jc w:val="start"/>
              <w:rPr/>
            </w:pPr>
            <w:r>
              <w:rPr/>
              <w:t>Ramas feature/backend-auth, feature/registrarse y feature/ep01-acceso-usuarios integradas.</w:t>
            </w:r>
          </w:p>
          <w:p>
            <w:pPr>
              <w:pStyle w:val="normal1"/>
              <w:jc w:val="start"/>
              <w:rPr/>
            </w:pPr>
            <w:r>
              <w:rPr/>
              <w:t>Endpoints POST /auth/login, GET /auth/context y /usuarios; guards por rol en Angular.</w:t>
            </w:r>
          </w:p>
          <w:p>
            <w:pPr>
              <w:pStyle w:val="normal1"/>
              <w:jc w:val="start"/>
              <w:rPr/>
            </w:pPr>
            <w:r>
              <w:rPr/>
              <w:t>Pruebas: test_auth_context, test_permissions y test_registration.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EP02 — Registro de práctica profesional (HU02.1, HU02.2, HU02.3)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S6 – S7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Issues #4 a #6 cerradas en GitHub Projects.</w:t>
            </w:r>
          </w:p>
          <w:p>
            <w:pPr>
              <w:pStyle w:val="normal1"/>
              <w:jc w:val="start"/>
              <w:rPr/>
            </w:pPr>
            <w:r>
              <w:rPr/>
              <w:t>Ramas feature/ep02-registro-practica y feature/HU02.3-consultar-practica integradas.</w:t>
            </w:r>
          </w:p>
          <w:p>
            <w:pPr>
              <w:pStyle w:val="normal1"/>
              <w:jc w:val="start"/>
              <w:rPr/>
            </w:pPr>
            <w:r>
              <w:rPr/>
              <w:t>Endpoints POST /practicas y GET /practicas/me; función fn_registrar_practica; búsqueda de empresa por RUT.</w:t>
            </w:r>
          </w:p>
          <w:p>
            <w:pPr>
              <w:pStyle w:val="normal1"/>
              <w:jc w:val="start"/>
              <w:rPr/>
            </w:pPr>
            <w:r>
              <w:rPr/>
              <w:t>Pruebas: test_practicas, test_practicas_schemas y test_practicas_service.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EP03 — Revisión y validación de prácticas (HU03.1, HU03.2, HU03.3)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S7 – S8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Historias HU03.1 a HU03.3 integradas mediante los PR #45, #46 y #47 (ramas feature/hu03-1-visualizar-solicitudes, feature/hu03-2-consultar-antecedentes y feature/hu03-3-resolver-solicitud).</w:t>
            </w:r>
          </w:p>
          <w:p>
            <w:pPr>
              <w:pStyle w:val="normal1"/>
              <w:jc w:val="start"/>
              <w:rPr/>
            </w:pPr>
            <w:r>
              <w:rPr/>
              <w:t>Endpoints GET /revisiones/solicitudes, GET /revisiones/solicitudes/{id} y PATCH /revisiones/solicitudes/{id}; función fn_revisar_practica con registro en historial_estado.</w:t>
            </w:r>
          </w:p>
          <w:p>
            <w:pPr>
              <w:pStyle w:val="normal1"/>
              <w:jc w:val="start"/>
              <w:rPr/>
            </w:pPr>
            <w:r>
              <w:rPr/>
              <w:t>Pruebas: test_revisiones (backend) y specs de Revisiones y RevisionDetalle (frontend).</w:t>
            </w:r>
          </w:p>
          <w:p>
            <w:pPr>
              <w:pStyle w:val="normal1"/>
              <w:jc w:val="start"/>
              <w:rPr/>
            </w:pPr>
            <w:r>
              <w:rPr/>
              <w:t>Release 1.1 publicado: APK Android de QA conectada al backend en Render y base de datos en Supabase. Release 1.2 integrado (PR #52) con la modularización del backend.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EP04 — Gestión de estado de práctica profesional (HU04.1, HU04.2, HU04.3)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S8 – S9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Rama feature/ep04-gestion-estados integrada en develop (PR #58).</w:t>
            </w:r>
          </w:p>
          <w:p>
            <w:pPr>
              <w:pStyle w:val="normal1"/>
              <w:jc w:val="start"/>
              <w:rPr/>
            </w:pPr>
            <w:r>
              <w:rPr/>
              <w:t>Endpoints GET /practicas, GET /practicas/{id}, GET /practicas/{id}/historial y PATCH /practicas/{id}/estado (inicio APROBADA → EN_CURSO); función fn_iniciar_practica.</w:t>
            </w:r>
          </w:p>
          <w:p>
            <w:pPr>
              <w:pStyle w:val="normal1"/>
              <w:jc w:val="start"/>
              <w:rPr/>
            </w:pPr>
            <w:r>
              <w:rPr/>
              <w:t>Vistas Angular de listado de prácticas con búsqueda por RUT, detalle de gestión e historial de estados.</w:t>
            </w:r>
          </w:p>
          <w:p>
            <w:pPr>
              <w:pStyle w:val="normal1"/>
              <w:jc w:val="start"/>
              <w:rPr/>
            </w:pPr>
            <w:r>
              <w:rPr/>
              <w:t>Pruebas: 198 pruebas backend y 89 specs Angular aprobadas, además de 9 pruebas de integración con PostgreSQL. Documento docs/EP04_CIERRE_TECNICO.md.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Documentación de Fase 2 (Product Vision, Product Backlog, Definition of Done y Documento de Diseño)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S5 – S9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Documentos 01, 02, 04 y 05 en la carpeta Fase 2 del repositorio.</w:t>
            </w:r>
          </w:p>
          <w:p>
            <w:pPr>
              <w:pStyle w:val="normal1"/>
              <w:jc w:val="start"/>
              <w:rPr/>
            </w:pPr>
            <w:r>
              <w:rPr/>
              <w:t>Documento de Diseño revisión 02: casos de uso por épica (EP01 a EP04), modelo E-R completo de 15 tablas y diagrama de despliegue del entorno QA.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720"/>
        <w:rPr/>
      </w:pPr>
      <w:r>
        <w:rPr/>
        <w:t>Observaciones al avance</w:t>
      </w:r>
    </w:p>
    <w:p>
      <w:pPr>
        <w:pStyle w:val="normal1"/>
        <w:ind w:hanging="220" w:start="360"/>
        <w:jc w:val="both"/>
        <w:rPr/>
      </w:pPr>
      <w:r>
        <w:rPr/>
      </w:r>
    </w:p>
    <w:p>
      <w:pPr>
        <w:pStyle w:val="normal1"/>
        <w:ind w:hanging="220" w:start="360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720"/>
        <w:rPr/>
      </w:pPr>
      <w:r>
        <w:rPr/>
        <w:t>Control de Acuerdos</w:t>
      </w:r>
    </w:p>
    <w:p>
      <w:pPr>
        <w:pStyle w:val="Heading2"/>
        <w:rPr/>
      </w:pPr>
      <w:r>
        <w:rPr/>
        <w:t>Acuerdos Anteriores</w:t>
      </w:r>
    </w:p>
    <w:p>
      <w:pPr>
        <w:pStyle w:val="normal1"/>
        <w:rPr/>
      </w:pPr>
      <w:r>
        <w:rPr/>
      </w:r>
    </w:p>
    <w:tbl>
      <w:tblPr>
        <w:tblStyle w:val="Table5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/>
      </w:tblPr>
      <w:tblGrid>
        <w:gridCol w:w="3529"/>
        <w:gridCol w:w="1460"/>
        <w:gridCol w:w="1050"/>
        <w:gridCol w:w="1139"/>
        <w:gridCol w:w="1652"/>
      </w:tblGrid>
      <w:tr>
        <w:trPr/>
        <w:tc>
          <w:tcPr>
            <w:tcW w:w="3529" w:type="dxa"/>
            <w:tcBorders/>
          </w:tcPr>
          <w:p>
            <w:pPr>
              <w:pStyle w:val="normal1"/>
              <w:rPr/>
            </w:pPr>
            <w:r>
              <w:rPr/>
              <w:t>Acuerdo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/>
              <w:t>Responsable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rPr/>
            </w:pPr>
            <w:r>
              <w:rPr/>
              <w:t>Plazo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rPr/>
            </w:pPr>
            <w:r>
              <w:rPr/>
              <w:t>Cumplido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rPr/>
            </w:pPr>
            <w:r>
              <w:rPr/>
              <w:t>Observaciones</w:t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Iniciar el desarrollo de EP03 — Revisión y validación de prácticas (HU03.1 a HU03.3)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Todo el equipo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Sí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EP03 integrada (PR #45 a #47) y publicada en el Release 1.1.</w:t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Realizar la sesión de Poker Planning y actualizar los pesos del Product Backlog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Todo el equipo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Sí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Pesos actualizados en el Documento 02 — Product Backlog.</w:t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Asignar responsables a cada actividad del plan de trabajo y de la Carta Gantt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Brandon Ramírez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Sí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Responsables registrados en el plan de trabajo del informe de avance (2.4).</w:t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Unificar el nombre del rol coordinador / GESTOR en el Product Vision, Backlog y DoD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Freddy Neilaf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Sí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El coordinador de prácticas corresponde al rol GESTOR del sistema.</w:t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Agregar al Product Backlog las funcionalidades de apoyo implementadas (registro, perfil, panel admin)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Carlos Seaman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Sí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Funcionalidades de apoyo incorporadas al backlog y al Documento de Diseño.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Acuerdos de la presente reunión</w:t>
      </w:r>
    </w:p>
    <w:p>
      <w:pPr>
        <w:pStyle w:val="normal1"/>
        <w:rPr/>
      </w:pPr>
      <w:r>
        <w:rPr/>
      </w:r>
    </w:p>
    <w:tbl>
      <w:tblPr>
        <w:tblStyle w:val="Table6"/>
        <w:tblW w:w="87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/>
      </w:tblPr>
      <w:tblGrid>
        <w:gridCol w:w="4956"/>
        <w:gridCol w:w="1702"/>
        <w:gridCol w:w="2126"/>
      </w:tblGrid>
      <w:tr>
        <w:trPr/>
        <w:tc>
          <w:tcPr>
            <w:tcW w:w="4956" w:type="dxa"/>
            <w:tcBorders/>
          </w:tcPr>
          <w:p>
            <w:pPr>
              <w:pStyle w:val="normal1"/>
              <w:rPr/>
            </w:pPr>
            <w:r>
              <w:rPr/>
              <w:t>Acuerdo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rPr/>
            </w:pPr>
            <w:r>
              <w:rPr/>
              <w:t>Responsable</w:t>
            </w:r>
          </w:p>
        </w:tc>
        <w:tc>
          <w:tcPr>
            <w:tcW w:w="2126" w:type="dxa"/>
            <w:tcBorders/>
          </w:tcPr>
          <w:p>
            <w:pPr>
              <w:pStyle w:val="normal1"/>
              <w:rPr/>
            </w:pPr>
            <w:r>
              <w:rPr/>
              <w:t>Plazo</w:t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2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MS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7"/>
      <w:tblW w:w="88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4925"/>
      <w:gridCol w:w="2725"/>
      <w:gridCol w:w="1180"/>
    </w:tblGrid>
    <w:tr>
      <w:trPr>
        <w:trHeight w:val="1254" w:hRule="atLeast"/>
        <w:cantSplit/>
      </w:trPr>
      <w:tc>
        <w:tcPr>
          <w:tcW w:w="49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3057525" cy="673735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673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360" w:start="36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t>Acta de Control de Avance</w:t>
          </w:r>
        </w:p>
      </w:tc>
      <w:tc>
        <w:tcPr>
          <w:tcW w:w="11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7"/>
      <w:tblW w:w="88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4925"/>
      <w:gridCol w:w="2725"/>
      <w:gridCol w:w="1180"/>
    </w:tblGrid>
    <w:tr>
      <w:trPr>
        <w:trHeight w:val="1254" w:hRule="atLeast"/>
        <w:cantSplit/>
      </w:trPr>
      <w:tc>
        <w:tcPr>
          <w:tcW w:w="49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3057525" cy="673735"/>
                <wp:effectExtent l="0" t="0" r="0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673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360" w:start="36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t>Acta de Control de Avance</w:t>
          </w:r>
        </w:p>
      </w:tc>
      <w:tc>
        <w:tcPr>
          <w:tcW w:w="11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•"/>
      <w:lvlJc w:val="start"/>
      <w:pPr>
        <w:tabs>
          <w:tab w:val="num" w:pos="0"/>
        </w:tabs>
        <w:ind w:start="1780" w:hanging="700"/>
      </w:pPr>
      <w:rPr>
        <w:rFonts w:ascii="Arial" w:hAnsi="Arial" w:cs="Aria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40" w:after="60"/>
      <w:ind w:hanging="360" w:start="72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</w:pPr>
    <w:rPr>
      <w:rFonts w:ascii="Arial" w:hAnsi="Arial" w:eastAsia="Arial" w:cs="Arial"/>
      <w:b/>
      <w:bCs/>
    </w:rPr>
  </w:style>
  <w:style w:type="paragraph" w:styleId="Heading4">
    <w:name w:val="heading 4"/>
    <w:basedOn w:val="normal1"/>
    <w:next w:val="normal1"/>
    <w:qFormat/>
    <w:pPr>
      <w:keepNext w:val="true"/>
    </w:pPr>
    <w:rPr>
      <w:rFonts w:ascii="Arial" w:hAnsi="Arial" w:eastAsia="Arial" w:cs="Arial"/>
      <w:i/>
      <w:iCs/>
    </w:rPr>
  </w:style>
  <w:style w:type="paragraph" w:styleId="Heading5">
    <w:name w:val="heading 5"/>
    <w:basedOn w:val="normal1"/>
    <w:next w:val="normal1"/>
    <w:qFormat/>
    <w:pPr>
      <w:keepNext w:val="true"/>
    </w:pPr>
    <w:rPr>
      <w:rFonts w:ascii="Arial" w:hAnsi="Arial" w:eastAsia="Arial" w:cs="Arial"/>
      <w:b/>
      <w:bCs/>
      <w:i/>
      <w:iCs/>
    </w:rPr>
  </w:style>
  <w:style w:type="paragraph" w:styleId="Heading6">
    <w:name w:val="heading 6"/>
    <w:basedOn w:val="normal1"/>
    <w:next w:val="normal1"/>
    <w:qFormat/>
    <w:pPr>
      <w:keepNext w:val="true"/>
    </w:pPr>
    <w:rPr>
      <w:rFonts w:ascii="Arial" w:hAnsi="Arial" w:eastAsia="Arial" w:cs="Arial"/>
      <w:b/>
      <w:bCs/>
      <w:u w:val="single"/>
    </w:rPr>
  </w:style>
  <w:style w:type="paragraph" w:styleId="Heading7">
    <w:name w:val="heading 7"/>
    <w:basedOn w:val="Heading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Heading"/>
    <w:link w:val="Heading8Char"/>
    <w:uiPriority w:val="9"/>
    <w:unhideWhenUsed/>
    <w:qFormat/>
    <w:pPr>
      <w:keepNext w:val="true"/>
      <w:keepLines/>
      <w:spacing w:before="24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Heading"/>
    <w:link w:val="Heading9Char"/>
    <w:uiPriority w:val="9"/>
    <w:unhideWhenUsed/>
    <w:qFormat/>
    <w:pPr>
      <w:keepNext w:val="true"/>
      <w:keepLines/>
      <w:spacing w:before="24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link w:val="BalloonText"/>
    <w:qFormat/>
    <w:rPr>
      <w:rFonts w:ascii="Tahoma" w:hAnsi="Tahoma" w:cs="Tahoma"/>
      <w:sz w:val="16"/>
      <w:szCs w:val="16"/>
      <w:lang w:val="es-ES_tradnl" w:eastAsia="es-ES"/>
    </w:rPr>
  </w:style>
  <w:style w:type="character" w:styleId="EncabezadoCar" w:customStyle="1">
    <w:name w:val="Encabezado Car"/>
    <w:link w:val="Header"/>
    <w:uiPriority w:val="99"/>
    <w:qFormat/>
    <w:rPr>
      <w:rFonts w:ascii="MS Serif" w:hAnsi="MS Serif"/>
      <w:sz w:val="24"/>
      <w:lang w:val="es-ES_tradnl" w:eastAsia="es-ES"/>
    </w:rPr>
  </w:style>
  <w:style w:type="character" w:styleId="TextoindependienteCar" w:customStyle="1">
    <w:name w:val="Texto independiente Car"/>
    <w:basedOn w:val="DefaultParagraphFont"/>
    <w:uiPriority w:val="1"/>
    <w:qFormat/>
    <w:rPr>
      <w:rFonts w:ascii="Calibri" w:hAnsi="Calibri" w:eastAsia="Arial" w:cs="Calibri" w:eastAsiaTheme="minorEastAsia"/>
      <w:sz w:val="22"/>
      <w:szCs w:val="22"/>
      <w:lang w:val="es-MX" w:eastAsia="es-MX"/>
    </w:rPr>
  </w:style>
  <w:style w:type="character" w:styleId="CommentReference">
    <w:name w:val="annotation reference"/>
    <w:basedOn w:val="DefaultParagraphFont"/>
    <w:semiHidden/>
    <w:unhideWhenUsed/>
    <w:qFormat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qFormat/>
    <w:rPr>
      <w:rFonts w:ascii="Arial" w:hAnsi="Arial" w:cs="Arial" w:asciiTheme="minorHAnsi" w:hAnsiTheme="minorHAnsi"/>
      <w:lang w:val="es-ES" w:eastAsia="es-ES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Pr>
      <w:rFonts w:ascii="Arial" w:hAnsi="Arial" w:cs="Arial" w:asciiTheme="minorHAnsi" w:hAnsiTheme="minorHAnsi"/>
      <w:b/>
      <w:bCs/>
      <w:lang w:val="es-ES" w:eastAsia="es-ES"/>
    </w:rPr>
  </w:style>
  <w:style w:type="character" w:styleId="Hyperlink">
    <w:name w:val="Hyperlink"/>
    <w:basedOn w:val="DefaultParagraphFont"/>
    <w:unhideWhenUsed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semiHidden/>
    <w:unhideWhenUsed/>
    <w:rPr>
      <w:color w:themeColor="followedHyperlink" w:val="800080"/>
      <w:u w:val="single"/>
    </w:rPr>
  </w:style>
  <w:style w:type="character" w:styleId="Ttulo1Car" w:customStyle="1">
    <w:name w:val="Título 1 Car"/>
    <w:basedOn w:val="DefaultParagraphFont"/>
    <w:uiPriority w:val="9"/>
    <w:qFormat/>
    <w:rPr>
      <w:rFonts w:ascii="Arial" w:hAnsi="Arial" w:cs="Arial"/>
      <w:b/>
      <w:sz w:val="28"/>
      <w:lang w:eastAsia="es-ES"/>
    </w:rPr>
  </w:style>
  <w:style w:type="character" w:styleId="TextonotapieCar" w:customStyle="1">
    <w:name w:val="Texto nota pie Car"/>
    <w:basedOn w:val="DefaultParagraphFont"/>
    <w:link w:val="FootnoteText"/>
    <w:semiHidden/>
    <w:qFormat/>
    <w:rPr>
      <w:rFonts w:ascii="Arial" w:hAnsi="Arial" w:cs="Arial" w:asciiTheme="minorHAnsi" w:hAnsiTheme="minorHAnsi"/>
      <w:lang w:eastAsia="es-ES"/>
    </w:rPr>
  </w:style>
  <w:style w:type="character" w:styleId="FootnoteCharacters">
    <w:name w:val="Footnote Characters"/>
    <w:basedOn w:val="DefaultParagraphFont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2Car" w:customStyle="1">
    <w:name w:val="Título 2 Car"/>
    <w:basedOn w:val="DefaultParagraphFont"/>
    <w:qFormat/>
    <w:rPr>
      <w:rFonts w:ascii="Arial" w:hAnsi="Arial" w:cs="Arial"/>
      <w:b/>
      <w:sz w:val="24"/>
      <w:lang w:eastAsia="es-ES"/>
    </w:rPr>
  </w:style>
  <w:style w:type="character" w:styleId="Ttulo3Car" w:customStyle="1">
    <w:name w:val="Título 3 Car"/>
    <w:basedOn w:val="DefaultParagraphFont"/>
    <w:qFormat/>
    <w:rPr>
      <w:rFonts w:ascii="Arial" w:hAnsi="Arial" w:cs="Arial"/>
      <w:b/>
      <w:lang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>
      <w:widowControl w:val="false"/>
    </w:pPr>
    <w:rPr>
      <w:rFonts w:ascii="Calibri" w:hAnsi="Calibri" w:eastAsia="Arial" w:cs="Calibri" w:eastAsiaTheme="minorEastAsia"/>
      <w:sz w:val="22"/>
      <w:szCs w:val="22"/>
      <w:lang w:val="es-MX" w:eastAsia="es-MX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60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Quote">
    <w:name w:val="Quote"/>
    <w:link w:val="QuoteChar"/>
    <w:uiPriority w:val="29"/>
    <w:qFormat/>
    <w:pPr>
      <w:widowControl/>
      <w:bidi w:val="0"/>
      <w:spacing w:before="160" w:after="0"/>
      <w:jc w:val="center"/>
    </w:pPr>
    <w:rPr>
      <w:rFonts w:ascii="Arial" w:hAnsi="Arial" w:eastAsia="Arial" w:cs="Arial"/>
      <w:i/>
      <w:iCs/>
      <w:color w:themeColor="text1" w:themeTint="bf" w:val="404040"/>
      <w:kern w:val="0"/>
      <w:sz w:val="20"/>
      <w:szCs w:val="20"/>
      <w:lang w:val="es-CL" w:eastAsia="zh-CN" w:bidi="hi-IN"/>
    </w:rPr>
  </w:style>
  <w:style w:type="paragraph" w:styleId="IntenseQuote">
    <w:name w:val="Intense Quote"/>
    <w:link w:val="IntenseQuoteChar"/>
    <w:uiPriority w:val="30"/>
    <w:qFormat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/>
      <w:ind w:start="864" w:end="864"/>
      <w:jc w:val="center"/>
    </w:pPr>
    <w:rPr>
      <w:rFonts w:ascii="Arial" w:hAnsi="Arial" w:eastAsia="Arial" w:cs="Arial"/>
      <w:i/>
      <w:iCs/>
      <w:color w:themeColor="accent1" w:themeShade="bf" w:val="0F4761"/>
      <w:kern w:val="0"/>
      <w:sz w:val="20"/>
      <w:szCs w:val="20"/>
      <w:lang w:val="es-CL" w:eastAsia="zh-CN" w:bidi="hi-IN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uiPriority w:val="39"/>
    <w:unhideWhenUsed/>
    <w:pPr>
      <w:spacing w:before="0" w:after="100"/>
    </w:pPr>
    <w:rPr/>
  </w:style>
  <w:style w:type="paragraph" w:styleId="TOC2">
    <w:name w:val="toc 2"/>
    <w:basedOn w:val="Index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Index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Index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Index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Index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Index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Index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Index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TableofFigures">
    <w:name w:val="table of figures"/>
    <w:basedOn w:val="Index"/>
    <w:uiPriority w:val="99"/>
    <w:unhideWhenUsed/>
    <w:pPr>
      <w:spacing w:before="0" w:afterAutospacing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EncabezadoCar"/>
    <w:uiPriority w:val="9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HeaderandFooter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ListNumber">
    <w:name w:val="List Number"/>
    <w:basedOn w:val="List"/>
    <w:pPr>
      <w:numPr>
        <w:ilvl w:val="0"/>
        <w:numId w:val="1"/>
      </w:numPr>
    </w:pPr>
    <w:rPr>
      <w:rFonts w:ascii="Arial" w:hAnsi="Arial"/>
      <w:sz w:val="22"/>
    </w:rPr>
  </w:style>
  <w:style w:type="paragraph" w:styleId="NormalWeb">
    <w:name w:val="Normal (Web)"/>
    <w:uiPriority w:val="99"/>
    <w:unhideWhenUsed/>
    <w:qFormat/>
    <w:pPr>
      <w:widowControl/>
      <w:bidi w:val="0"/>
      <w:spacing w:beforeAutospacing="1" w:afterAutospacing="1"/>
      <w:jc w:val="both"/>
    </w:pPr>
    <w:rPr>
      <w:rFonts w:ascii="Times New Roman" w:hAnsi="Times New Roman" w:eastAsia="Arial" w:cs="Arial"/>
      <w:color w:val="auto"/>
      <w:kern w:val="0"/>
      <w:sz w:val="20"/>
      <w:szCs w:val="24"/>
      <w:lang w:val="es-CL" w:eastAsia="zh-CN" w:bidi="hi-IN"/>
    </w:rPr>
  </w:style>
  <w:style w:type="paragraph" w:styleId="ListBullet2">
    <w:name w:val="List Bullet 2"/>
    <w:basedOn w:val="List"/>
    <w:pPr>
      <w:tabs>
        <w:tab w:val="clear" w:pos="720"/>
        <w:tab w:val="left" w:pos="1428" w:leader="none"/>
      </w:tabs>
      <w:ind w:start="708"/>
    </w:pPr>
    <w:rPr>
      <w:rFonts w:ascii="Arial" w:hAnsi="Arial"/>
      <w:b/>
      <w:i/>
      <w:sz w:val="22"/>
    </w:rPr>
  </w:style>
  <w:style w:type="paragraph" w:styleId="ListParagraph">
    <w:name w:val="List Paragraph"/>
    <w:uiPriority w:val="34"/>
    <w:qFormat/>
    <w:pPr>
      <w:widowControl/>
      <w:bidi w:val="0"/>
      <w:spacing w:before="0" w:after="0"/>
      <w:ind w:start="720"/>
      <w:contextualSpacing/>
      <w:jc w:val="both"/>
    </w:pPr>
    <w:rPr>
      <w:rFonts w:ascii="Arial" w:hAnsi="Arial" w:eastAsia="Arial" w:cs="Arial"/>
      <w:color w:val="auto"/>
      <w:kern w:val="0"/>
      <w:sz w:val="20"/>
      <w:szCs w:val="24"/>
      <w:lang w:eastAsia="es-CL" w:val="es-CL" w:bidi="hi-IN"/>
    </w:rPr>
  </w:style>
  <w:style w:type="paragraph" w:styleId="BalloonText">
    <w:name w:val="Balloon Text"/>
    <w:link w:val="TextodegloboCar"/>
    <w:qFormat/>
    <w:pPr>
      <w:widowControl/>
      <w:bidi w:val="0"/>
      <w:spacing w:before="0" w:after="0"/>
      <w:jc w:val="both"/>
    </w:pPr>
    <w:rPr>
      <w:rFonts w:ascii="Tahoma" w:hAnsi="Tahoma" w:cs="Tahoma" w:eastAsia="Arial"/>
      <w:color w:val="auto"/>
      <w:kern w:val="0"/>
      <w:sz w:val="16"/>
      <w:szCs w:val="16"/>
      <w:lang w:val="es-CL" w:eastAsia="zh-CN" w:bidi="hi-IN"/>
    </w:rPr>
  </w:style>
  <w:style w:type="paragraph" w:styleId="TableParagraph" w:customStyle="1">
    <w:name w:val="Table Paragraph"/>
    <w:uiPriority w:val="1"/>
    <w:qFormat/>
    <w:pPr>
      <w:widowControl w:val="false"/>
      <w:bidi w:val="0"/>
      <w:spacing w:before="0" w:after="0"/>
      <w:ind w:hanging="361" w:start="827"/>
      <w:jc w:val="both"/>
    </w:pPr>
    <w:rPr>
      <w:rFonts w:ascii="Calibri" w:hAnsi="Calibri" w:eastAsia="Arial" w:cs="Calibri" w:eastAsiaTheme="minorEastAsia"/>
      <w:color w:val="auto"/>
      <w:kern w:val="0"/>
      <w:sz w:val="20"/>
      <w:szCs w:val="24"/>
      <w:lang w:val="es-MX" w:eastAsia="es-MX" w:bidi="hi-IN"/>
    </w:rPr>
  </w:style>
  <w:style w:type="paragraph" w:styleId="CommentText">
    <w:name w:val="annotation text"/>
    <w:basedOn w:val="BodyText"/>
    <w:link w:val="TextocomentarioCar"/>
    <w:unhideWhenUsed/>
    <w:pPr/>
    <w:rPr/>
  </w:style>
  <w:style w:type="paragraph" w:styleId="annotationsubject">
    <w:name w:val="annotation subject"/>
    <w:basedOn w:val="CommentText"/>
    <w:next w:val="CommentText"/>
    <w:link w:val="AsuntodelcomentarioCar"/>
    <w:semiHidden/>
    <w:unhideWhenUsed/>
    <w:qFormat/>
    <w:pPr/>
    <w:rPr>
      <w:b/>
      <w:bCs/>
    </w:rPr>
  </w:style>
  <w:style w:type="paragraph" w:styleId="Revision">
    <w:name w:val="Revision"/>
    <w:uiPriority w:val="99"/>
    <w:semiHidden/>
    <w:qFormat/>
    <w:pPr>
      <w:widowControl/>
      <w:bidi w:val="0"/>
      <w:spacing w:before="0" w:after="0"/>
      <w:jc w:val="both"/>
    </w:pPr>
    <w:rPr>
      <w:rFonts w:ascii="Arial" w:hAnsi="Arial" w:cs="Arial" w:asciiTheme="minorHAnsi" w:hAnsiTheme="minorHAnsi" w:eastAsia="Arial"/>
      <w:color w:val="auto"/>
      <w:kern w:val="0"/>
      <w:sz w:val="20"/>
      <w:szCs w:val="20"/>
      <w:lang w:val="es-ES" w:eastAsia="es-ES" w:bidi="hi-IN"/>
    </w:rPr>
  </w:style>
  <w:style w:type="paragraph" w:styleId="FootnoteText">
    <w:name w:val="footnote text"/>
    <w:basedOn w:val="Normal"/>
    <w:link w:val="TextonotapieCar"/>
    <w:semiHidden/>
    <w:unhideWhenUsed/>
    <w:pPr/>
    <w:rPr/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">
    <w:name w:val="Table Grid Light"/>
    <w:basedOn w:val="79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9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9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tex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single" w:color="000000" w:themeColor="tex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sz="0" w:space="0"/>
          <w:left w:val="single" w:color="000000" w:themeColor="accen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2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single" w:color="000000" w:themeColor="accent2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3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sz="0" w:space="0"/>
          <w:left w:val="single" w:color="000000" w:themeColor="accent3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4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single" w:color="000000" w:themeColor="accent4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5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sz="0" w:space="0"/>
          <w:left w:val="single" w:color="000000" w:themeColor="accent5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6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sz="0" w:space="0"/>
          <w:left w:val="single" w:color="000000" w:themeColor="accent6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tex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single" w:color="000000" w:themeColor="tex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sz="0" w:space="0"/>
          <w:left w:val="single" w:color="000000" w:themeColor="accen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2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single" w:color="000000" w:themeColor="accent2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3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sz="0" w:space="0"/>
          <w:left w:val="single" w:color="000000" w:themeColor="accent3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4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single" w:color="000000" w:themeColor="accent4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5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sz="0" w:space="0"/>
          <w:left w:val="single" w:color="000000" w:themeColor="accent5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6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sz="0" w:space="0"/>
          <w:left w:val="single" w:color="000000" w:themeColor="accent6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93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Table Grid"/>
    <w:basedOn w:val="793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Grid Table 1 Light"/>
    <w:basedOn w:val="793"/>
    <w:uiPriority w:val="46"/>
    <w:pPr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666666" w:themeColor="text1" w:sz="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eQXbbp9ax1OhpPf/TvluBzgM1A==">CgMxLjA4AHIhMVVFSWZXbDZRT09paWtQc3B4VkJLM0g5Mm1ZSnFWelVp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3</Pages>
  <Words>615</Words>
  <Characters>3840</Characters>
  <CharactersWithSpaces>4361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2025-06-03T15:25:00Z</dcterms:created>
  <dc:creator>Paola Ugalde</dc:creator>
  <dc:description/>
  <dc:language>es-ES</dc:language>
  <cp:lastModifiedBy/>
  <dcterms:modified xsi:type="dcterms:W3CDTF">2026-10-17T14:24:42Z</dcterms:modified>
  <cp:revision>1</cp:revision>
  <dc:subject/>
  <dc:title/>
</cp:coreProperties>
</file>