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color w:val="767171"/>
                <w:sz w:val="24"/>
                <w:szCs w:val="24"/>
              </w:rPr>
            </w:pPr>
            <w:r w:rsidDel="00000000" w:rsidR="00000000" w:rsidRPr="00000000">
              <w:rPr>
                <w:b w:val="1"/>
                <w:bCs w:val="1"/>
                <w:sz w:val="24"/>
                <w:szCs w:val="24"/>
                <w:rtl w:val="0"/>
              </w:rPr>
              <w:t xml:space="preserve">Cumplimiento del cronograma. </w:t>
            </w:r>
            <w:r w:rsidDel="00000000" w:rsidR="00000000" w:rsidRPr="00000000">
              <w:rPr>
                <w:sz w:val="24"/>
                <w:szCs w:val="24"/>
                <w:rtl w:val="0"/>
              </w:rPr>
              <w:t xml:space="preserve">Sí. Al 01-10-2026 el proyecto se encuentra al día respecto de la Carta Gantt (10-08-2026 al 05-12-2026, 117 días). Se han cerrado tres de los nueve sprints planificados y el Sprint 4 (21-09 al 04-10) está en ejecución. Las dos entregas comprometidas hasta ahora se cumplieron en la fecha pactada: Fase 1 el 07-09-2026 y Fase 2 parte 1 — modelo arquitectónico DAS el 30-09-2026. En términos de esfuerzo se han ejecutado 342 de las 1.309 horas-hombre planificadas, equivalentes al 26,1 % del proyecto, sin desviación acumulada.</w:t>
            </w:r>
            <w:r w:rsidDel="00000000" w:rsidR="00000000" w:rsidRPr="00000000">
              <w:rPr>
                <w:rtl w:val="0"/>
              </w:rPr>
            </w:r>
          </w:p>
          <w:p w:rsidR="00000000" w:rsidDel="00000000" w:rsidP="00000000" w:rsidRDefault="00000000" w:rsidRPr="00000000" w14:paraId="0000000C">
            <w:pPr>
              <w:jc w:val="both"/>
              <w:rPr>
                <w:color w:val="767171"/>
                <w:sz w:val="24"/>
                <w:szCs w:val="24"/>
              </w:rPr>
            </w:pPr>
            <w:r w:rsidDel="00000000" w:rsidR="00000000" w:rsidRPr="00000000">
              <w:rPr>
                <w:b w:val="1"/>
                <w:bCs w:val="1"/>
                <w:sz w:val="24"/>
                <w:szCs w:val="24"/>
                <w:rtl w:val="0"/>
              </w:rPr>
              <w:t xml:space="preserve">Factores que han facilitado el trabajo. </w:t>
            </w:r>
            <w:r w:rsidDel="00000000" w:rsidR="00000000" w:rsidRPr="00000000">
              <w:rPr>
                <w:sz w:val="24"/>
                <w:szCs w:val="24"/>
                <w:rtl w:val="0"/>
              </w:rPr>
              <w:t xml:space="preserve">Contar con documentación técnica previa reutilizable permitió concentrar el esfuerzo en la especificación y no en partir de cero. La definición temprana de roles en la Matriz de Responsabilidad RACI evitó </w:t>
            </w:r>
            <w:r w:rsidDel="00000000" w:rsidR="00000000" w:rsidRPr="00000000">
              <w:rPr>
                <w:sz w:val="24"/>
                <w:szCs w:val="24"/>
                <w:rtl w:val="0"/>
              </w:rPr>
              <w:t xml:space="preserve">duplicar trabajo</w:t>
            </w:r>
            <w:r w:rsidDel="00000000" w:rsidR="00000000" w:rsidRPr="00000000">
              <w:rPr>
                <w:sz w:val="24"/>
                <w:szCs w:val="24"/>
                <w:rtl w:val="0"/>
              </w:rPr>
              <w:t xml:space="preserve">. El uso exclusivo de herramientas de código abierto (Node.js, PostgreSQL, Docker, Nginx, face-api.js) eliminó esperas por licencias y costos asociados. Finalmente, el despliegue en contenedores Docker permite que cualquier integrante levante el entorno completo —base de datos, cuatro microservicios y frontend— con un solo comando, lo que redujo notoriamente el tiempo de puesta en marcha de cada uno.</w:t>
            </w:r>
            <w:r w:rsidDel="00000000" w:rsidR="00000000" w:rsidRPr="00000000">
              <w:rPr>
                <w:rtl w:val="0"/>
              </w:rPr>
            </w:r>
          </w:p>
          <w:p w:rsidR="00000000" w:rsidDel="00000000" w:rsidP="00000000" w:rsidRDefault="00000000" w:rsidRPr="00000000" w14:paraId="0000000D">
            <w:pPr>
              <w:jc w:val="both"/>
              <w:rPr>
                <w:color w:val="767171"/>
                <w:sz w:val="24"/>
                <w:szCs w:val="24"/>
              </w:rPr>
            </w:pPr>
            <w:r w:rsidDel="00000000" w:rsidR="00000000" w:rsidRPr="00000000">
              <w:rPr>
                <w:b w:val="1"/>
                <w:bCs w:val="1"/>
                <w:sz w:val="24"/>
                <w:szCs w:val="24"/>
                <w:rtl w:val="0"/>
              </w:rPr>
              <w:t xml:space="preserve">Factores que han dificultado el trabajo. </w:t>
            </w:r>
            <w:r w:rsidDel="00000000" w:rsidR="00000000" w:rsidRPr="00000000">
              <w:rPr>
                <w:sz w:val="24"/>
                <w:szCs w:val="24"/>
                <w:rtl w:val="0"/>
              </w:rPr>
              <w:t xml:space="preserve">El primero fue la adaptación de la documentación existente al formato solicitado: resultó más lento que redactar desde cero, porque obligó a revisar la consistencia entre documentos y salieron a la luz discrepancias que había que resolver, como totales de horas de la Matriz EDT que no coincidían con la suma de las tareas y diferencias en el número de tablas de la base de datos entre un documento y otro. El segundo fue la incorporación de un nuevo integrante al equipo, Dilan Nuñez, que obligó a actualizar la totalidad de los documentos ya emitidos y a redistribuir las actividades. El tercero fue de orden técnico: definir cómo debe comportarse el sistema cuando el reconocimiento facial no logra identificar a un alumno, y en qué condiciones se genera la alerta de inasistencia hacia el apoderado, decisión que afecta tanto al modelo de proceso como a la experiencia del docente en sala.</w:t>
            </w: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color w:val="767171"/>
                <w:sz w:val="24"/>
                <w:szCs w:val="24"/>
              </w:rPr>
            </w:pPr>
            <w:r w:rsidDel="00000000" w:rsidR="00000000" w:rsidRPr="00000000">
              <w:rPr>
                <w:b w:val="1"/>
                <w:bCs w:val="1"/>
                <w:sz w:val="24"/>
                <w:szCs w:val="24"/>
                <w:rtl w:val="0"/>
              </w:rPr>
              <w:t xml:space="preserve">Consistencia de la documentación. </w:t>
            </w:r>
            <w:r w:rsidDel="00000000" w:rsidR="00000000" w:rsidRPr="00000000">
              <w:rPr>
                <w:sz w:val="24"/>
                <w:szCs w:val="24"/>
                <w:rtl w:val="0"/>
              </w:rPr>
              <w:t xml:space="preserve">Se reemplazaron los totales escritos a mano de la Matriz EDT por fórmulas que suman las actividades de cada fase, de modo que el costo total del proyecto ($6.545.000, equivalentes a 1.309 horas a $5.000) se calcula automáticamente y cualquier modificación se propaga sola. Además, se instauró una revisión cruzada de las cifras clave —42 requerimientos, 32 tablas de base de datos y 1.309 horas-hombre— sobre todos los documentos antes de cada entrega.</w:t>
            </w:r>
            <w:r w:rsidDel="00000000" w:rsidR="00000000" w:rsidRPr="00000000">
              <w:rPr>
                <w:rtl w:val="0"/>
              </w:rPr>
            </w:r>
          </w:p>
          <w:p w:rsidR="00000000" w:rsidDel="00000000" w:rsidP="00000000" w:rsidRDefault="00000000" w:rsidRPr="00000000" w14:paraId="00000013">
            <w:pPr>
              <w:jc w:val="both"/>
              <w:rPr>
                <w:color w:val="767171"/>
                <w:sz w:val="24"/>
                <w:szCs w:val="24"/>
              </w:rPr>
            </w:pPr>
            <w:r w:rsidDel="00000000" w:rsidR="00000000" w:rsidRPr="00000000">
              <w:rPr>
                <w:b w:val="1"/>
                <w:bCs w:val="1"/>
                <w:sz w:val="24"/>
                <w:szCs w:val="24"/>
                <w:rtl w:val="0"/>
              </w:rPr>
              <w:t xml:space="preserve">Incorporación del nuevo integrante. </w:t>
            </w:r>
            <w:r w:rsidDel="00000000" w:rsidR="00000000" w:rsidRPr="00000000">
              <w:rPr>
                <w:sz w:val="24"/>
                <w:szCs w:val="24"/>
                <w:rtl w:val="0"/>
              </w:rPr>
              <w:t xml:space="preserve">Dilan Nuñez fue formalizado en el rol de Calidad y Testing (QA) en la Matriz RACI, la Carta Gantt, la Matriz EDT y el Acta de Constitución, quedando a su cargo las pruebas funcionales y las pruebas con usuarios.</w:t>
            </w:r>
            <w:r w:rsidDel="00000000" w:rsidR="00000000" w:rsidRPr="00000000">
              <w:rPr>
                <w:rtl w:val="0"/>
              </w:rPr>
            </w:r>
          </w:p>
          <w:p w:rsidR="00000000" w:rsidDel="00000000" w:rsidP="00000000" w:rsidRDefault="00000000" w:rsidRPr="00000000" w14:paraId="00000014">
            <w:pPr>
              <w:jc w:val="both"/>
              <w:rPr>
                <w:color w:val="767171"/>
                <w:sz w:val="24"/>
                <w:szCs w:val="24"/>
              </w:rPr>
            </w:pPr>
            <w:r w:rsidDel="00000000" w:rsidR="00000000" w:rsidRPr="00000000">
              <w:rPr>
                <w:b w:val="1"/>
                <w:bCs w:val="1"/>
                <w:sz w:val="24"/>
                <w:szCs w:val="24"/>
                <w:rtl w:val="0"/>
              </w:rPr>
              <w:t xml:space="preserve">Comportamiento ante rostros no </w:t>
            </w:r>
            <w:r w:rsidDel="00000000" w:rsidR="00000000" w:rsidRPr="00000000">
              <w:rPr>
                <w:b w:val="1"/>
                <w:bCs w:val="1"/>
                <w:sz w:val="24"/>
                <w:szCs w:val="24"/>
                <w:rtl w:val="0"/>
              </w:rPr>
              <w:t xml:space="preserve">reconocidos</w:t>
            </w:r>
            <w:r w:rsidDel="00000000" w:rsidR="00000000" w:rsidRPr="00000000">
              <w:rPr>
                <w:b w:val="1"/>
                <w:bCs w:val="1"/>
                <w:sz w:val="24"/>
                <w:szCs w:val="24"/>
                <w:rtl w:val="0"/>
              </w:rPr>
              <w:t xml:space="preserve"> y alertas. </w:t>
            </w:r>
            <w:r w:rsidDel="00000000" w:rsidR="00000000" w:rsidRPr="00000000">
              <w:rPr>
                <w:sz w:val="24"/>
                <w:szCs w:val="24"/>
                <w:rtl w:val="0"/>
              </w:rPr>
              <w:t xml:space="preserve">El reconocimiento facial opera con un umbral de distancia configurable entre el descriptor capturado y los registrados. Cuando el rostro no se reconoce, el sistema informa «Rostro no reconocido», deja constancia del intento en el registro técnico de intentos de reconocimiento y el docente marca la asistencia de forma manual, camino que va directo al registro sin pasar por la comparación de descriptores. Por separado, el módulo de reportes genera la alerta cuando la asistencia de un alumno cae bajo el 85 % mínimo legal, y se notifica al apoderado. Ambos comportamientos quedaron modelados en el diagrama BPMN TO-BE del proceso de negocio.</w:t>
            </w:r>
            <w:r w:rsidDel="00000000" w:rsidR="00000000" w:rsidRPr="00000000">
              <w:rPr>
                <w:rtl w:val="0"/>
              </w:rPr>
            </w:r>
          </w:p>
          <w:p w:rsidR="00000000" w:rsidDel="00000000" w:rsidP="00000000" w:rsidRDefault="00000000" w:rsidRPr="00000000" w14:paraId="00000015">
            <w:pPr>
              <w:jc w:val="both"/>
              <w:rPr>
                <w:color w:val="767171"/>
                <w:sz w:val="24"/>
                <w:szCs w:val="24"/>
              </w:rPr>
            </w:pPr>
            <w:r w:rsidDel="00000000" w:rsidR="00000000" w:rsidRPr="00000000">
              <w:rPr>
                <w:b w:val="1"/>
                <w:bCs w:val="1"/>
                <w:sz w:val="24"/>
                <w:szCs w:val="24"/>
                <w:rtl w:val="0"/>
              </w:rPr>
              <w:t xml:space="preserve">Gestión de los cambios de alcance. </w:t>
            </w:r>
            <w:r w:rsidDel="00000000" w:rsidR="00000000" w:rsidRPr="00000000">
              <w:rPr>
                <w:sz w:val="24"/>
                <w:szCs w:val="24"/>
                <w:rtl w:val="0"/>
              </w:rPr>
              <w:t xml:space="preserve">Todo cambio se registra en la Matriz de Control de Cambios con su justificación y su autorización. Es el caso del cambio de formato de los reportes, que pasaron de Excel a PDF y CSV por razones de dependencias técnicas, y que quedó formalmente documentado en lugar de aplicarse de hecho.</w:t>
            </w:r>
            <w:r w:rsidDel="00000000" w:rsidR="00000000" w:rsidRPr="00000000">
              <w:rPr>
                <w:rtl w:val="0"/>
              </w:rPr>
            </w:r>
          </w:p>
          <w:p w:rsidR="00000000" w:rsidDel="00000000" w:rsidP="00000000" w:rsidRDefault="00000000" w:rsidRPr="00000000" w14:paraId="00000016">
            <w:pPr>
              <w:jc w:val="both"/>
              <w:rPr>
                <w:color w:val="767171"/>
                <w:sz w:val="24"/>
                <w:szCs w:val="24"/>
              </w:rPr>
            </w:pPr>
            <w:r w:rsidDel="00000000" w:rsidR="00000000" w:rsidRPr="00000000">
              <w:rPr>
                <w:b w:val="1"/>
                <w:bCs w:val="1"/>
                <w:sz w:val="24"/>
                <w:szCs w:val="24"/>
                <w:rtl w:val="0"/>
              </w:rPr>
              <w:t xml:space="preserve">Cómo planeamos enfrentar lo que viene. </w:t>
            </w:r>
            <w:r w:rsidDel="00000000" w:rsidR="00000000" w:rsidRPr="00000000">
              <w:rPr>
                <w:sz w:val="24"/>
                <w:szCs w:val="24"/>
                <w:rtl w:val="0"/>
              </w:rPr>
              <w:t xml:space="preserve">La dificultad mayor que anticipamos es la concentración de carga en los sprints 5 a 7, donde se construyen los cuatro módulos del sistema y se prepara la entrega de Fase 2 parte 2 del 09-11-2026. La estrategia ha sido adelantar la construcción respecto del plan: a la fecha los cuatro microservicios ya están implementados sobre la base de datos de 32 tablas, lo que libera holgura para destinar los sprints 7 y 8 a pruebas, manuales y cierre.</w:t>
            </w: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color w:val="767171"/>
                <w:sz w:val="24"/>
                <w:szCs w:val="24"/>
              </w:rPr>
            </w:pPr>
            <w:r w:rsidDel="00000000" w:rsidR="00000000" w:rsidRPr="00000000">
              <w:rPr>
                <w:b w:val="1"/>
                <w:bCs w:val="1"/>
                <w:sz w:val="24"/>
                <w:szCs w:val="24"/>
                <w:rtl w:val="0"/>
              </w:rPr>
              <w:t xml:space="preserve">Evaluación general. </w:t>
            </w:r>
            <w:r w:rsidDel="00000000" w:rsidR="00000000" w:rsidRPr="00000000">
              <w:rPr>
                <w:sz w:val="24"/>
                <w:szCs w:val="24"/>
                <w:rtl w:val="0"/>
              </w:rPr>
              <w:t xml:space="preserve">Evaluamos nuestro trabajo de manera positiva. Cumplimos las dos entregas comprometidas en fecha, mantenemos el cronograma sin desviación y el producto está más avanzado de lo que exige el plan a esta altura del semestre.</w:t>
            </w:r>
            <w:r w:rsidDel="00000000" w:rsidR="00000000" w:rsidRPr="00000000">
              <w:rPr>
                <w:rtl w:val="0"/>
              </w:rPr>
            </w:r>
          </w:p>
          <w:p w:rsidR="00000000" w:rsidDel="00000000" w:rsidP="00000000" w:rsidRDefault="00000000" w:rsidRPr="00000000" w14:paraId="00000024">
            <w:pPr>
              <w:jc w:val="both"/>
              <w:rPr>
                <w:color w:val="767171"/>
                <w:sz w:val="24"/>
                <w:szCs w:val="24"/>
              </w:rPr>
            </w:pPr>
            <w:r w:rsidDel="00000000" w:rsidR="00000000" w:rsidRPr="00000000">
              <w:rPr>
                <w:b w:val="1"/>
                <w:bCs w:val="1"/>
                <w:sz w:val="24"/>
                <w:szCs w:val="24"/>
                <w:rtl w:val="0"/>
              </w:rPr>
              <w:t xml:space="preserve">Lo que destacamos. </w:t>
            </w:r>
            <w:r w:rsidDel="00000000" w:rsidR="00000000" w:rsidRPr="00000000">
              <w:rPr>
                <w:sz w:val="24"/>
                <w:szCs w:val="24"/>
                <w:rtl w:val="0"/>
              </w:rPr>
              <w:t xml:space="preserve">En primer lugar, la trazabilidad de la solución: los 42 requerimientos se pueden seguir hasta los casos de uso, de ahí al modelo de datos y finalmente a los módulos construidos, lo que permite justificar técnicamente cada decisión. En segundo lugar, la consistencia entre todos los documentos del proyecto, que manejan las mismas cifras de costo, horas, requerimientos y tablas. En tercer lugar, haber considerado el marco legal desde el diseño y no al final: por tratarse de datos biométricos de menores de edad, el sistema aplica minimización de datos y almacena únicamente el descriptor numérico de 128 dimensiones, nunca la imagen del rostro, sujetándose a las Leyes N° 19.628 y N° 21.719 sobre protección de datos personales.</w:t>
            </w:r>
            <w:r w:rsidDel="00000000" w:rsidR="00000000" w:rsidRPr="00000000">
              <w:rPr>
                <w:rtl w:val="0"/>
              </w:rPr>
            </w:r>
          </w:p>
          <w:p w:rsidR="00000000" w:rsidDel="00000000" w:rsidP="00000000" w:rsidRDefault="00000000" w:rsidRPr="00000000" w14:paraId="00000025">
            <w:pPr>
              <w:jc w:val="both"/>
              <w:rPr>
                <w:color w:val="767171"/>
                <w:sz w:val="24"/>
                <w:szCs w:val="24"/>
              </w:rPr>
            </w:pPr>
            <w:r w:rsidDel="00000000" w:rsidR="00000000" w:rsidRPr="00000000">
              <w:rPr>
                <w:b w:val="1"/>
                <w:bCs w:val="1"/>
                <w:sz w:val="24"/>
                <w:szCs w:val="24"/>
                <w:rtl w:val="0"/>
              </w:rPr>
              <w:t xml:space="preserve">Lo que podríamos mejorar. </w:t>
            </w:r>
            <w:r w:rsidDel="00000000" w:rsidR="00000000" w:rsidRPr="00000000">
              <w:rPr>
                <w:sz w:val="24"/>
                <w:szCs w:val="24"/>
                <w:rtl w:val="0"/>
              </w:rPr>
              <w:t xml:space="preserve">Primero, no contamos con pruebas automatizadas: todas las validaciones realizadas hasta ahora han sido manuales, lo que encarece cada verificación y nos deja sin red de seguridad frente a los cambios. Segundo, la redacción de la documentación se concentró en el Jefe de Proyecto, por lo que conviene repartirla y someterla a revisión entre pares. Tercero, el registro del consentimiento informado para el tratamiento de datos biométricos está descrito en la documentación, pero todavía no está implementado como entidad en la base de datos; es una brecha que detectamos nosotros mismos al revisar el modelo y que debemos cerrar.</w:t>
            </w: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9">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color w:val="767171"/>
                <w:sz w:val="24"/>
                <w:szCs w:val="24"/>
              </w:rPr>
            </w:pPr>
            <w:r w:rsidDel="00000000" w:rsidR="00000000" w:rsidRPr="00000000">
              <w:rPr>
                <w:b w:val="1"/>
                <w:bCs w:val="1"/>
                <w:sz w:val="24"/>
                <w:szCs w:val="24"/>
                <w:rtl w:val="0"/>
              </w:rPr>
              <w:t xml:space="preserve">Inquietudes. </w:t>
            </w:r>
            <w:r w:rsidDel="00000000" w:rsidR="00000000" w:rsidRPr="00000000">
              <w:rPr>
                <w:sz w:val="24"/>
                <w:szCs w:val="24"/>
                <w:rtl w:val="0"/>
              </w:rPr>
              <w:t xml:space="preserve">Nuestras dudas se concentran en el nivel de exigencia esperado para el cierre del proyecto y en el alcance de los aspectos legales y de despliegue, por tratarse de un sistema que trata datos biométricos de menores de edad.</w:t>
            </w:r>
            <w:r w:rsidDel="00000000" w:rsidR="00000000" w:rsidRPr="00000000">
              <w:rPr>
                <w:rtl w:val="0"/>
              </w:rPr>
            </w:r>
          </w:p>
          <w:p w:rsidR="00000000" w:rsidDel="00000000" w:rsidP="00000000" w:rsidRDefault="00000000" w:rsidRPr="00000000" w14:paraId="0000002C">
            <w:pPr>
              <w:jc w:val="both"/>
              <w:rPr>
                <w:color w:val="767171"/>
                <w:sz w:val="24"/>
                <w:szCs w:val="24"/>
              </w:rPr>
            </w:pPr>
            <w:r w:rsidDel="00000000" w:rsidR="00000000" w:rsidRPr="00000000">
              <w:rPr>
                <w:b w:val="1"/>
                <w:bCs w:val="1"/>
                <w:sz w:val="24"/>
                <w:szCs w:val="24"/>
                <w:rtl w:val="0"/>
              </w:rPr>
              <w:t xml:space="preserve">Preguntas para la docente. </w:t>
            </w:r>
            <w:r w:rsidDel="00000000" w:rsidR="00000000" w:rsidRPr="00000000">
              <w:rPr>
                <w:sz w:val="24"/>
                <w:szCs w:val="24"/>
                <w:rtl w:val="0"/>
              </w:rPr>
              <w:t xml:space="preserve">1. ¿Se espera que el registro de consentimiento informado para el tratamiento de datos biométricos esté implementado en la base de datos, con respaldo del apoderado, o es suficiente documentar el procedimiento y su fundamento legal?</w:t>
            </w:r>
            <w:r w:rsidDel="00000000" w:rsidR="00000000" w:rsidRPr="00000000">
              <w:rPr>
                <w:rtl w:val="0"/>
              </w:rPr>
            </w:r>
          </w:p>
          <w:p w:rsidR="00000000" w:rsidDel="00000000" w:rsidP="00000000" w:rsidRDefault="00000000" w:rsidRPr="00000000" w14:paraId="0000002D">
            <w:pPr>
              <w:jc w:val="both"/>
              <w:rPr>
                <w:color w:val="767171"/>
                <w:sz w:val="24"/>
                <w:szCs w:val="24"/>
              </w:rPr>
            </w:pPr>
            <w:r w:rsidDel="00000000" w:rsidR="00000000" w:rsidRPr="00000000">
              <w:rPr>
                <w:sz w:val="24"/>
                <w:szCs w:val="24"/>
                <w:rtl w:val="0"/>
              </w:rPr>
              <w:t xml:space="preserve">2. El acceso a la cámara desde el navegador exige un contexto seguro (HTTPS o localhost). ¿La demostración de la Fase 3 puede ejecutarse en el equipo local o se espera un despliegue en red con certificado?</w:t>
            </w:r>
            <w:r w:rsidDel="00000000" w:rsidR="00000000" w:rsidRPr="00000000">
              <w:rPr>
                <w:rtl w:val="0"/>
              </w:rPr>
            </w:r>
          </w:p>
          <w:p w:rsidR="00000000" w:rsidDel="00000000" w:rsidP="00000000" w:rsidRDefault="00000000" w:rsidRPr="00000000" w14:paraId="0000002E">
            <w:pPr>
              <w:jc w:val="both"/>
              <w:rPr>
                <w:color w:val="767171"/>
                <w:sz w:val="24"/>
                <w:szCs w:val="24"/>
              </w:rPr>
            </w:pPr>
            <w:r w:rsidDel="00000000" w:rsidR="00000000" w:rsidRPr="00000000">
              <w:rPr>
                <w:sz w:val="24"/>
                <w:szCs w:val="24"/>
                <w:rtl w:val="0"/>
              </w:rPr>
              <w:t xml:space="preserve">3. ¿Las pruebas con usuarios pueden realizarse con integrantes del equipo y voluntarios adultos, considerando que el cliente es simulado y que el usuario final real serían menores de edad?</w:t>
            </w: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sz w:val="24"/>
                <w:szCs w:val="24"/>
                <w:rtl w:val="0"/>
              </w:rPr>
              <w:t xml:space="preserve">4. ¿El informe consolidado de los nueve sprints es suficiente como evidencia de la gestión ágil, o se prefiere un informe independiente por cada sprint?</w:t>
            </w: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b w:val="1"/>
                <w:bCs w:val="1"/>
                <w:sz w:val="24"/>
                <w:szCs w:val="24"/>
                <w:rtl w:val="0"/>
              </w:rPr>
              <w:t xml:space="preserve">Pregunta para nuestros pares. </w:t>
            </w:r>
            <w:r w:rsidDel="00000000" w:rsidR="00000000" w:rsidRPr="00000000">
              <w:rPr>
                <w:sz w:val="24"/>
                <w:szCs w:val="24"/>
                <w:rtl w:val="0"/>
              </w:rPr>
              <w:t xml:space="preserve">A los grupos que también trabajan con captura por cámara o reconocimiento biométrico nos interesa saber qué umbral de similitud definieron y cómo resolvieron los falsos rechazos en condiciones de iluminación desfavorable.</w:t>
            </w: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3">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4">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b w:val="1"/>
                <w:bCs w:val="1"/>
                <w:sz w:val="24"/>
                <w:szCs w:val="24"/>
                <w:rtl w:val="0"/>
              </w:rPr>
              <w:t xml:space="preserve">Sí, proponemos dos redistribuciones. </w:t>
            </w:r>
            <w:r w:rsidDel="00000000" w:rsidR="00000000" w:rsidRPr="00000000">
              <w:rPr>
                <w:sz w:val="24"/>
                <w:szCs w:val="24"/>
                <w:rtl w:val="0"/>
              </w:rPr>
              <w:t xml:space="preserve">La primera corrige una sobrecarga: Maximiliano Castillo concentra los roles de Jefe de Proyecto y Diseñador, por lo que se traspasa parte del diseño de interfaz al Analista Programador con el fin de liberar capacidad durante los sprints 5 a 7, que son los de mayor carga de construcción. La segunda adelanta la participación de QA: Dilan Nuñez, incorporado recientemente, pasa a validar cada módulo a medida que se cierra, en lugar de concentrar todas las pruebas en el Sprint 8, de modo que los defectos se </w:t>
            </w:r>
            <w:r w:rsidDel="00000000" w:rsidR="00000000" w:rsidRPr="00000000">
              <w:rPr>
                <w:sz w:val="24"/>
                <w:szCs w:val="24"/>
                <w:rtl w:val="0"/>
              </w:rPr>
              <w:t xml:space="preserve">detecten</w:t>
            </w:r>
            <w:r w:rsidDel="00000000" w:rsidR="00000000" w:rsidRPr="00000000">
              <w:rPr>
                <w:sz w:val="24"/>
                <w:szCs w:val="24"/>
                <w:rtl w:val="0"/>
              </w:rPr>
              <w:t xml:space="preserve"> antes y no acumulados al final del proyecto.</w:t>
            </w:r>
            <w:r w:rsidDel="00000000" w:rsidR="00000000" w:rsidRPr="00000000">
              <w:rPr>
                <w:rtl w:val="0"/>
              </w:rPr>
            </w:r>
          </w:p>
          <w:p w:rsidR="00000000" w:rsidDel="00000000" w:rsidP="00000000" w:rsidRDefault="00000000" w:rsidRPr="00000000" w14:paraId="00000037">
            <w:pPr>
              <w:jc w:val="both"/>
              <w:rPr>
                <w:color w:val="767171"/>
                <w:sz w:val="24"/>
                <w:szCs w:val="24"/>
              </w:rPr>
            </w:pPr>
            <w:r w:rsidDel="00000000" w:rsidR="00000000" w:rsidRPr="00000000">
              <w:rPr>
                <w:b w:val="1"/>
                <w:bCs w:val="1"/>
                <w:sz w:val="24"/>
                <w:szCs w:val="24"/>
                <w:rtl w:val="0"/>
              </w:rPr>
              <w:t xml:space="preserve">Nuevas actividades que deben asignarse. </w:t>
            </w:r>
            <w:r w:rsidDel="00000000" w:rsidR="00000000" w:rsidRPr="00000000">
              <w:rPr>
                <w:sz w:val="24"/>
                <w:szCs w:val="24"/>
                <w:rtl w:val="0"/>
              </w:rPr>
              <w:t xml:space="preserve">Identificamos tres actividades que no estaban en el plan original. La primera es la implementación del registro de consentimiento informado para el tratamiento de datos biométricos, incluyendo su modelo de datos y la validación previa al registro de un rostro; queda asignada al Administrador de Base de Datos y al Analista Programador. La segunda es la ejecución de pruebas de reconocimiento bajo distintas condiciones de iluminación, para sustentar el indicador de precisión igual o superior al 90 % comprometido en el Acta de Constitución; queda asignada a Calidad y Testing. La tercera es la redacción del manual de instalación en contenedores, necesario para que el establecimiento pueda operar el sistema sin asistencia del equipo; queda asignada al Jefe de Proyecto.</w:t>
            </w: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A">
            <w:pPr>
              <w:rPr>
                <w:b w:val="1"/>
                <w:bCs w:val="1"/>
                <w:color w:val="767171"/>
                <w:sz w:val="24"/>
                <w:szCs w:val="24"/>
              </w:rPr>
            </w:pPr>
            <w:bookmarkStart w:colFirst="0" w:colLast="0" w:name="_heading=h.phdjvofor3i"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B">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b w:val="1"/>
                <w:bCs w:val="1"/>
                <w:sz w:val="24"/>
                <w:szCs w:val="24"/>
                <w:rtl w:val="0"/>
              </w:rPr>
              <w:t xml:space="preserve">Evaluación del trabajo en grupo. </w:t>
            </w:r>
            <w:r w:rsidDel="00000000" w:rsidR="00000000" w:rsidRPr="00000000">
              <w:rPr>
                <w:sz w:val="24"/>
                <w:szCs w:val="24"/>
                <w:rtl w:val="0"/>
              </w:rPr>
              <w:t xml:space="preserve">El trabajo en equipo ha funcionado bien. Los roles están formalizados en la Matriz RACI y cada integrante sabe de qué entregables responde, lo que ha evitado trabajo duplicado y zonas sin dueño.</w:t>
            </w: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b w:val="1"/>
                <w:bCs w:val="1"/>
                <w:sz w:val="24"/>
                <w:szCs w:val="24"/>
                <w:rtl w:val="0"/>
              </w:rPr>
              <w:t xml:space="preserve">Aspectos positivos que destacamos. </w:t>
            </w:r>
            <w:r w:rsidDel="00000000" w:rsidR="00000000" w:rsidRPr="00000000">
              <w:rPr>
                <w:sz w:val="24"/>
                <w:szCs w:val="24"/>
                <w:rtl w:val="0"/>
              </w:rPr>
              <w:t xml:space="preserve">La comunicación ha sido fluida y las decisiones técnicas relevantes se discuten antes de implementarlas, no después: así se resolvieron el umbral de similitud del reconocimiento facial y la corrección del flujo del marcado manual en el BPMN, que inicialmente pasaba por la comparación de descriptores sin necesidad. El uso de un repositorio común mantiene a todos sobre la misma versión del sistema, y el hecho de que el entorno completo se levante con Docker permite que cualquiera reproduzca el trabajo de otro sin configuraciones manuales.</w:t>
            </w:r>
            <w:r w:rsidDel="00000000" w:rsidR="00000000" w:rsidRPr="00000000">
              <w:rPr>
                <w:rtl w:val="0"/>
              </w:rPr>
            </w:r>
          </w:p>
          <w:p w:rsidR="00000000" w:rsidDel="00000000" w:rsidP="00000000" w:rsidRDefault="00000000" w:rsidRPr="00000000" w14:paraId="0000003F">
            <w:pPr>
              <w:jc w:val="both"/>
              <w:rPr>
                <w:color w:val="767171"/>
                <w:sz w:val="24"/>
                <w:szCs w:val="24"/>
              </w:rPr>
            </w:pPr>
            <w:r w:rsidDel="00000000" w:rsidR="00000000" w:rsidRPr="00000000">
              <w:rPr>
                <w:b w:val="1"/>
                <w:bCs w:val="1"/>
                <w:sz w:val="24"/>
                <w:szCs w:val="24"/>
                <w:rtl w:val="0"/>
              </w:rPr>
              <w:t xml:space="preserve">Aspectos que podríamos mejorar. </w:t>
            </w:r>
            <w:r w:rsidDel="00000000" w:rsidR="00000000" w:rsidRPr="00000000">
              <w:rPr>
                <w:sz w:val="24"/>
                <w:szCs w:val="24"/>
                <w:rtl w:val="0"/>
              </w:rPr>
              <w:t xml:space="preserve">La carga de documentación quedó distribuida de forma desigual, concentrada en el Jefe de Proyecto. Además, conviene dejar por escrito los acuerdos de cada reunión de equipo. Y la integración del nuevo integrante fue tardía respecto del inicio del proyecto, lo que retrasó el arranque de las actividades de aseguramiento de calidad.</w:t>
            </w:r>
            <w:r w:rsidDel="00000000" w:rsidR="00000000" w:rsidRPr="00000000">
              <w:rPr>
                <w:rtl w:val="0"/>
              </w:rPr>
            </w:r>
          </w:p>
          <w:p w:rsidR="00000000" w:rsidDel="00000000" w:rsidP="00000000" w:rsidRDefault="00000000" w:rsidRPr="00000000" w14:paraId="00000040">
            <w:pPr>
              <w:jc w:val="both"/>
              <w:rPr>
                <w:color w:val="767171"/>
                <w:sz w:val="24"/>
                <w:szCs w:val="24"/>
              </w:rPr>
            </w:pPr>
            <w:r w:rsidDel="00000000" w:rsidR="00000000" w:rsidRPr="00000000">
              <w:rPr>
                <w:b w:val="1"/>
                <w:bCs w:val="1"/>
                <w:sz w:val="24"/>
                <w:szCs w:val="24"/>
                <w:rtl w:val="0"/>
              </w:rPr>
              <w:t xml:space="preserve">Acciones comprometidas. </w:t>
            </w:r>
            <w:r w:rsidDel="00000000" w:rsidR="00000000" w:rsidRPr="00000000">
              <w:rPr>
                <w:sz w:val="24"/>
                <w:szCs w:val="24"/>
                <w:rtl w:val="0"/>
              </w:rPr>
              <w:t xml:space="preserve">Registrar por escrito los acuerdos de cada reunión de equipo, con sus responsables; rotar la redacción de los documentos entre los integrantes; y exigir revisión cruzada entre pares de todo entregable antes de su envío, de manera que ningún documento salga revisado por una sola persona.</w:t>
            </w:r>
            <w:r w:rsidDel="00000000" w:rsidR="00000000" w:rsidRPr="00000000">
              <w:rPr>
                <w:rtl w:val="0"/>
              </w:rPr>
            </w:r>
          </w:p>
        </w:tc>
      </w:tr>
    </w:tbl>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kpoh4b6s7jc1GA85Zic2wPDrZA==">CgMxLjAyDWgucGhkanZvZm9yM2k4AHIhMWtSYzBzWjN6eFhQVGZJSi1pcE0zdkliR1dtbmUtLWw5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