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6BE2C" w14:textId="77777777" w:rsidR="00FF6EEE" w:rsidRDefault="00FF6EEE">
      <w:bookmarkStart w:id="0" w:name="_heading=h.z4i565qp1woi" w:colFirst="0" w:colLast="0"/>
      <w:bookmarkEnd w:id="0"/>
    </w:p>
    <w:p w14:paraId="463A871C" w14:textId="77777777" w:rsidR="00FF6EEE" w:rsidRDefault="00000000">
      <w:pPr>
        <w:rPr>
          <w:b/>
          <w:bCs/>
        </w:rPr>
      </w:pPr>
      <w:r>
        <w:rPr>
          <w:noProof/>
        </w:rPr>
        <mc:AlternateContent>
          <mc:Choice Requires="wpg">
            <w:drawing>
              <wp:anchor distT="0" distB="0" distL="114300" distR="114300" simplePos="0" relativeHeight="251658240" behindDoc="0" locked="0" layoutInCell="1" hidden="0" allowOverlap="1" wp14:anchorId="1A48EFEB" wp14:editId="7B28D3DF">
                <wp:simplePos x="0" y="0"/>
                <wp:positionH relativeFrom="column">
                  <wp:posOffset>1</wp:posOffset>
                </wp:positionH>
                <wp:positionV relativeFrom="paragraph">
                  <wp:posOffset>9525</wp:posOffset>
                </wp:positionV>
                <wp:extent cx="6238875" cy="1562100"/>
                <wp:effectExtent l="0" t="0" r="0" b="0"/>
                <wp:wrapNone/>
                <wp:docPr id="28" name="Grupo 28"/>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560181181" name="Grupo 560181181"/>
                        <wpg:cNvGrpSpPr/>
                        <wpg:grpSpPr>
                          <a:xfrm>
                            <a:off x="2226563" y="2998950"/>
                            <a:ext cx="6238875" cy="1562100"/>
                            <a:chOff x="0" y="0"/>
                            <a:chExt cx="5991225" cy="1562100"/>
                          </a:xfrm>
                        </wpg:grpSpPr>
                        <wps:wsp>
                          <wps:cNvPr id="1212608687" name="Rectángulo 1212608687"/>
                          <wps:cNvSpPr/>
                          <wps:spPr>
                            <a:xfrm>
                              <a:off x="0" y="0"/>
                              <a:ext cx="5991225" cy="1562100"/>
                            </a:xfrm>
                            <a:prstGeom prst="rect">
                              <a:avLst/>
                            </a:prstGeom>
                            <a:noFill/>
                            <a:ln>
                              <a:noFill/>
                            </a:ln>
                          </wps:spPr>
                          <wps:txbx>
                            <w:txbxContent>
                              <w:p w14:paraId="709D35DA" w14:textId="77777777" w:rsidR="00FF6EEE" w:rsidRDefault="00FF6EEE">
                                <w:pPr>
                                  <w:spacing w:after="0" w:line="240" w:lineRule="auto"/>
                                  <w:textDirection w:val="btLr"/>
                                </w:pPr>
                              </w:p>
                            </w:txbxContent>
                          </wps:txbx>
                          <wps:bodyPr spcFirstLastPara="1" wrap="square" lIns="91425" tIns="91425" rIns="91425" bIns="91425" anchor="ctr" anchorCtr="0">
                            <a:noAutofit/>
                          </wps:bodyPr>
                        </wps:wsp>
                        <wps:wsp>
                          <wps:cNvPr id="252731810" name="Rectángulo 252731810"/>
                          <wps:cNvSpPr/>
                          <wps:spPr>
                            <a:xfrm>
                              <a:off x="1024671" y="299473"/>
                              <a:ext cx="4966554" cy="1262627"/>
                            </a:xfrm>
                            <a:prstGeom prst="rect">
                              <a:avLst/>
                            </a:prstGeom>
                            <a:noFill/>
                            <a:ln>
                              <a:noFill/>
                            </a:ln>
                          </wps:spPr>
                          <wps:txbx>
                            <w:txbxContent>
                              <w:p w14:paraId="47C4A0E4" w14:textId="77777777" w:rsidR="00FF6EEE" w:rsidRDefault="00FF6EEE">
                                <w:pPr>
                                  <w:spacing w:after="0" w:line="240" w:lineRule="auto"/>
                                  <w:textDirection w:val="btLr"/>
                                </w:pPr>
                              </w:p>
                              <w:p w14:paraId="5D5D135B" w14:textId="77777777" w:rsidR="00FF6EEE" w:rsidRDefault="00000000">
                                <w:pPr>
                                  <w:spacing w:after="0" w:line="240" w:lineRule="auto"/>
                                  <w:textDirection w:val="btLr"/>
                                </w:pPr>
                                <w:r>
                                  <w:rPr>
                                    <w:b/>
                                    <w:color w:val="1F3864"/>
                                    <w:sz w:val="48"/>
                                  </w:rPr>
                                  <w:t xml:space="preserve">Guía2. Desarrollo Proyecto APT </w:t>
                                </w:r>
                              </w:p>
                              <w:p w14:paraId="56BC83AB" w14:textId="77777777" w:rsidR="00FF6EEE"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1360206682" name="Rectángulo 1360206682"/>
                          <wps:cNvSpPr/>
                          <wps:spPr>
                            <a:xfrm>
                              <a:off x="0" y="0"/>
                              <a:ext cx="993140" cy="1486894"/>
                            </a:xfrm>
                            <a:prstGeom prst="rect">
                              <a:avLst/>
                            </a:prstGeom>
                            <a:solidFill>
                              <a:srgbClr val="1F3864"/>
                            </a:solidFill>
                            <a:ln>
                              <a:noFill/>
                            </a:ln>
                          </wps:spPr>
                          <wps:txbx>
                            <w:txbxContent>
                              <w:p w14:paraId="30B92C1A" w14:textId="77777777" w:rsidR="00FF6EEE" w:rsidRDefault="00FF6EEE">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1A48EFEB" id="Grupo 28" o:spid="_x0000_s1026" style="position:absolute;margin-left:0;margin-top:.75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">
                <v:group id="Grupo 560181181"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">
                  <v:rect id="Rectángulo 1212608687"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" filled="f" stroked="f">
                    <v:textbox inset="2.53958mm,2.53958mm,2.53958mm,2.53958mm">
                      <w:txbxContent>
                        <w:p w14:paraId="709D35DA" w14:textId="77777777" w:rsidR="00FF6EEE" w:rsidRDefault="00FF6EEE">
                          <w:pPr>
                            <w:spacing w:after="0" w:line="240" w:lineRule="auto"/>
                            <w:textDirection w:val="btLr"/>
                          </w:pPr>
                        </w:p>
                      </w:txbxContent>
                    </v:textbox>
                  </v:rect>
                  <v:rect id="Rectángulo 252731810"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" filled="f" stroked="f">
                    <v:textbox inset="2.53958mm,1.2694mm,2.53958mm,1.2694mm">
                      <w:txbxContent>
                        <w:p w14:paraId="47C4A0E4" w14:textId="77777777" w:rsidR="00FF6EEE" w:rsidRDefault="00FF6EEE">
                          <w:pPr>
                            <w:spacing w:after="0" w:line="240" w:lineRule="auto"/>
                            <w:textDirection w:val="btLr"/>
                          </w:pPr>
                        </w:p>
                        <w:p w14:paraId="5D5D135B" w14:textId="77777777" w:rsidR="00FF6EEE" w:rsidRDefault="00000000">
                          <w:pPr>
                            <w:spacing w:after="0" w:line="240" w:lineRule="auto"/>
                            <w:textDirection w:val="btLr"/>
                          </w:pPr>
                          <w:r>
                            <w:rPr>
                              <w:b/>
                              <w:color w:val="1F3864"/>
                              <w:sz w:val="48"/>
                            </w:rPr>
                            <w:t xml:space="preserve">Guía2. Desarrollo Proyecto APT </w:t>
                          </w:r>
                        </w:p>
                        <w:p w14:paraId="56BC83AB" w14:textId="77777777" w:rsidR="00FF6EEE" w:rsidRDefault="00000000">
                          <w:pPr>
                            <w:spacing w:after="0" w:line="240" w:lineRule="auto"/>
                            <w:textDirection w:val="btLr"/>
                          </w:pPr>
                          <w:r>
                            <w:rPr>
                              <w:b/>
                              <w:color w:val="1F3864"/>
                              <w:sz w:val="48"/>
                            </w:rPr>
                            <w:t>Asignatura Capstone</w:t>
                          </w:r>
                        </w:p>
                      </w:txbxContent>
                    </v:textbox>
                  </v:rect>
                  <v:rect id="Rectángulo 1360206682"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" fillcolor="#1f3864" stroked="f">
                    <v:textbox inset="2.53958mm,2.53958mm,2.53958mm,2.53958mm">
                      <w:txbxContent>
                        <w:p w14:paraId="30B92C1A" w14:textId="77777777" w:rsidR="00FF6EEE" w:rsidRDefault="00FF6EEE">
                          <w:pPr>
                            <w:spacing w:after="0" w:line="240" w:lineRule="auto"/>
                            <w:textDirection w:val="btLr"/>
                          </w:pPr>
                        </w:p>
                      </w:txbxContent>
                    </v:textbox>
                  </v:rect>
                </v:group>
              </v:group>
            </w:pict>
          </mc:Fallback>
        </mc:AlternateContent>
      </w:r>
    </w:p>
    <w:p w14:paraId="4E5E10F1" w14:textId="77777777" w:rsidR="00FF6EEE" w:rsidRDefault="00FF6EEE">
      <w:pPr>
        <w:rPr>
          <w:color w:val="595959"/>
          <w:sz w:val="24"/>
          <w:szCs w:val="24"/>
        </w:rPr>
      </w:pPr>
    </w:p>
    <w:p w14:paraId="09BCCA3E" w14:textId="77777777" w:rsidR="00FF6EEE" w:rsidRDefault="00FF6EEE">
      <w:pPr>
        <w:rPr>
          <w:color w:val="595959"/>
          <w:sz w:val="24"/>
          <w:szCs w:val="24"/>
        </w:rPr>
      </w:pPr>
    </w:p>
    <w:p w14:paraId="2AA75416" w14:textId="77777777" w:rsidR="00FF6EEE" w:rsidRDefault="00FF6EEE">
      <w:pPr>
        <w:rPr>
          <w:color w:val="595959"/>
          <w:sz w:val="24"/>
          <w:szCs w:val="24"/>
        </w:rPr>
      </w:pPr>
    </w:p>
    <w:p w14:paraId="7051A63B" w14:textId="77777777" w:rsidR="00FF6EEE" w:rsidRDefault="00FF6EEE">
      <w:pPr>
        <w:rPr>
          <w:color w:val="595959"/>
          <w:sz w:val="24"/>
          <w:szCs w:val="24"/>
        </w:rPr>
      </w:pPr>
    </w:p>
    <w:p w14:paraId="07632843" w14:textId="77777777" w:rsidR="00FF6EEE" w:rsidRDefault="00FF6EEE">
      <w:pPr>
        <w:rPr>
          <w:color w:val="595959"/>
          <w:sz w:val="24"/>
          <w:szCs w:val="24"/>
        </w:rPr>
      </w:pPr>
    </w:p>
    <w:p w14:paraId="020C4B84" w14:textId="77777777" w:rsidR="00FF6EEE" w:rsidRDefault="00FF6EEE">
      <w:pPr>
        <w:rPr>
          <w:color w:val="595959"/>
          <w:sz w:val="24"/>
          <w:szCs w:val="24"/>
        </w:rPr>
      </w:pP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FF6EEE" w14:paraId="69D91AA9" w14:textId="77777777">
        <w:trPr>
          <w:trHeight w:val="440"/>
        </w:trPr>
        <w:tc>
          <w:tcPr>
            <w:tcW w:w="9639" w:type="dxa"/>
            <w:vAlign w:val="center"/>
          </w:tcPr>
          <w:p w14:paraId="2CB9AAC5" w14:textId="77777777" w:rsidR="00FF6EEE" w:rsidRDefault="00000000">
            <w:pPr>
              <w:rPr>
                <w:b/>
                <w:bCs/>
                <w:color w:val="1F3864"/>
                <w:sz w:val="28"/>
                <w:szCs w:val="28"/>
              </w:rPr>
            </w:pPr>
            <w:r>
              <w:rPr>
                <w:b/>
                <w:bCs/>
                <w:color w:val="1F3864"/>
                <w:sz w:val="28"/>
                <w:szCs w:val="28"/>
              </w:rPr>
              <w:t>1. Resumen avance Proyecto APT</w:t>
            </w:r>
          </w:p>
        </w:tc>
      </w:tr>
      <w:tr w:rsidR="00FF6EEE" w14:paraId="7242CDAA" w14:textId="77777777">
        <w:trPr>
          <w:trHeight w:val="800"/>
        </w:trPr>
        <w:tc>
          <w:tcPr>
            <w:tcW w:w="9639" w:type="dxa"/>
            <w:shd w:val="clear" w:color="auto" w:fill="D9E2F3"/>
            <w:vAlign w:val="center"/>
          </w:tcPr>
          <w:p w14:paraId="48E0C718" w14:textId="77777777" w:rsidR="00FF6EEE"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encontrarás distintos campos que deberás completar con la información solicitada. </w:t>
            </w:r>
          </w:p>
        </w:tc>
      </w:tr>
    </w:tbl>
    <w:p w14:paraId="07D8ECD2" w14:textId="77777777" w:rsidR="00FF6EEE" w:rsidRDefault="00FF6EEE">
      <w:pPr>
        <w:spacing w:after="0" w:line="240" w:lineRule="auto"/>
        <w:rPr>
          <w:color w:val="595959"/>
          <w:sz w:val="24"/>
          <w:szCs w:val="24"/>
        </w:rPr>
      </w:pPr>
    </w:p>
    <w:p w14:paraId="2801E3B8" w14:textId="77777777" w:rsidR="00FF6EEE" w:rsidRDefault="00FF6EEE">
      <w:pPr>
        <w:spacing w:after="0" w:line="240" w:lineRule="auto"/>
        <w:rPr>
          <w:color w:val="595959"/>
          <w:sz w:val="24"/>
          <w:szCs w:val="24"/>
        </w:rPr>
      </w:pPr>
    </w:p>
    <w:tbl>
      <w:tblPr>
        <w:tblStyle w:val="a0"/>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FF6EEE" w14:paraId="10AE484D" w14:textId="77777777">
        <w:tc>
          <w:tcPr>
            <w:tcW w:w="2528" w:type="dxa"/>
            <w:vAlign w:val="center"/>
          </w:tcPr>
          <w:p w14:paraId="6B89E2DB" w14:textId="77777777" w:rsidR="00FF6EEE" w:rsidRDefault="00000000">
            <w:pPr>
              <w:rPr>
                <w:color w:val="1F3864"/>
              </w:rPr>
            </w:pPr>
            <w:r>
              <w:rPr>
                <w:color w:val="1F3864"/>
              </w:rPr>
              <w:t>Resumen de avance proyecto APT</w:t>
            </w:r>
          </w:p>
        </w:tc>
        <w:tc>
          <w:tcPr>
            <w:tcW w:w="7111" w:type="dxa"/>
          </w:tcPr>
          <w:p w14:paraId="23D0E3AC" w14:textId="77777777" w:rsidR="00FF6EEE" w:rsidRDefault="00000000">
            <w:pPr>
              <w:spacing w:after="240" w:line="276" w:lineRule="auto"/>
              <w:jc w:val="both"/>
              <w:rPr>
                <w:i/>
                <w:iCs/>
                <w:sz w:val="20"/>
                <w:szCs w:val="20"/>
              </w:rPr>
            </w:pPr>
            <w:r>
              <w:rPr>
                <w:i/>
                <w:iCs/>
                <w:sz w:val="20"/>
                <w:szCs w:val="20"/>
              </w:rPr>
              <w:t>Durante este período de desarrollo, el trabajo se concentró en la formalización de la arquitectura de software (DAS) y la definición técnica de los procesos del sistema "FarmaStock Assist", diseñado para optimizar la gestión y disponibilidad de medicamentos en el ámbito de la salud primaria (CESFAM).</w:t>
            </w:r>
          </w:p>
          <w:p w14:paraId="1FBAF78E" w14:textId="6096A970" w:rsidR="00FF6EEE" w:rsidRDefault="00000000">
            <w:pPr>
              <w:spacing w:after="240" w:line="276" w:lineRule="auto"/>
              <w:jc w:val="both"/>
              <w:rPr>
                <w:i/>
                <w:iCs/>
                <w:sz w:val="20"/>
                <w:szCs w:val="20"/>
              </w:rPr>
            </w:pPr>
            <w:r>
              <w:rPr>
                <w:i/>
                <w:iCs/>
                <w:sz w:val="20"/>
                <w:szCs w:val="20"/>
              </w:rPr>
              <w:t xml:space="preserve">A </w:t>
            </w:r>
            <w:r w:rsidR="0037776C">
              <w:rPr>
                <w:i/>
                <w:iCs/>
                <w:sz w:val="20"/>
                <w:szCs w:val="20"/>
              </w:rPr>
              <w:t>continuación,</w:t>
            </w:r>
            <w:r>
              <w:rPr>
                <w:i/>
                <w:iCs/>
                <w:sz w:val="20"/>
                <w:szCs w:val="20"/>
              </w:rPr>
              <w:t xml:space="preserve"> se detallan las actividades ejecutadas y el grado de cumplimiento de los objetivos específicos:</w:t>
            </w:r>
          </w:p>
          <w:p w14:paraId="62B7D3A8" w14:textId="77777777" w:rsidR="00FF6EEE" w:rsidRDefault="00000000">
            <w:pPr>
              <w:spacing w:line="276" w:lineRule="auto"/>
              <w:jc w:val="both"/>
              <w:rPr>
                <w:sz w:val="20"/>
                <w:szCs w:val="20"/>
              </w:rPr>
            </w:pPr>
            <w:r>
              <w:rPr>
                <w:sz w:val="20"/>
                <w:szCs w:val="20"/>
              </w:rPr>
              <w:t>1. Actividades Llevadas a Cabo</w:t>
            </w:r>
          </w:p>
          <w:p w14:paraId="413FC267" w14:textId="77777777" w:rsidR="00FF6EEE" w:rsidRDefault="00000000">
            <w:pPr>
              <w:numPr>
                <w:ilvl w:val="0"/>
                <w:numId w:val="3"/>
              </w:numPr>
              <w:spacing w:after="0" w:line="276" w:lineRule="auto"/>
              <w:jc w:val="both"/>
              <w:rPr>
                <w:i/>
                <w:iCs/>
                <w:sz w:val="20"/>
                <w:szCs w:val="20"/>
              </w:rPr>
            </w:pPr>
            <w:r>
              <w:rPr>
                <w:b/>
                <w:bCs/>
                <w:i/>
                <w:iCs/>
                <w:sz w:val="20"/>
                <w:szCs w:val="20"/>
              </w:rPr>
              <w:t>Levantamiento y Estandarización de Casos de Uso:</w:t>
            </w:r>
            <w:r>
              <w:rPr>
                <w:i/>
                <w:iCs/>
                <w:sz w:val="20"/>
                <w:szCs w:val="20"/>
              </w:rPr>
              <w:t xml:space="preserve"> Se definieron y estructuraron los 14 Casos de Uso del sistema (del CU-001 al CU-014), abarcando desde las consultas y reservas ciudadanas vía código QR hasta las transacciones de dispensación en mesón y el control analítico de inventario. Asimismo, se completó el documento anexo de </w:t>
            </w:r>
            <w:r>
              <w:rPr>
                <w:b/>
                <w:bCs/>
                <w:i/>
                <w:iCs/>
                <w:sz w:val="20"/>
                <w:szCs w:val="20"/>
              </w:rPr>
              <w:t>Casos de Uso Extendidos</w:t>
            </w:r>
            <w:r>
              <w:rPr>
                <w:i/>
                <w:iCs/>
                <w:sz w:val="20"/>
                <w:szCs w:val="20"/>
              </w:rPr>
              <w:t>, detallando actores, precondiciones, postcondiciones y flujos alternativos para cada funcionalidad crítica.</w:t>
            </w:r>
          </w:p>
          <w:p w14:paraId="4611B240" w14:textId="77777777" w:rsidR="00FF6EEE" w:rsidRDefault="00000000">
            <w:pPr>
              <w:numPr>
                <w:ilvl w:val="0"/>
                <w:numId w:val="3"/>
              </w:numPr>
              <w:spacing w:after="0" w:line="276" w:lineRule="auto"/>
              <w:jc w:val="both"/>
              <w:rPr>
                <w:i/>
                <w:iCs/>
                <w:sz w:val="20"/>
                <w:szCs w:val="20"/>
              </w:rPr>
            </w:pPr>
            <w:r>
              <w:rPr>
                <w:b/>
                <w:bCs/>
                <w:i/>
                <w:iCs/>
                <w:sz w:val="20"/>
                <w:szCs w:val="20"/>
              </w:rPr>
              <w:t>Modelado de la Dinámica Operativa y Procesos:</w:t>
            </w:r>
            <w:r>
              <w:rPr>
                <w:i/>
                <w:iCs/>
                <w:sz w:val="20"/>
                <w:szCs w:val="20"/>
              </w:rPr>
              <w:t xml:space="preserve"> Se estructuraron los flujos funcionales del sistema bajo particiones de actores (Personal de Farmacia / Q.F. y Sistema FarmaStock Assist), cubriendo las operaciones maestras (CRUDs de Paciente, Medicamento y Parámetros de Stock) y los flujos operacionales (Autenticación, Consulta remota de recetas, Emisión de turnos, Dispensación y Auditoría).</w:t>
            </w:r>
          </w:p>
          <w:p w14:paraId="2FF00A02" w14:textId="77777777" w:rsidR="00FF6EEE" w:rsidRDefault="00000000">
            <w:pPr>
              <w:numPr>
                <w:ilvl w:val="0"/>
                <w:numId w:val="3"/>
              </w:numPr>
              <w:spacing w:after="240" w:line="276" w:lineRule="auto"/>
              <w:jc w:val="both"/>
              <w:rPr>
                <w:i/>
                <w:iCs/>
                <w:sz w:val="20"/>
                <w:szCs w:val="20"/>
              </w:rPr>
            </w:pPr>
            <w:r>
              <w:rPr>
                <w:b/>
                <w:bCs/>
                <w:i/>
                <w:iCs/>
                <w:sz w:val="20"/>
                <w:szCs w:val="20"/>
              </w:rPr>
              <w:t>Definición de la Vista Lógica:</w:t>
            </w:r>
            <w:r>
              <w:rPr>
                <w:i/>
                <w:iCs/>
                <w:sz w:val="20"/>
                <w:szCs w:val="20"/>
              </w:rPr>
              <w:t xml:space="preserve"> Se definieron las entidades del dominio conceptual bajo una arquitectura multicapa (separando vistas, controladores, clases de negocio y persistencia), estableciendo la estructura requerida para los diagramas de secuencia dinámicos (Login, Turnos, </w:t>
            </w:r>
            <w:r>
              <w:rPr>
                <w:i/>
                <w:iCs/>
                <w:sz w:val="20"/>
                <w:szCs w:val="20"/>
              </w:rPr>
              <w:lastRenderedPageBreak/>
              <w:t>Dispensación y Control de Umbrales) y delegando la persistencia relacional detallada para su integración final.</w:t>
            </w:r>
          </w:p>
          <w:p w14:paraId="26BCB084" w14:textId="77777777" w:rsidR="00FF6EEE" w:rsidRDefault="00000000">
            <w:pPr>
              <w:spacing w:line="276" w:lineRule="auto"/>
              <w:jc w:val="both"/>
              <w:rPr>
                <w:sz w:val="20"/>
                <w:szCs w:val="20"/>
              </w:rPr>
            </w:pPr>
            <w:r>
              <w:rPr>
                <w:sz w:val="20"/>
                <w:szCs w:val="20"/>
              </w:rPr>
              <w:t>2. Cumplimiento de Objetivos Específicos</w:t>
            </w:r>
          </w:p>
          <w:p w14:paraId="2FCC7DDD" w14:textId="77777777" w:rsidR="00FF6EEE" w:rsidRDefault="00000000">
            <w:pPr>
              <w:numPr>
                <w:ilvl w:val="0"/>
                <w:numId w:val="5"/>
              </w:numPr>
              <w:spacing w:after="0" w:line="276" w:lineRule="auto"/>
              <w:jc w:val="both"/>
              <w:rPr>
                <w:i/>
                <w:iCs/>
                <w:sz w:val="20"/>
                <w:szCs w:val="20"/>
              </w:rPr>
            </w:pPr>
            <w:r>
              <w:rPr>
                <w:b/>
                <w:bCs/>
                <w:i/>
                <w:iCs/>
                <w:sz w:val="20"/>
                <w:szCs w:val="20"/>
              </w:rPr>
              <w:t>Objetivo Específico 1: Analizar y formalizar los requerimientos operacionales y de experiencia usuaria en la farmacia del CESFAM.</w:t>
            </w:r>
          </w:p>
          <w:p w14:paraId="53054CD1" w14:textId="77777777" w:rsidR="00FF6EEE" w:rsidRDefault="00000000">
            <w:pPr>
              <w:numPr>
                <w:ilvl w:val="1"/>
                <w:numId w:val="5"/>
              </w:numPr>
              <w:spacing w:after="0" w:line="276" w:lineRule="auto"/>
              <w:jc w:val="both"/>
              <w:rPr>
                <w:i/>
                <w:iCs/>
                <w:sz w:val="20"/>
                <w:szCs w:val="20"/>
              </w:rPr>
            </w:pPr>
            <w:r>
              <w:rPr>
                <w:i/>
                <w:iCs/>
                <w:sz w:val="20"/>
                <w:szCs w:val="20"/>
              </w:rPr>
              <w:t xml:space="preserve">Estado: </w:t>
            </w:r>
            <w:r>
              <w:rPr>
                <w:b/>
                <w:bCs/>
                <w:i/>
                <w:iCs/>
                <w:sz w:val="20"/>
                <w:szCs w:val="20"/>
              </w:rPr>
              <w:t>Cumplido.</w:t>
            </w:r>
          </w:p>
          <w:p w14:paraId="0D60DD59" w14:textId="77777777" w:rsidR="00FF6EEE" w:rsidRDefault="00000000">
            <w:pPr>
              <w:numPr>
                <w:ilvl w:val="1"/>
                <w:numId w:val="5"/>
              </w:numPr>
              <w:spacing w:after="0" w:line="276" w:lineRule="auto"/>
              <w:jc w:val="both"/>
              <w:rPr>
                <w:i/>
                <w:iCs/>
                <w:sz w:val="20"/>
                <w:szCs w:val="20"/>
              </w:rPr>
            </w:pPr>
            <w:r>
              <w:rPr>
                <w:i/>
                <w:iCs/>
                <w:sz w:val="20"/>
                <w:szCs w:val="20"/>
              </w:rPr>
              <w:t>Forma de cumplimiento: Consolidación de los 14 casos de uso funcionales y fichas extendidas, garantizando la trazabilidad entre el problema de quiebres de stock y las soluciones tecnológicas del portal y mesón.</w:t>
            </w:r>
          </w:p>
          <w:p w14:paraId="581856A1" w14:textId="77777777" w:rsidR="00FF6EEE" w:rsidRDefault="00000000">
            <w:pPr>
              <w:numPr>
                <w:ilvl w:val="0"/>
                <w:numId w:val="5"/>
              </w:numPr>
              <w:spacing w:after="0" w:line="276" w:lineRule="auto"/>
              <w:jc w:val="both"/>
              <w:rPr>
                <w:i/>
                <w:iCs/>
                <w:sz w:val="20"/>
                <w:szCs w:val="20"/>
              </w:rPr>
            </w:pPr>
            <w:r>
              <w:rPr>
                <w:b/>
                <w:bCs/>
                <w:i/>
                <w:iCs/>
                <w:sz w:val="20"/>
                <w:szCs w:val="20"/>
              </w:rPr>
              <w:t>Objetivo Específico 2: Diseñar la arquitectura conceptual y funcional de la solución tecnológica.</w:t>
            </w:r>
          </w:p>
          <w:p w14:paraId="38C03A47" w14:textId="77777777" w:rsidR="00FF6EEE" w:rsidRDefault="00000000">
            <w:pPr>
              <w:numPr>
                <w:ilvl w:val="1"/>
                <w:numId w:val="5"/>
              </w:numPr>
              <w:spacing w:after="0" w:line="276" w:lineRule="auto"/>
              <w:jc w:val="both"/>
              <w:rPr>
                <w:i/>
                <w:iCs/>
                <w:sz w:val="20"/>
                <w:szCs w:val="20"/>
              </w:rPr>
            </w:pPr>
            <w:r>
              <w:rPr>
                <w:i/>
                <w:iCs/>
                <w:sz w:val="20"/>
                <w:szCs w:val="20"/>
              </w:rPr>
              <w:t xml:space="preserve">Estado: </w:t>
            </w:r>
            <w:r>
              <w:rPr>
                <w:b/>
                <w:bCs/>
                <w:i/>
                <w:iCs/>
                <w:sz w:val="20"/>
                <w:szCs w:val="20"/>
              </w:rPr>
              <w:t>En cumplimiento / Cierre de Sección 4 y 5.</w:t>
            </w:r>
          </w:p>
          <w:p w14:paraId="41887CD3" w14:textId="77777777" w:rsidR="00FF6EEE" w:rsidRDefault="00000000">
            <w:pPr>
              <w:numPr>
                <w:ilvl w:val="1"/>
                <w:numId w:val="5"/>
              </w:numPr>
              <w:spacing w:after="240" w:line="276" w:lineRule="auto"/>
              <w:jc w:val="both"/>
              <w:rPr>
                <w:i/>
                <w:iCs/>
                <w:sz w:val="20"/>
                <w:szCs w:val="20"/>
              </w:rPr>
            </w:pPr>
            <w:r>
              <w:rPr>
                <w:i/>
                <w:iCs/>
                <w:sz w:val="20"/>
                <w:szCs w:val="20"/>
              </w:rPr>
              <w:t>Forma de cumplimiento: Elaboración de los modelos dinámicos y secuenciales de la plataforma bajo el Documento de Arquitectura de Software (DAS), alineando los módulos funcionales con los escenarios de calidad y roles definidos.</w:t>
            </w:r>
          </w:p>
          <w:p w14:paraId="2C298BFC" w14:textId="77777777" w:rsidR="00FF6EEE" w:rsidRDefault="00000000">
            <w:pPr>
              <w:spacing w:line="276" w:lineRule="auto"/>
              <w:jc w:val="both"/>
              <w:rPr>
                <w:sz w:val="20"/>
                <w:szCs w:val="20"/>
              </w:rPr>
            </w:pPr>
            <w:r>
              <w:rPr>
                <w:sz w:val="20"/>
                <w:szCs w:val="20"/>
              </w:rPr>
              <w:t>3. Ajustes Metodológicos y de Modelado Realizados</w:t>
            </w:r>
          </w:p>
          <w:p w14:paraId="50EC1A83" w14:textId="77777777" w:rsidR="00FF6EEE" w:rsidRDefault="00000000">
            <w:pPr>
              <w:spacing w:after="240" w:line="276" w:lineRule="auto"/>
              <w:jc w:val="both"/>
              <w:rPr>
                <w:i/>
                <w:iCs/>
                <w:sz w:val="20"/>
                <w:szCs w:val="20"/>
              </w:rPr>
            </w:pPr>
            <w:r>
              <w:rPr>
                <w:i/>
                <w:iCs/>
                <w:sz w:val="20"/>
                <w:szCs w:val="20"/>
              </w:rPr>
              <w:t>En concordancia con las retroalimentaciones docentes recibidas, se formalizan los siguientes ajustes técnicos en el proyecto:</w:t>
            </w:r>
          </w:p>
          <w:p w14:paraId="0CC1F6E0" w14:textId="77777777" w:rsidR="00FF6EEE" w:rsidRDefault="00000000">
            <w:pPr>
              <w:numPr>
                <w:ilvl w:val="0"/>
                <w:numId w:val="4"/>
              </w:numPr>
              <w:spacing w:after="0" w:line="276" w:lineRule="auto"/>
              <w:jc w:val="both"/>
              <w:rPr>
                <w:i/>
                <w:iCs/>
                <w:sz w:val="20"/>
                <w:szCs w:val="20"/>
              </w:rPr>
            </w:pPr>
            <w:r>
              <w:rPr>
                <w:b/>
                <w:bCs/>
                <w:i/>
                <w:iCs/>
                <w:sz w:val="20"/>
                <w:szCs w:val="20"/>
              </w:rPr>
              <w:t>Ajuste en la Notación de la Vista de Procesos (Diagramas de Procesos a Diagramas de Actividades UML):</w:t>
            </w:r>
          </w:p>
          <w:p w14:paraId="08289657" w14:textId="77777777" w:rsidR="00FF6EEE" w:rsidRDefault="00000000">
            <w:pPr>
              <w:numPr>
                <w:ilvl w:val="1"/>
                <w:numId w:val="4"/>
              </w:numPr>
              <w:spacing w:after="0" w:line="276" w:lineRule="auto"/>
              <w:jc w:val="both"/>
              <w:rPr>
                <w:i/>
                <w:iCs/>
                <w:sz w:val="20"/>
                <w:szCs w:val="20"/>
              </w:rPr>
            </w:pPr>
            <w:r>
              <w:rPr>
                <w:i/>
                <w:iCs/>
                <w:sz w:val="20"/>
                <w:szCs w:val="20"/>
              </w:rPr>
              <w:t xml:space="preserve">Ajuste realizado: Los flujos de interacción inicialmente levantados en notación de procesos de negocio (BPMN) han sido adaptados conceptual y formalmente a </w:t>
            </w:r>
            <w:r>
              <w:rPr>
                <w:b/>
                <w:bCs/>
                <w:i/>
                <w:iCs/>
                <w:sz w:val="20"/>
                <w:szCs w:val="20"/>
              </w:rPr>
              <w:t>Diagramas de Actividades de UML</w:t>
            </w:r>
            <w:r>
              <w:rPr>
                <w:i/>
                <w:iCs/>
                <w:sz w:val="20"/>
                <w:szCs w:val="20"/>
              </w:rPr>
              <w:t xml:space="preserve"> (con swimlanes/particiones de usuario y sistema, nodos de acción redondeados, guardas de decisión [Condición] y nodos finales).</w:t>
            </w:r>
          </w:p>
          <w:p w14:paraId="181C4C78" w14:textId="77777777" w:rsidR="00FF6EEE" w:rsidRDefault="00000000">
            <w:pPr>
              <w:numPr>
                <w:ilvl w:val="1"/>
                <w:numId w:val="4"/>
              </w:numPr>
              <w:spacing w:after="240" w:line="276" w:lineRule="auto"/>
              <w:jc w:val="both"/>
              <w:rPr>
                <w:i/>
                <w:iCs/>
                <w:sz w:val="20"/>
                <w:szCs w:val="20"/>
              </w:rPr>
            </w:pPr>
            <w:r>
              <w:rPr>
                <w:i/>
                <w:iCs/>
                <w:sz w:val="20"/>
                <w:szCs w:val="20"/>
              </w:rPr>
              <w:t>Justificación: Alinear la documentación formal del DAS a los estándares puros de la ingeniería de software y modelado orientado a objetos exigidos en el ámbito académico.</w:t>
            </w:r>
          </w:p>
        </w:tc>
      </w:tr>
      <w:tr w:rsidR="00FF6EEE" w14:paraId="12092B74" w14:textId="77777777">
        <w:trPr>
          <w:trHeight w:val="1247"/>
        </w:trPr>
        <w:tc>
          <w:tcPr>
            <w:tcW w:w="2528" w:type="dxa"/>
            <w:vAlign w:val="center"/>
          </w:tcPr>
          <w:p w14:paraId="09186800" w14:textId="77777777" w:rsidR="00FF6EEE" w:rsidRDefault="00000000">
            <w:pPr>
              <w:rPr>
                <w:color w:val="1F3864"/>
              </w:rPr>
            </w:pPr>
            <w:r>
              <w:rPr>
                <w:color w:val="1F3864"/>
              </w:rPr>
              <w:lastRenderedPageBreak/>
              <w:t>Objetivos</w:t>
            </w:r>
          </w:p>
        </w:tc>
        <w:tc>
          <w:tcPr>
            <w:tcW w:w="7111" w:type="dxa"/>
            <w:vAlign w:val="center"/>
          </w:tcPr>
          <w:p w14:paraId="085A7A0E" w14:textId="651C4A8E" w:rsidR="00FF6EEE" w:rsidRDefault="0037776C">
            <w:pPr>
              <w:jc w:val="both"/>
              <w:rPr>
                <w:b/>
                <w:bCs/>
                <w:i/>
                <w:iCs/>
                <w:color w:val="548DD4"/>
                <w:sz w:val="20"/>
                <w:szCs w:val="20"/>
              </w:rPr>
            </w:pPr>
            <w:r w:rsidRPr="0037776C">
              <w:rPr>
                <w:i/>
                <w:iCs/>
                <w:sz w:val="20"/>
                <w:szCs w:val="20"/>
              </w:rPr>
              <w:t>Se mantiene y es: Desarrollar e implementar la plataforma web FarmaStock Assist para optimizar la gestión de inventario farmacéutico y el acceso a la información de recetas en el CESFAM San Gerónimo, permitiendo la consulta remota de disponibilidad de medicamentos por RUT, la emisión de turnos digitales y el monitoreo de stock crítico en tiempo real para reducir los tiempos de espera y la incertidumbre de los pacientes crónicos.</w:t>
            </w:r>
          </w:p>
        </w:tc>
      </w:tr>
      <w:tr w:rsidR="00FF6EEE" w14:paraId="78313749" w14:textId="77777777">
        <w:trPr>
          <w:trHeight w:val="939"/>
        </w:trPr>
        <w:tc>
          <w:tcPr>
            <w:tcW w:w="2528" w:type="dxa"/>
            <w:vAlign w:val="center"/>
          </w:tcPr>
          <w:p w14:paraId="04D4B5BF" w14:textId="77777777" w:rsidR="00FF6EEE" w:rsidRDefault="00000000">
            <w:pPr>
              <w:rPr>
                <w:color w:val="1F3864"/>
              </w:rPr>
            </w:pPr>
            <w:r>
              <w:rPr>
                <w:color w:val="1F3864"/>
              </w:rPr>
              <w:t>Metodología</w:t>
            </w:r>
          </w:p>
        </w:tc>
        <w:tc>
          <w:tcPr>
            <w:tcW w:w="7111" w:type="dxa"/>
            <w:vAlign w:val="center"/>
          </w:tcPr>
          <w:p w14:paraId="6F4D0121" w14:textId="25D5CD18" w:rsidR="00FF6EEE" w:rsidRPr="0037776C" w:rsidRDefault="0037776C">
            <w:pPr>
              <w:jc w:val="both"/>
              <w:rPr>
                <w:i/>
                <w:iCs/>
                <w:sz w:val="20"/>
                <w:szCs w:val="20"/>
              </w:rPr>
            </w:pPr>
            <w:r w:rsidRPr="0037776C">
              <w:rPr>
                <w:i/>
                <w:iCs/>
                <w:sz w:val="20"/>
                <w:szCs w:val="20"/>
              </w:rPr>
              <w:t>No hay ajustes se mantiene la metodología en cascada o tradicional. el proyecto tiene requisitos claramente definidos desde el inicio, la metodología tradicional permite una planificación estructurada y ordenada. Esto reduce la incertidumbre y facilita el control del avance, ya que cada fase (análisis, diseño, desarrollo, pruebas e implementación) está bien delimitada.</w:t>
            </w:r>
          </w:p>
        </w:tc>
      </w:tr>
      <w:tr w:rsidR="00FF6EEE" w14:paraId="32D4E5DD" w14:textId="77777777">
        <w:trPr>
          <w:trHeight w:val="4445"/>
        </w:trPr>
        <w:tc>
          <w:tcPr>
            <w:tcW w:w="2528" w:type="dxa"/>
            <w:vAlign w:val="center"/>
          </w:tcPr>
          <w:p w14:paraId="1322E5BB" w14:textId="77777777" w:rsidR="00FF6EEE" w:rsidRDefault="00000000">
            <w:pPr>
              <w:rPr>
                <w:color w:val="1F3864"/>
              </w:rPr>
            </w:pPr>
            <w:r>
              <w:rPr>
                <w:color w:val="1F3864"/>
              </w:rPr>
              <w:lastRenderedPageBreak/>
              <w:t>Evidencias de avance</w:t>
            </w:r>
          </w:p>
        </w:tc>
        <w:tc>
          <w:tcPr>
            <w:tcW w:w="7111" w:type="dxa"/>
            <w:vAlign w:val="center"/>
          </w:tcPr>
          <w:p w14:paraId="3CD3F44D" w14:textId="77777777" w:rsidR="00FF6EEE" w:rsidRDefault="00000000">
            <w:pPr>
              <w:spacing w:after="0" w:line="240" w:lineRule="auto"/>
              <w:jc w:val="both"/>
              <w:rPr>
                <w:sz w:val="20"/>
                <w:szCs w:val="20"/>
              </w:rPr>
            </w:pPr>
            <w:r>
              <w:rPr>
                <w:sz w:val="20"/>
                <w:szCs w:val="20"/>
              </w:rPr>
              <w:t>A continuación, se describen y fundamentan los artefactos técnicos seleccionados como evidencia del avance en el desarrollo del sistema FarmaStock Assist, respaldando la transición desde el levantamiento de requisitos hacia el diseño arquitectónico formal.</w:t>
            </w:r>
          </w:p>
          <w:p w14:paraId="2A4FFEBF" w14:textId="77777777" w:rsidR="00FF6EEE" w:rsidRDefault="00FF6EEE">
            <w:pPr>
              <w:spacing w:after="0" w:line="240" w:lineRule="auto"/>
              <w:jc w:val="both"/>
              <w:rPr>
                <w:sz w:val="20"/>
                <w:szCs w:val="20"/>
              </w:rPr>
            </w:pPr>
          </w:p>
          <w:p w14:paraId="59ECB7E2" w14:textId="77777777" w:rsidR="00FF6EEE" w:rsidRDefault="00000000">
            <w:pPr>
              <w:spacing w:after="0" w:line="240" w:lineRule="auto"/>
              <w:jc w:val="both"/>
              <w:rPr>
                <w:sz w:val="20"/>
                <w:szCs w:val="20"/>
              </w:rPr>
            </w:pPr>
            <w:r>
              <w:rPr>
                <w:sz w:val="20"/>
                <w:szCs w:val="20"/>
              </w:rPr>
              <w:t>1. Descripción y Justificación de las Evidencias Presentadas</w:t>
            </w:r>
          </w:p>
          <w:p w14:paraId="6957326A" w14:textId="77777777" w:rsidR="00FF6EEE" w:rsidRDefault="00000000">
            <w:pPr>
              <w:numPr>
                <w:ilvl w:val="0"/>
                <w:numId w:val="11"/>
              </w:numPr>
              <w:spacing w:after="0" w:line="240" w:lineRule="auto"/>
              <w:jc w:val="both"/>
              <w:rPr>
                <w:sz w:val="20"/>
                <w:szCs w:val="20"/>
              </w:rPr>
            </w:pPr>
            <w:r>
              <w:rPr>
                <w:sz w:val="20"/>
                <w:szCs w:val="20"/>
              </w:rPr>
              <w:t>Evidencia 1: Matriz y Fichas de Casos de Uso Extendidos (CU-001 al CU-014)</w:t>
            </w:r>
          </w:p>
          <w:p w14:paraId="5135FA21" w14:textId="77777777" w:rsidR="00FF6EEE" w:rsidRDefault="00000000">
            <w:pPr>
              <w:numPr>
                <w:ilvl w:val="1"/>
                <w:numId w:val="11"/>
              </w:numPr>
              <w:spacing w:after="0" w:line="240" w:lineRule="auto"/>
              <w:jc w:val="both"/>
              <w:rPr>
                <w:sz w:val="20"/>
                <w:szCs w:val="20"/>
              </w:rPr>
            </w:pPr>
            <w:r>
              <w:rPr>
                <w:sz w:val="20"/>
                <w:szCs w:val="20"/>
              </w:rPr>
              <w:t>Descripción: Documento formal que consolida la especificación detallada de los 14 Casos de Uso del sistema. Cada ficha cuenta con código identificador, actores involucrados, precondiciones, flujo principal paso a paso, flujos alternativos y postcondiciones.</w:t>
            </w:r>
          </w:p>
          <w:p w14:paraId="1EC993DD" w14:textId="77777777" w:rsidR="00FF6EEE" w:rsidRDefault="00000000">
            <w:pPr>
              <w:numPr>
                <w:ilvl w:val="1"/>
                <w:numId w:val="11"/>
              </w:numPr>
              <w:spacing w:after="0" w:line="240" w:lineRule="auto"/>
              <w:jc w:val="both"/>
              <w:rPr>
                <w:sz w:val="20"/>
                <w:szCs w:val="20"/>
              </w:rPr>
            </w:pPr>
            <w:r>
              <w:rPr>
                <w:sz w:val="20"/>
                <w:szCs w:val="20"/>
              </w:rPr>
              <w:t>Justificación: Demuestra la cobertura funcional completa de la problemática del CESFAM. Permite trazar de forma unívoca cómo los requerimientos ciudadanos (consulta de stock remoto y reserva de turnos con código QR) y los requerimientos clínicos (dispensación en ventanilla, control de umbrales y semáforos) quedan estructurados sin vacíos de alcance antes de la implementación.</w:t>
            </w:r>
          </w:p>
          <w:p w14:paraId="363A50E4" w14:textId="77777777" w:rsidR="00FF6EEE" w:rsidRDefault="00FF6EEE">
            <w:pPr>
              <w:spacing w:after="0" w:line="240" w:lineRule="auto"/>
              <w:ind w:left="1440"/>
              <w:jc w:val="both"/>
              <w:rPr>
                <w:sz w:val="20"/>
                <w:szCs w:val="20"/>
              </w:rPr>
            </w:pPr>
          </w:p>
          <w:p w14:paraId="763DF8DE" w14:textId="77777777" w:rsidR="00FF6EEE" w:rsidRDefault="00000000">
            <w:pPr>
              <w:numPr>
                <w:ilvl w:val="0"/>
                <w:numId w:val="11"/>
              </w:numPr>
              <w:spacing w:after="0" w:line="240" w:lineRule="auto"/>
              <w:jc w:val="both"/>
              <w:rPr>
                <w:sz w:val="20"/>
                <w:szCs w:val="20"/>
              </w:rPr>
            </w:pPr>
            <w:r>
              <w:rPr>
                <w:sz w:val="20"/>
                <w:szCs w:val="20"/>
              </w:rPr>
              <w:t>Evidencia 2: Modelado Dinámico y Diagramas de Actividades / Procesos (Sección 4 del DAS)</w:t>
            </w:r>
            <w:r>
              <w:rPr>
                <w:sz w:val="20"/>
                <w:szCs w:val="20"/>
              </w:rPr>
              <w:br/>
            </w:r>
          </w:p>
          <w:p w14:paraId="428145C6" w14:textId="77777777" w:rsidR="00FF6EEE" w:rsidRDefault="00000000">
            <w:pPr>
              <w:numPr>
                <w:ilvl w:val="1"/>
                <w:numId w:val="11"/>
              </w:numPr>
              <w:spacing w:after="0" w:line="240" w:lineRule="auto"/>
              <w:jc w:val="both"/>
              <w:rPr>
                <w:sz w:val="20"/>
                <w:szCs w:val="20"/>
              </w:rPr>
            </w:pPr>
            <w:r>
              <w:rPr>
                <w:sz w:val="20"/>
                <w:szCs w:val="20"/>
              </w:rPr>
              <w:t>Descripción: Conjunto de diagramas que modelan el flujo de trabajo operacional mediante carriles de responsabilidad (Swimlanes), separando las acciones del usuario (Personal de Farmacia, Químico Farmacéutico, Paciente) de las respuestas del software (Sistema FarmaStock Assist). Incluye los flujos maestros (CRUDs estructurados) y los flujos operacionales críticos (Login, Dispensación en mesón, Alertas de quiebre).</w:t>
            </w:r>
          </w:p>
          <w:p w14:paraId="745E90C6" w14:textId="77777777" w:rsidR="00FF6EEE" w:rsidRDefault="00000000">
            <w:pPr>
              <w:numPr>
                <w:ilvl w:val="1"/>
                <w:numId w:val="11"/>
              </w:numPr>
              <w:spacing w:after="0" w:line="240" w:lineRule="auto"/>
              <w:jc w:val="both"/>
              <w:rPr>
                <w:sz w:val="20"/>
                <w:szCs w:val="20"/>
              </w:rPr>
            </w:pPr>
            <w:r>
              <w:rPr>
                <w:sz w:val="20"/>
                <w:szCs w:val="20"/>
              </w:rPr>
              <w:t>Justificación: Evidencia la comprensión procedural del sistema, validando las reglas de negocio, los puntos de bifurcación y la secuencia de validaciones que ejecutará el sistema frente a errores o excepciones operacionales.</w:t>
            </w:r>
          </w:p>
          <w:p w14:paraId="6AE4DF95" w14:textId="77777777" w:rsidR="00FF6EEE" w:rsidRDefault="00FF6EEE">
            <w:pPr>
              <w:spacing w:after="0" w:line="240" w:lineRule="auto"/>
              <w:ind w:left="1440"/>
              <w:jc w:val="both"/>
              <w:rPr>
                <w:sz w:val="20"/>
                <w:szCs w:val="20"/>
              </w:rPr>
            </w:pPr>
          </w:p>
          <w:p w14:paraId="69624772" w14:textId="77777777" w:rsidR="00FF6EEE" w:rsidRDefault="00000000">
            <w:pPr>
              <w:numPr>
                <w:ilvl w:val="0"/>
                <w:numId w:val="11"/>
              </w:numPr>
              <w:spacing w:after="0" w:line="240" w:lineRule="auto"/>
              <w:jc w:val="both"/>
              <w:rPr>
                <w:sz w:val="20"/>
                <w:szCs w:val="20"/>
              </w:rPr>
            </w:pPr>
            <w:r>
              <w:rPr>
                <w:sz w:val="20"/>
                <w:szCs w:val="20"/>
              </w:rPr>
              <w:t>Evidencia 3: Especificación de la Vista Dinámica mediante Diagramas de Secuencia (Sección 5.2 del DAS)</w:t>
            </w:r>
            <w:r>
              <w:rPr>
                <w:sz w:val="20"/>
                <w:szCs w:val="20"/>
              </w:rPr>
              <w:br/>
            </w:r>
          </w:p>
          <w:p w14:paraId="7A5BC50A" w14:textId="77777777" w:rsidR="00FF6EEE" w:rsidRDefault="00000000">
            <w:pPr>
              <w:numPr>
                <w:ilvl w:val="1"/>
                <w:numId w:val="11"/>
              </w:numPr>
              <w:spacing w:after="0" w:line="240" w:lineRule="auto"/>
              <w:jc w:val="both"/>
              <w:rPr>
                <w:sz w:val="20"/>
                <w:szCs w:val="20"/>
              </w:rPr>
            </w:pPr>
            <w:r>
              <w:rPr>
                <w:sz w:val="20"/>
                <w:szCs w:val="20"/>
              </w:rPr>
              <w:t xml:space="preserve">Descripción: Diagramas de interacción temporal estructurados bajo el patrón arquitectónico por capas (Actor </w:t>
            </w:r>
            <m:oMath>
              <m:r>
                <w:rPr>
                  <w:rFonts w:ascii="Cambria Math" w:hAnsi="Cambria Math"/>
                </w:rPr>
                <m:t>→</m:t>
              </m:r>
            </m:oMath>
            <w:r>
              <w:rPr>
                <w:sz w:val="20"/>
                <w:szCs w:val="20"/>
              </w:rPr>
              <w:t xml:space="preserve"> Vista </w:t>
            </w:r>
            <m:oMath>
              <m:r>
                <w:rPr>
                  <w:rFonts w:ascii="Cambria Math" w:hAnsi="Cambria Math"/>
                </w:rPr>
                <m:t>→</m:t>
              </m:r>
            </m:oMath>
            <w:r>
              <w:rPr>
                <w:sz w:val="20"/>
                <w:szCs w:val="20"/>
              </w:rPr>
              <w:t xml:space="preserve"> Controlador </w:t>
            </w:r>
            <m:oMath>
              <m:r>
                <w:rPr>
                  <w:rFonts w:ascii="Cambria Math" w:hAnsi="Cambria Math"/>
                </w:rPr>
                <m:t>→</m:t>
              </m:r>
            </m:oMath>
            <w:r>
              <w:rPr>
                <w:sz w:val="20"/>
                <w:szCs w:val="20"/>
              </w:rPr>
              <w:t xml:space="preserve"> Clase de Negocio </w:t>
            </w:r>
            <m:oMath>
              <m:r>
                <w:rPr>
                  <w:rFonts w:ascii="Cambria Math" w:hAnsi="Cambria Math"/>
                </w:rPr>
                <m:t>→</m:t>
              </m:r>
            </m:oMath>
            <w:r>
              <w:rPr>
                <w:sz w:val="20"/>
                <w:szCs w:val="20"/>
              </w:rPr>
              <w:t xml:space="preserve"> Base de Datos), enfocados en las interacciones críticas: Autenticación, Consulta y Turnos, Dispensación física y Configuración de umbrales de stock.</w:t>
            </w:r>
          </w:p>
          <w:p w14:paraId="2DA30EAA" w14:textId="77777777" w:rsidR="00FF6EEE" w:rsidRDefault="00000000">
            <w:pPr>
              <w:numPr>
                <w:ilvl w:val="1"/>
                <w:numId w:val="11"/>
              </w:numPr>
              <w:spacing w:after="0" w:line="240" w:lineRule="auto"/>
              <w:jc w:val="both"/>
              <w:rPr>
                <w:sz w:val="20"/>
                <w:szCs w:val="20"/>
              </w:rPr>
            </w:pPr>
            <w:r>
              <w:rPr>
                <w:sz w:val="20"/>
                <w:szCs w:val="20"/>
              </w:rPr>
              <w:t>Justificación: Da cuenta de la madurez del diseño técnico del software, garantizando que el paso de mensajes entre la interfaz de usuario y la capa de persistencia sea consistente, desacoplado y técnicamente viable.</w:t>
            </w:r>
          </w:p>
          <w:p w14:paraId="63765750" w14:textId="77777777" w:rsidR="00FF6EEE" w:rsidRDefault="00FF6EEE">
            <w:pPr>
              <w:spacing w:after="0" w:line="240" w:lineRule="auto"/>
              <w:ind w:left="1440"/>
              <w:jc w:val="both"/>
              <w:rPr>
                <w:sz w:val="20"/>
                <w:szCs w:val="20"/>
              </w:rPr>
            </w:pPr>
          </w:p>
          <w:p w14:paraId="4E0083CF" w14:textId="77777777" w:rsidR="00FF6EEE" w:rsidRDefault="00000000">
            <w:pPr>
              <w:spacing w:after="0" w:line="240" w:lineRule="auto"/>
              <w:jc w:val="both"/>
              <w:rPr>
                <w:sz w:val="20"/>
                <w:szCs w:val="20"/>
              </w:rPr>
            </w:pPr>
            <w:r>
              <w:rPr>
                <w:sz w:val="20"/>
                <w:szCs w:val="20"/>
              </w:rPr>
              <w:t>2. Aseguramiento de la Calidad desde la Disciplina Informática</w:t>
            </w:r>
          </w:p>
          <w:p w14:paraId="04CD7DAF" w14:textId="77777777" w:rsidR="00FF6EEE" w:rsidRDefault="00000000">
            <w:pPr>
              <w:spacing w:after="0" w:line="240" w:lineRule="auto"/>
              <w:jc w:val="both"/>
              <w:rPr>
                <w:sz w:val="20"/>
                <w:szCs w:val="20"/>
              </w:rPr>
            </w:pPr>
            <w:r>
              <w:rPr>
                <w:sz w:val="20"/>
                <w:szCs w:val="20"/>
              </w:rPr>
              <w:t>Para resguardar la calidad técnica y metodológica del proyecto de título, se aplicaron los siguientes estándares propios de la ingeniería de software:</w:t>
            </w:r>
          </w:p>
          <w:p w14:paraId="5A5B621D" w14:textId="77777777" w:rsidR="00FF6EEE" w:rsidRDefault="00000000">
            <w:pPr>
              <w:numPr>
                <w:ilvl w:val="0"/>
                <w:numId w:val="2"/>
              </w:numPr>
              <w:spacing w:after="0" w:line="240" w:lineRule="auto"/>
              <w:jc w:val="both"/>
              <w:rPr>
                <w:sz w:val="20"/>
                <w:szCs w:val="20"/>
              </w:rPr>
            </w:pPr>
            <w:r>
              <w:rPr>
                <w:sz w:val="20"/>
                <w:szCs w:val="20"/>
              </w:rPr>
              <w:t xml:space="preserve">Trazabilidad y Coherencia Inter-Modelos: Se aplicó una matriz de concordancia estricta para asegurar que cada caso de uso definido tenga su correspondencia directa en los diagramas de actividades y en las </w:t>
            </w:r>
            <w:r>
              <w:rPr>
                <w:sz w:val="20"/>
                <w:szCs w:val="20"/>
              </w:rPr>
              <w:lastRenderedPageBreak/>
              <w:t>interacciones de los diagramas de secuencia, evitando la existencia de módulos huérfanos o funciones no documentadas.</w:t>
            </w:r>
          </w:p>
          <w:p w14:paraId="7ECFCD92" w14:textId="77777777" w:rsidR="00FF6EEE" w:rsidRDefault="00000000">
            <w:pPr>
              <w:numPr>
                <w:ilvl w:val="0"/>
                <w:numId w:val="2"/>
              </w:numPr>
              <w:spacing w:after="0" w:line="240" w:lineRule="auto"/>
              <w:jc w:val="both"/>
              <w:rPr>
                <w:sz w:val="20"/>
                <w:szCs w:val="20"/>
              </w:rPr>
            </w:pPr>
            <w:r>
              <w:rPr>
                <w:sz w:val="20"/>
                <w:szCs w:val="20"/>
              </w:rPr>
              <w:t>Separación de Responsabilidades y Patrón MVC/Capas: El modelado dinámico respetó el desacoplamiento entre componentes, aislando la lógica de presentación de la lógica de negocio y el acceso a datos. Esto asegura mantenibilidad, escalabilidad y facilidad de pruebas unitarias durante las etapas de codificación.</w:t>
            </w:r>
          </w:p>
          <w:p w14:paraId="050E4E7B" w14:textId="77777777" w:rsidR="00FF6EEE" w:rsidRDefault="00000000">
            <w:pPr>
              <w:numPr>
                <w:ilvl w:val="0"/>
                <w:numId w:val="2"/>
              </w:numPr>
              <w:spacing w:after="0" w:line="240" w:lineRule="auto"/>
              <w:jc w:val="both"/>
              <w:rPr>
                <w:sz w:val="20"/>
                <w:szCs w:val="20"/>
              </w:rPr>
            </w:pPr>
            <w:r>
              <w:rPr>
                <w:sz w:val="20"/>
                <w:szCs w:val="20"/>
              </w:rPr>
              <w:t>Estandarización y Notación Formal UML: Se corrigió la presentación de flujos funcionales para alinearse rigurosamente a la notación UML (nodos de acción, guardas explícitas [Condición], nodos de decisión y terminales), garantizando un lenguaje de diseño universal interpretable por cualquier equipo de desarrollo.</w:t>
            </w:r>
          </w:p>
          <w:p w14:paraId="10E582A7" w14:textId="77777777" w:rsidR="00FF6EEE" w:rsidRDefault="00000000">
            <w:pPr>
              <w:numPr>
                <w:ilvl w:val="0"/>
                <w:numId w:val="2"/>
              </w:numPr>
              <w:spacing w:after="0" w:line="240" w:lineRule="auto"/>
              <w:jc w:val="both"/>
              <w:rPr>
                <w:sz w:val="20"/>
                <w:szCs w:val="20"/>
              </w:rPr>
            </w:pPr>
            <w:r>
              <w:rPr>
                <w:sz w:val="20"/>
                <w:szCs w:val="20"/>
              </w:rPr>
              <w:t>Integridad Transaccional (ACID): En el diseño de las operaciones críticas particularmente en la dispensación física y actualización de inventario se contemplaron mecanismos transaccionales que aseguran la consistencia de datos, evitando inconsistencias entre las recetas prescritas y el stock físico disponible.</w:t>
            </w:r>
          </w:p>
          <w:p w14:paraId="4FD1FC76" w14:textId="77777777" w:rsidR="00FF6EEE" w:rsidRDefault="00FF6EEE">
            <w:pPr>
              <w:spacing w:after="0" w:line="240" w:lineRule="auto"/>
              <w:ind w:left="720"/>
              <w:jc w:val="both"/>
              <w:rPr>
                <w:sz w:val="20"/>
                <w:szCs w:val="20"/>
              </w:rPr>
            </w:pPr>
          </w:p>
          <w:p w14:paraId="5099AED4" w14:textId="1472E428" w:rsidR="00FF6EEE" w:rsidRDefault="00FF6EEE">
            <w:pPr>
              <w:spacing w:after="0" w:line="240" w:lineRule="auto"/>
              <w:jc w:val="both"/>
              <w:rPr>
                <w:sz w:val="20"/>
                <w:szCs w:val="20"/>
              </w:rPr>
            </w:pPr>
          </w:p>
        </w:tc>
      </w:tr>
      <w:tr w:rsidR="00FF6EEE" w14:paraId="333D2B84" w14:textId="77777777">
        <w:trPr>
          <w:gridAfter w:val="1"/>
          <w:wAfter w:w="7111" w:type="dxa"/>
          <w:trHeight w:val="440"/>
        </w:trPr>
        <w:tc>
          <w:tcPr>
            <w:tcW w:w="2528" w:type="dxa"/>
            <w:vAlign w:val="center"/>
          </w:tcPr>
          <w:p w14:paraId="33392B41" w14:textId="77777777" w:rsidR="00FF6EEE" w:rsidRDefault="00000000">
            <w:pPr>
              <w:rPr>
                <w:b/>
                <w:bCs/>
                <w:color w:val="1F3864"/>
                <w:sz w:val="28"/>
                <w:szCs w:val="28"/>
              </w:rPr>
            </w:pPr>
            <w:r>
              <w:rPr>
                <w:b/>
                <w:bCs/>
                <w:color w:val="1F3864"/>
                <w:sz w:val="28"/>
                <w:szCs w:val="28"/>
              </w:rPr>
              <w:lastRenderedPageBreak/>
              <w:t xml:space="preserve">2. Monitoreo del Plan de Trabajo </w:t>
            </w:r>
          </w:p>
        </w:tc>
      </w:tr>
      <w:tr w:rsidR="00FF6EEE" w14:paraId="427B8DEA" w14:textId="77777777">
        <w:trPr>
          <w:gridAfter w:val="1"/>
          <w:wAfter w:w="7111" w:type="dxa"/>
          <w:trHeight w:val="800"/>
        </w:trPr>
        <w:tc>
          <w:tcPr>
            <w:tcW w:w="2528" w:type="dxa"/>
            <w:shd w:val="clear" w:color="auto" w:fill="D9E2F3"/>
            <w:vAlign w:val="center"/>
          </w:tcPr>
          <w:p w14:paraId="4CBB24B2" w14:textId="77777777" w:rsidR="00FF6EEE" w:rsidRDefault="00000000">
            <w:pPr>
              <w:jc w:val="both"/>
              <w:rPr>
                <w:color w:val="1F3864"/>
              </w:rPr>
            </w:pPr>
            <w:r>
              <w:rPr>
                <w:color w:val="1F3864"/>
              </w:rPr>
              <w:t>Examina cuidadosamente tu plan de trabajo, enfocándote especialmente en la columna de estado de avance y ajustes.</w:t>
            </w:r>
          </w:p>
        </w:tc>
      </w:tr>
    </w:tbl>
    <w:p w14:paraId="19002E44" w14:textId="77777777" w:rsidR="00FF6EEE" w:rsidRDefault="00FF6EEE">
      <w:pPr>
        <w:spacing w:after="0" w:line="240" w:lineRule="auto"/>
        <w:rPr>
          <w:color w:val="595959"/>
          <w:sz w:val="24"/>
          <w:szCs w:val="24"/>
        </w:rPr>
      </w:pPr>
    </w:p>
    <w:p w14:paraId="36FB9B87" w14:textId="77777777" w:rsidR="00FF6EEE" w:rsidRDefault="00FF6EEE">
      <w:pPr>
        <w:rPr>
          <w:color w:val="595959"/>
          <w:sz w:val="24"/>
          <w:szCs w:val="24"/>
        </w:rPr>
      </w:pPr>
    </w:p>
    <w:p w14:paraId="6D8A660D" w14:textId="77777777" w:rsidR="00FF6EEE" w:rsidRDefault="00FF6EEE">
      <w:pPr>
        <w:rPr>
          <w:color w:val="595959"/>
          <w:sz w:val="24"/>
          <w:szCs w:val="24"/>
        </w:rPr>
      </w:pPr>
    </w:p>
    <w:p w14:paraId="717A0305" w14:textId="77777777" w:rsidR="00FF6EEE" w:rsidRDefault="00FF6EEE">
      <w:pPr>
        <w:rPr>
          <w:color w:val="595959"/>
          <w:sz w:val="24"/>
          <w:szCs w:val="24"/>
        </w:rPr>
      </w:pPr>
    </w:p>
    <w:p w14:paraId="70D2D238" w14:textId="77777777" w:rsidR="00FF6EEE" w:rsidRDefault="00FF6EEE">
      <w:pPr>
        <w:rPr>
          <w:color w:val="595959"/>
          <w:sz w:val="24"/>
          <w:szCs w:val="24"/>
        </w:rPr>
      </w:pPr>
    </w:p>
    <w:sdt>
      <w:sdtPr>
        <w:tag w:val="goog_rdk_0"/>
        <w:id w:val="1464144970"/>
        <w:lock w:val="contentLocked"/>
      </w:sdtPr>
      <w:sdtContent>
        <w:tbl>
          <w:tblPr>
            <w:tblStyle w:val="a1"/>
            <w:tblpPr w:leftFromText="180" w:rightFromText="180" w:topFromText="180" w:bottomFromText="180" w:vertAnchor="text" w:tblpX="-1670"/>
            <w:tblW w:w="11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0"/>
            <w:gridCol w:w="1785"/>
            <w:gridCol w:w="1395"/>
            <w:gridCol w:w="1035"/>
            <w:gridCol w:w="1335"/>
            <w:gridCol w:w="2025"/>
            <w:gridCol w:w="990"/>
            <w:gridCol w:w="1695"/>
          </w:tblGrid>
          <w:tr w:rsidR="00FF6EEE" w14:paraId="084177BF" w14:textId="77777777">
            <w:trPr>
              <w:trHeight w:val="765"/>
            </w:trPr>
            <w:tc>
              <w:tcPr>
                <w:tcW w:w="11850" w:type="dxa"/>
                <w:gridSpan w:val="8"/>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D7B4D7" w14:textId="77777777" w:rsidR="00FF6EEE" w:rsidRDefault="00000000">
                <w:pPr>
                  <w:spacing w:after="0" w:line="240" w:lineRule="auto"/>
                  <w:jc w:val="center"/>
                  <w:rPr>
                    <w:sz w:val="30"/>
                    <w:szCs w:val="30"/>
                  </w:rPr>
                </w:pPr>
                <w:r>
                  <w:rPr>
                    <w:sz w:val="30"/>
                    <w:szCs w:val="30"/>
                  </w:rPr>
                  <w:t>Plan de Trabajo</w:t>
                </w:r>
              </w:p>
            </w:tc>
          </w:tr>
          <w:tr w:rsidR="00FF6EEE" w14:paraId="2EC68A0F" w14:textId="77777777">
            <w:trPr>
              <w:trHeight w:val="765"/>
            </w:trPr>
            <w:tc>
              <w:tcPr>
                <w:tcW w:w="15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29B937B" w14:textId="77777777" w:rsidR="00FF6EEE" w:rsidRDefault="00000000">
                <w:pPr>
                  <w:spacing w:after="0" w:line="240" w:lineRule="auto"/>
                  <w:rPr>
                    <w:sz w:val="18"/>
                    <w:szCs w:val="18"/>
                  </w:rPr>
                </w:pPr>
                <w:r>
                  <w:rPr>
                    <w:sz w:val="18"/>
                    <w:szCs w:val="18"/>
                  </w:rPr>
                  <w:t xml:space="preserve">Competencia o unidades de competencias </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575BF42" w14:textId="77777777" w:rsidR="00FF6EEE" w:rsidRDefault="00000000">
                <w:pPr>
                  <w:spacing w:after="0" w:line="240" w:lineRule="auto"/>
                  <w:rPr>
                    <w:sz w:val="18"/>
                    <w:szCs w:val="18"/>
                  </w:rPr>
                </w:pPr>
                <w:r>
                  <w:rPr>
                    <w:sz w:val="18"/>
                    <w:szCs w:val="18"/>
                  </w:rPr>
                  <w:t xml:space="preserve">Actividades </w:t>
                </w:r>
              </w:p>
            </w:tc>
            <w:tc>
              <w:tcPr>
                <w:tcW w:w="13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1371E32" w14:textId="77777777" w:rsidR="00FF6EEE" w:rsidRDefault="00000000">
                <w:pPr>
                  <w:spacing w:after="0" w:line="240" w:lineRule="auto"/>
                  <w:rPr>
                    <w:sz w:val="18"/>
                    <w:szCs w:val="18"/>
                  </w:rPr>
                </w:pPr>
                <w:r>
                  <w:rPr>
                    <w:sz w:val="18"/>
                    <w:szCs w:val="18"/>
                  </w:rPr>
                  <w:t xml:space="preserve">Recursos </w:t>
                </w:r>
              </w:p>
            </w:tc>
            <w:tc>
              <w:tcPr>
                <w:tcW w:w="10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A8E2820" w14:textId="77777777" w:rsidR="00FF6EEE" w:rsidRDefault="00000000">
                <w:pPr>
                  <w:spacing w:after="0" w:line="240" w:lineRule="auto"/>
                  <w:rPr>
                    <w:sz w:val="18"/>
                    <w:szCs w:val="18"/>
                  </w:rPr>
                </w:pPr>
                <w:r>
                  <w:rPr>
                    <w:sz w:val="18"/>
                    <w:szCs w:val="18"/>
                  </w:rPr>
                  <w:t>Duración (días)</w:t>
                </w:r>
              </w:p>
            </w:tc>
            <w:tc>
              <w:tcPr>
                <w:tcW w:w="13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AA623CC" w14:textId="77777777" w:rsidR="00FF6EEE" w:rsidRDefault="00000000">
                <w:pPr>
                  <w:spacing w:after="0" w:line="240" w:lineRule="auto"/>
                  <w:rPr>
                    <w:sz w:val="18"/>
                    <w:szCs w:val="18"/>
                  </w:rPr>
                </w:pPr>
                <w:r>
                  <w:rPr>
                    <w:sz w:val="18"/>
                    <w:szCs w:val="18"/>
                  </w:rPr>
                  <w:t xml:space="preserve">Responsable </w:t>
                </w:r>
              </w:p>
            </w:tc>
            <w:tc>
              <w:tcPr>
                <w:tcW w:w="20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2B83C0C" w14:textId="77777777" w:rsidR="00FF6EEE" w:rsidRDefault="00000000">
                <w:pPr>
                  <w:spacing w:after="0" w:line="240" w:lineRule="auto"/>
                  <w:rPr>
                    <w:sz w:val="18"/>
                    <w:szCs w:val="18"/>
                  </w:rPr>
                </w:pPr>
                <w:r>
                  <w:rPr>
                    <w:sz w:val="18"/>
                    <w:szCs w:val="18"/>
                  </w:rPr>
                  <w:t xml:space="preserve">Observaciones </w:t>
                </w:r>
              </w:p>
            </w:tc>
            <w:tc>
              <w:tcPr>
                <w:tcW w:w="9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E48AC7" w14:textId="77777777" w:rsidR="00FF6EEE" w:rsidRDefault="00000000">
                <w:pPr>
                  <w:spacing w:after="0" w:line="240" w:lineRule="auto"/>
                  <w:rPr>
                    <w:sz w:val="18"/>
                    <w:szCs w:val="18"/>
                  </w:rPr>
                </w:pPr>
                <w:r>
                  <w:rPr>
                    <w:sz w:val="18"/>
                    <w:szCs w:val="18"/>
                  </w:rPr>
                  <w:t xml:space="preserve">Estado de avance </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AACB5C7" w14:textId="77777777" w:rsidR="00FF6EEE" w:rsidRDefault="00000000">
                <w:pPr>
                  <w:spacing w:after="0" w:line="240" w:lineRule="auto"/>
                  <w:rPr>
                    <w:sz w:val="18"/>
                    <w:szCs w:val="18"/>
                  </w:rPr>
                </w:pPr>
                <w:r>
                  <w:rPr>
                    <w:sz w:val="18"/>
                    <w:szCs w:val="18"/>
                  </w:rPr>
                  <w:t xml:space="preserve">Ajustes </w:t>
                </w:r>
              </w:p>
            </w:tc>
          </w:tr>
          <w:tr w:rsidR="00FF6EEE" w14:paraId="198AB432" w14:textId="77777777">
            <w:trPr>
              <w:trHeight w:val="2130"/>
            </w:trPr>
            <w:tc>
              <w:tcPr>
                <w:tcW w:w="15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1AB1C92" w14:textId="77777777" w:rsidR="00FF6EEE" w:rsidRDefault="00000000">
                <w:pPr>
                  <w:spacing w:after="0" w:line="240" w:lineRule="auto"/>
                  <w:jc w:val="both"/>
                  <w:rPr>
                    <w:sz w:val="18"/>
                    <w:szCs w:val="18"/>
                  </w:rPr>
                </w:pPr>
                <w:r>
                  <w:rPr>
                    <w:sz w:val="18"/>
                    <w:szCs w:val="18"/>
                  </w:rPr>
                  <w:t>Modelado de Requerimientos y Análisis de Software</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C73CC93" w14:textId="77777777" w:rsidR="00FF6EEE" w:rsidRDefault="00000000">
                <w:pPr>
                  <w:spacing w:after="0" w:line="240" w:lineRule="auto"/>
                  <w:jc w:val="both"/>
                  <w:rPr>
                    <w:sz w:val="18"/>
                    <w:szCs w:val="18"/>
                  </w:rPr>
                </w:pPr>
                <w:r>
                  <w:rPr>
                    <w:sz w:val="18"/>
                    <w:szCs w:val="18"/>
                  </w:rPr>
                  <w:t>Levantamiento y formalización de Fichas de Casos de Uso Extendidos (CU-001 al CU-014).</w:t>
                </w:r>
              </w:p>
            </w:tc>
            <w:tc>
              <w:tcPr>
                <w:tcW w:w="13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17C24CE" w14:textId="77777777" w:rsidR="00FF6EEE" w:rsidRDefault="00000000">
                <w:pPr>
                  <w:spacing w:after="0" w:line="240" w:lineRule="auto"/>
                  <w:jc w:val="both"/>
                  <w:rPr>
                    <w:sz w:val="18"/>
                    <w:szCs w:val="18"/>
                  </w:rPr>
                </w:pPr>
                <w:r>
                  <w:rPr>
                    <w:sz w:val="18"/>
                    <w:szCs w:val="18"/>
                  </w:rPr>
                  <w:t>Plantilla institucional, Word, repositorio del proyecto.</w:t>
                </w:r>
              </w:p>
            </w:tc>
            <w:tc>
              <w:tcPr>
                <w:tcW w:w="10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29CC0FD" w14:textId="77777777" w:rsidR="00FF6EEE" w:rsidRDefault="00000000">
                <w:pPr>
                  <w:spacing w:after="0" w:line="240" w:lineRule="auto"/>
                  <w:jc w:val="both"/>
                  <w:rPr>
                    <w:sz w:val="18"/>
                    <w:szCs w:val="18"/>
                  </w:rPr>
                </w:pPr>
                <w:r>
                  <w:rPr>
                    <w:sz w:val="18"/>
                    <w:szCs w:val="18"/>
                  </w:rPr>
                  <w:t>10 días</w:t>
                </w:r>
              </w:p>
            </w:tc>
            <w:tc>
              <w:tcPr>
                <w:tcW w:w="13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2A46EB2" w14:textId="77777777" w:rsidR="00FF6EEE" w:rsidRDefault="00000000">
                <w:pPr>
                  <w:spacing w:after="0" w:line="240" w:lineRule="auto"/>
                  <w:jc w:val="both"/>
                  <w:rPr>
                    <w:sz w:val="18"/>
                    <w:szCs w:val="18"/>
                  </w:rPr>
                </w:pPr>
                <w:r>
                  <w:rPr>
                    <w:sz w:val="18"/>
                    <w:szCs w:val="18"/>
                  </w:rPr>
                  <w:t>grupo</w:t>
                </w:r>
              </w:p>
            </w:tc>
            <w:tc>
              <w:tcPr>
                <w:tcW w:w="20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93772C5" w14:textId="77777777" w:rsidR="00FF6EEE" w:rsidRDefault="00000000">
                <w:pPr>
                  <w:spacing w:after="0" w:line="240" w:lineRule="auto"/>
                  <w:jc w:val="both"/>
                  <w:rPr>
                    <w:sz w:val="18"/>
                    <w:szCs w:val="18"/>
                  </w:rPr>
                </w:pPr>
                <w:r>
                  <w:rPr>
                    <w:sz w:val="18"/>
                    <w:szCs w:val="18"/>
                  </w:rPr>
                  <w:t>Facilitador: Existencia de flujos claros en farmacia de APS. Dificultad: Delimitar el alcance de la reserva ciudadana vs. entrega en ventanilla.</w:t>
                </w:r>
              </w:p>
            </w:tc>
            <w:tc>
              <w:tcPr>
                <w:tcW w:w="9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F3A9A5A" w14:textId="77777777" w:rsidR="00FF6EEE" w:rsidRDefault="00000000">
                <w:pPr>
                  <w:spacing w:after="0" w:line="240" w:lineRule="auto"/>
                  <w:jc w:val="both"/>
                  <w:rPr>
                    <w:sz w:val="18"/>
                    <w:szCs w:val="18"/>
                  </w:rPr>
                </w:pPr>
                <w:r>
                  <w:rPr>
                    <w:sz w:val="18"/>
                    <w:szCs w:val="18"/>
                  </w:rPr>
                  <w:t>listo</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6403DAB" w14:textId="77777777" w:rsidR="00FF6EEE" w:rsidRDefault="00000000">
                <w:pPr>
                  <w:spacing w:after="0" w:line="240" w:lineRule="auto"/>
                  <w:jc w:val="both"/>
                  <w:rPr>
                    <w:sz w:val="18"/>
                    <w:szCs w:val="18"/>
                  </w:rPr>
                </w:pPr>
                <w:r>
                  <w:rPr>
                    <w:sz w:val="18"/>
                    <w:szCs w:val="18"/>
                  </w:rPr>
                  <w:t>Se agruparon las operaciones CRUD individuales bajo el estándar formal "Administrar/Gestionar" para evitar saturación de casos atómicos.</w:t>
                </w:r>
              </w:p>
            </w:tc>
          </w:tr>
          <w:tr w:rsidR="00FF6EEE" w14:paraId="467A91EF" w14:textId="77777777">
            <w:trPr>
              <w:trHeight w:val="2157"/>
            </w:trPr>
            <w:tc>
              <w:tcPr>
                <w:tcW w:w="15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92FAB5E" w14:textId="77777777" w:rsidR="00FF6EEE" w:rsidRDefault="00000000">
                <w:pPr>
                  <w:spacing w:after="0" w:line="240" w:lineRule="auto"/>
                  <w:jc w:val="both"/>
                  <w:rPr>
                    <w:sz w:val="18"/>
                    <w:szCs w:val="18"/>
                  </w:rPr>
                </w:pPr>
                <w:r>
                  <w:rPr>
                    <w:sz w:val="18"/>
                    <w:szCs w:val="18"/>
                  </w:rPr>
                  <w:t>Diseño de Procesos y Arquitectura de Software</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4CE20BF" w14:textId="77777777" w:rsidR="00FF6EEE" w:rsidRDefault="00000000">
                <w:pPr>
                  <w:spacing w:after="0" w:line="240" w:lineRule="auto"/>
                  <w:jc w:val="both"/>
                  <w:rPr>
                    <w:sz w:val="18"/>
                    <w:szCs w:val="18"/>
                  </w:rPr>
                </w:pPr>
                <w:r>
                  <w:rPr>
                    <w:sz w:val="18"/>
                    <w:szCs w:val="18"/>
                  </w:rPr>
                  <w:t>Modelado de los flujos operacionales y de soporte (Sección 4 del DAS: Vista de Procesos / Actividades).</w:t>
                </w:r>
              </w:p>
            </w:tc>
            <w:tc>
              <w:tcPr>
                <w:tcW w:w="13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CB12EE" w14:textId="77777777" w:rsidR="00FF6EEE" w:rsidRDefault="00000000">
                <w:pPr>
                  <w:spacing w:after="0" w:line="240" w:lineRule="auto"/>
                  <w:jc w:val="both"/>
                  <w:rPr>
                    <w:sz w:val="18"/>
                    <w:szCs w:val="18"/>
                  </w:rPr>
                </w:pPr>
                <w:r>
                  <w:rPr>
                    <w:sz w:val="18"/>
                    <w:szCs w:val="18"/>
                  </w:rPr>
                  <w:t>Herramientas (Bizagi / Draw.io / StarUML), estándar UML/BPMN.</w:t>
                </w:r>
              </w:p>
            </w:tc>
            <w:tc>
              <w:tcPr>
                <w:tcW w:w="10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3A2229C" w14:textId="77777777" w:rsidR="00FF6EEE" w:rsidRDefault="00000000">
                <w:pPr>
                  <w:spacing w:after="0" w:line="240" w:lineRule="auto"/>
                  <w:jc w:val="both"/>
                  <w:rPr>
                    <w:sz w:val="18"/>
                    <w:szCs w:val="18"/>
                  </w:rPr>
                </w:pPr>
                <w:r>
                  <w:rPr>
                    <w:sz w:val="18"/>
                    <w:szCs w:val="18"/>
                  </w:rPr>
                  <w:t>12 días</w:t>
                </w:r>
              </w:p>
            </w:tc>
            <w:tc>
              <w:tcPr>
                <w:tcW w:w="13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E166E99" w14:textId="77777777" w:rsidR="00FF6EEE" w:rsidRDefault="00000000">
                <w:pPr>
                  <w:spacing w:after="0" w:line="240" w:lineRule="auto"/>
                  <w:jc w:val="both"/>
                  <w:rPr>
                    <w:sz w:val="18"/>
                    <w:szCs w:val="18"/>
                  </w:rPr>
                </w:pPr>
                <w:r>
                  <w:rPr>
                    <w:sz w:val="18"/>
                    <w:szCs w:val="18"/>
                  </w:rPr>
                  <w:t>grupo</w:t>
                </w:r>
              </w:p>
            </w:tc>
            <w:tc>
              <w:tcPr>
                <w:tcW w:w="20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D9DB8B3" w14:textId="77777777" w:rsidR="00FF6EEE" w:rsidRDefault="00000000">
                <w:pPr>
                  <w:spacing w:after="0" w:line="240" w:lineRule="auto"/>
                  <w:jc w:val="both"/>
                  <w:rPr>
                    <w:sz w:val="18"/>
                    <w:szCs w:val="18"/>
                  </w:rPr>
                </w:pPr>
                <w:r>
                  <w:rPr>
                    <w:sz w:val="18"/>
                    <w:szCs w:val="18"/>
                  </w:rPr>
                  <w:t>Dificultad: Separación correcta de responsabilidades en carriles entre Actor y Sistema FarmaStock Assist.</w:t>
                </w:r>
              </w:p>
            </w:tc>
            <w:tc>
              <w:tcPr>
                <w:tcW w:w="9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6C3920F" w14:textId="77777777" w:rsidR="00FF6EEE" w:rsidRDefault="00000000">
                <w:pPr>
                  <w:spacing w:after="0" w:line="240" w:lineRule="auto"/>
                  <w:jc w:val="both"/>
                  <w:rPr>
                    <w:sz w:val="18"/>
                    <w:szCs w:val="18"/>
                  </w:rPr>
                </w:pPr>
                <w:r>
                  <w:rPr>
                    <w:sz w:val="18"/>
                    <w:szCs w:val="18"/>
                  </w:rPr>
                  <w:t>Ajustada</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7C6F390" w14:textId="77777777" w:rsidR="00FF6EEE" w:rsidRDefault="00000000">
                <w:pPr>
                  <w:spacing w:after="0" w:line="240" w:lineRule="auto"/>
                  <w:jc w:val="both"/>
                  <w:rPr>
                    <w:sz w:val="18"/>
                    <w:szCs w:val="18"/>
                  </w:rPr>
                </w:pPr>
                <w:r>
                  <w:rPr>
                    <w:sz w:val="18"/>
                    <w:szCs w:val="18"/>
                  </w:rPr>
                  <w:t>Se transformó la notación inicial de Procesos de Negocio (BPMN) a Diagramas de Actividades UML tras la retroalimentación docente.</w:t>
                </w:r>
              </w:p>
            </w:tc>
          </w:tr>
          <w:tr w:rsidR="00FF6EEE" w14:paraId="73014904" w14:textId="77777777">
            <w:trPr>
              <w:trHeight w:val="1920"/>
            </w:trPr>
            <w:tc>
              <w:tcPr>
                <w:tcW w:w="15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73D679F" w14:textId="77777777" w:rsidR="00FF6EEE" w:rsidRDefault="00000000">
                <w:pPr>
                  <w:spacing w:after="0" w:line="240" w:lineRule="auto"/>
                  <w:jc w:val="both"/>
                  <w:rPr>
                    <w:sz w:val="18"/>
                    <w:szCs w:val="18"/>
                  </w:rPr>
                </w:pPr>
                <w:r>
                  <w:rPr>
                    <w:sz w:val="18"/>
                    <w:szCs w:val="18"/>
                  </w:rPr>
                  <w:t>Diseño de Software Orientado a Objetos (Dinámica)</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9BD2AE2" w14:textId="77777777" w:rsidR="00FF6EEE" w:rsidRDefault="00000000">
                <w:pPr>
                  <w:spacing w:after="0" w:line="240" w:lineRule="auto"/>
                  <w:jc w:val="both"/>
                  <w:rPr>
                    <w:sz w:val="18"/>
                    <w:szCs w:val="18"/>
                  </w:rPr>
                </w:pPr>
                <w:r>
                  <w:rPr>
                    <w:sz w:val="18"/>
                    <w:szCs w:val="18"/>
                  </w:rPr>
                  <w:t>Elaboración de Diagramas de Secuencia para flujos críticos (Login, Turnos, Dispensación y Umbrales).</w:t>
                </w:r>
              </w:p>
            </w:tc>
            <w:tc>
              <w:tcPr>
                <w:tcW w:w="13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22FE10" w14:textId="77777777" w:rsidR="00FF6EEE" w:rsidRDefault="00000000">
                <w:pPr>
                  <w:spacing w:after="0" w:line="240" w:lineRule="auto"/>
                  <w:jc w:val="both"/>
                  <w:rPr>
                    <w:sz w:val="18"/>
                    <w:szCs w:val="18"/>
                  </w:rPr>
                </w:pPr>
                <w:r>
                  <w:rPr>
                    <w:sz w:val="18"/>
                    <w:szCs w:val="18"/>
                  </w:rPr>
                  <w:t>StarUML / Plantilla de modelado, DAS (Sección 5.2).</w:t>
                </w:r>
              </w:p>
            </w:tc>
            <w:tc>
              <w:tcPr>
                <w:tcW w:w="10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797D1C" w14:textId="77777777" w:rsidR="00FF6EEE" w:rsidRDefault="00000000">
                <w:pPr>
                  <w:spacing w:after="0" w:line="240" w:lineRule="auto"/>
                  <w:jc w:val="both"/>
                  <w:rPr>
                    <w:sz w:val="18"/>
                    <w:szCs w:val="18"/>
                  </w:rPr>
                </w:pPr>
                <w:r>
                  <w:rPr>
                    <w:sz w:val="18"/>
                    <w:szCs w:val="18"/>
                  </w:rPr>
                  <w:t>5 días</w:t>
                </w:r>
              </w:p>
            </w:tc>
            <w:tc>
              <w:tcPr>
                <w:tcW w:w="13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5C17815" w14:textId="77777777" w:rsidR="00FF6EEE" w:rsidRDefault="00000000">
                <w:pPr>
                  <w:spacing w:after="0" w:line="240" w:lineRule="auto"/>
                  <w:jc w:val="both"/>
                  <w:rPr>
                    <w:sz w:val="18"/>
                    <w:szCs w:val="18"/>
                  </w:rPr>
                </w:pPr>
                <w:r>
                  <w:rPr>
                    <w:sz w:val="18"/>
                    <w:szCs w:val="18"/>
                  </w:rPr>
                  <w:t>Alexsander Haase</w:t>
                </w:r>
              </w:p>
            </w:tc>
            <w:tc>
              <w:tcPr>
                <w:tcW w:w="20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A28A075" w14:textId="77777777" w:rsidR="00FF6EEE" w:rsidRDefault="00000000">
                <w:pPr>
                  <w:spacing w:after="0" w:line="240" w:lineRule="auto"/>
                  <w:jc w:val="both"/>
                  <w:rPr>
                    <w:sz w:val="18"/>
                    <w:szCs w:val="18"/>
                  </w:rPr>
                </w:pPr>
                <w:r>
                  <w:rPr>
                    <w:sz w:val="18"/>
                    <w:szCs w:val="18"/>
                  </w:rPr>
                  <w:t>Facilitador: Adopción del patrón de diseño por capas (Actor, Vista, Controlador, Clase, BD).</w:t>
                </w:r>
              </w:p>
            </w:tc>
            <w:tc>
              <w:tcPr>
                <w:tcW w:w="9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3A098C0" w14:textId="77777777" w:rsidR="00FF6EEE" w:rsidRDefault="00000000">
                <w:pPr>
                  <w:spacing w:after="0" w:line="240" w:lineRule="auto"/>
                  <w:jc w:val="both"/>
                  <w:rPr>
                    <w:sz w:val="18"/>
                    <w:szCs w:val="18"/>
                  </w:rPr>
                </w:pPr>
                <w:r>
                  <w:rPr>
                    <w:sz w:val="18"/>
                    <w:szCs w:val="18"/>
                  </w:rPr>
                  <w:t>listo</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310B51F" w14:textId="77777777" w:rsidR="00FF6EEE" w:rsidRDefault="00000000">
                <w:pPr>
                  <w:spacing w:after="0" w:line="240" w:lineRule="auto"/>
                  <w:jc w:val="both"/>
                  <w:rPr>
                    <w:sz w:val="18"/>
                    <w:szCs w:val="18"/>
                  </w:rPr>
                </w:pPr>
                <w:r>
                  <w:rPr>
                    <w:sz w:val="18"/>
                    <w:szCs w:val="18"/>
                  </w:rPr>
                  <w:t>Se seleccionaron únicamente los 4 flujos más representativos de la interacción dinámica del sistema.</w:t>
                </w:r>
              </w:p>
            </w:tc>
          </w:tr>
          <w:tr w:rsidR="00FF6EEE" w14:paraId="28A3CADF" w14:textId="77777777">
            <w:trPr>
              <w:trHeight w:val="2385"/>
            </w:trPr>
            <w:tc>
              <w:tcPr>
                <w:tcW w:w="15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35B07BB" w14:textId="77777777" w:rsidR="00FF6EEE" w:rsidRDefault="00000000">
                <w:pPr>
                  <w:spacing w:after="0" w:line="240" w:lineRule="auto"/>
                  <w:jc w:val="both"/>
                  <w:rPr>
                    <w:sz w:val="18"/>
                    <w:szCs w:val="18"/>
                  </w:rPr>
                </w:pPr>
                <w:r>
                  <w:rPr>
                    <w:sz w:val="18"/>
                    <w:szCs w:val="18"/>
                  </w:rPr>
                  <w:t>Modelado y Diseño de Bases de Datos</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6444C5B" w14:textId="77777777" w:rsidR="00FF6EEE" w:rsidRDefault="00000000">
                <w:pPr>
                  <w:spacing w:after="0" w:line="240" w:lineRule="auto"/>
                  <w:jc w:val="both"/>
                  <w:rPr>
                    <w:sz w:val="18"/>
                    <w:szCs w:val="18"/>
                  </w:rPr>
                </w:pPr>
                <w:r>
                  <w:rPr>
                    <w:sz w:val="18"/>
                    <w:szCs w:val="18"/>
                  </w:rPr>
                  <w:t>Diseño de la Vista Lógica estática: Diagrama de Clases y Modelo Entidad-Relación / Diccionario de Datos (Sección 5.1).</w:t>
                </w:r>
              </w:p>
            </w:tc>
            <w:tc>
              <w:tcPr>
                <w:tcW w:w="13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531F41C" w14:textId="77777777" w:rsidR="00FF6EEE" w:rsidRDefault="00000000">
                <w:pPr>
                  <w:spacing w:after="0" w:line="240" w:lineRule="auto"/>
                  <w:jc w:val="both"/>
                  <w:rPr>
                    <w:sz w:val="18"/>
                    <w:szCs w:val="18"/>
                  </w:rPr>
                </w:pPr>
                <w:r>
                  <w:rPr>
                    <w:sz w:val="18"/>
                    <w:szCs w:val="18"/>
                  </w:rPr>
                  <w:t>Motor RDBMS, software de diagramación ERD, DAS plantilla.</w:t>
                </w:r>
              </w:p>
            </w:tc>
            <w:tc>
              <w:tcPr>
                <w:tcW w:w="10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86EA0BB" w14:textId="77777777" w:rsidR="00FF6EEE" w:rsidRDefault="00000000">
                <w:pPr>
                  <w:spacing w:after="0" w:line="240" w:lineRule="auto"/>
                  <w:jc w:val="both"/>
                  <w:rPr>
                    <w:sz w:val="18"/>
                    <w:szCs w:val="18"/>
                  </w:rPr>
                </w:pPr>
                <w:r>
                  <w:rPr>
                    <w:sz w:val="18"/>
                    <w:szCs w:val="18"/>
                  </w:rPr>
                  <w:t>7 días</w:t>
                </w:r>
              </w:p>
            </w:tc>
            <w:tc>
              <w:tcPr>
                <w:tcW w:w="13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718CF26" w14:textId="77777777" w:rsidR="00FF6EEE" w:rsidRDefault="00000000">
                <w:pPr>
                  <w:spacing w:after="0" w:line="240" w:lineRule="auto"/>
                  <w:jc w:val="both"/>
                  <w:rPr>
                    <w:sz w:val="18"/>
                    <w:szCs w:val="18"/>
                  </w:rPr>
                </w:pPr>
                <w:r>
                  <w:rPr>
                    <w:sz w:val="18"/>
                    <w:szCs w:val="18"/>
                  </w:rPr>
                  <w:t>grupo</w:t>
                </w:r>
              </w:p>
            </w:tc>
            <w:tc>
              <w:tcPr>
                <w:tcW w:w="20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DCF9489" w14:textId="77777777" w:rsidR="00FF6EEE" w:rsidRDefault="00000000">
                <w:pPr>
                  <w:spacing w:after="0" w:line="240" w:lineRule="auto"/>
                  <w:jc w:val="both"/>
                  <w:rPr>
                    <w:sz w:val="18"/>
                    <w:szCs w:val="18"/>
                  </w:rPr>
                </w:pPr>
                <w:r>
                  <w:rPr>
                    <w:sz w:val="18"/>
                    <w:szCs w:val="18"/>
                  </w:rPr>
                  <w:t>Dificultad: Mantener integridad referencial transacciones (ACID) en la deducción de lotes de medicamentos en el mesón.</w:t>
                </w:r>
              </w:p>
            </w:tc>
            <w:tc>
              <w:tcPr>
                <w:tcW w:w="9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F821A4C" w14:textId="77777777" w:rsidR="00FF6EEE" w:rsidRDefault="00000000">
                <w:pPr>
                  <w:spacing w:after="0" w:line="240" w:lineRule="auto"/>
                  <w:jc w:val="both"/>
                  <w:rPr>
                    <w:sz w:val="18"/>
                    <w:szCs w:val="18"/>
                  </w:rPr>
                </w:pPr>
                <w:r>
                  <w:rPr>
                    <w:sz w:val="18"/>
                    <w:szCs w:val="18"/>
                  </w:rPr>
                  <w:t>En curso</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3796E0" w14:textId="77777777" w:rsidR="00FF6EEE" w:rsidRDefault="00000000">
                <w:pPr>
                  <w:spacing w:after="0" w:line="240" w:lineRule="auto"/>
                  <w:jc w:val="both"/>
                  <w:rPr>
                    <w:sz w:val="18"/>
                    <w:szCs w:val="18"/>
                  </w:rPr>
                </w:pPr>
                <w:r>
                  <w:rPr>
                    <w:sz w:val="18"/>
                    <w:szCs w:val="18"/>
                  </w:rPr>
                  <w:t>Ninguno. Actividad delegada para entrega consolidada previo al hito del 21 de octubre.</w:t>
                </w:r>
              </w:p>
            </w:tc>
          </w:tr>
          <w:tr w:rsidR="00FF6EEE" w14:paraId="4B826024" w14:textId="77777777">
            <w:trPr>
              <w:trHeight w:val="2310"/>
            </w:trPr>
            <w:tc>
              <w:tcPr>
                <w:tcW w:w="15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EAA8908" w14:textId="77777777" w:rsidR="00FF6EEE" w:rsidRDefault="00000000">
                <w:pPr>
                  <w:spacing w:after="0" w:line="240" w:lineRule="auto"/>
                  <w:jc w:val="both"/>
                  <w:rPr>
                    <w:sz w:val="18"/>
                    <w:szCs w:val="18"/>
                  </w:rPr>
                </w:pPr>
                <w:r>
                  <w:rPr>
                    <w:sz w:val="18"/>
                    <w:szCs w:val="18"/>
                  </w:rPr>
                  <w:lastRenderedPageBreak/>
                  <w:t>Aseguramiento de Calidad y Gestión Documental</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F57BE56" w14:textId="77777777" w:rsidR="00FF6EEE" w:rsidRDefault="00000000">
                <w:pPr>
                  <w:spacing w:after="0" w:line="240" w:lineRule="auto"/>
                  <w:jc w:val="both"/>
                  <w:rPr>
                    <w:sz w:val="18"/>
                    <w:szCs w:val="18"/>
                  </w:rPr>
                </w:pPr>
                <w:r>
                  <w:rPr>
                    <w:sz w:val="18"/>
                    <w:szCs w:val="18"/>
                  </w:rPr>
                  <w:t>Consolidación, revisión de consistencia terminológica y maquetación del Documento de Arquitectura de Software (DAS hasta Sección 5).</w:t>
                </w:r>
              </w:p>
            </w:tc>
            <w:tc>
              <w:tcPr>
                <w:tcW w:w="13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42DDF8E" w14:textId="77777777" w:rsidR="00FF6EEE" w:rsidRDefault="00000000">
                <w:pPr>
                  <w:spacing w:after="0" w:line="240" w:lineRule="auto"/>
                  <w:jc w:val="both"/>
                  <w:rPr>
                    <w:sz w:val="18"/>
                    <w:szCs w:val="18"/>
                  </w:rPr>
                </w:pPr>
                <w:r>
                  <w:rPr>
                    <w:sz w:val="18"/>
                    <w:szCs w:val="18"/>
                  </w:rPr>
                  <w:t>Google Docs / Microsoft Word, normas de entrega APT.</w:t>
                </w:r>
              </w:p>
            </w:tc>
            <w:tc>
              <w:tcPr>
                <w:tcW w:w="10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EE61D29" w14:textId="77777777" w:rsidR="00FF6EEE" w:rsidRDefault="00000000">
                <w:pPr>
                  <w:spacing w:after="0" w:line="240" w:lineRule="auto"/>
                  <w:jc w:val="both"/>
                  <w:rPr>
                    <w:sz w:val="18"/>
                    <w:szCs w:val="18"/>
                  </w:rPr>
                </w:pPr>
                <w:r>
                  <w:rPr>
                    <w:sz w:val="18"/>
                    <w:szCs w:val="18"/>
                  </w:rPr>
                  <w:t>3 días</w:t>
                </w:r>
              </w:p>
            </w:tc>
            <w:tc>
              <w:tcPr>
                <w:tcW w:w="13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CF967D0" w14:textId="77777777" w:rsidR="00FF6EEE" w:rsidRDefault="00000000">
                <w:pPr>
                  <w:spacing w:after="0" w:line="240" w:lineRule="auto"/>
                  <w:jc w:val="both"/>
                  <w:rPr>
                    <w:sz w:val="18"/>
                    <w:szCs w:val="18"/>
                  </w:rPr>
                </w:pPr>
                <w:r>
                  <w:rPr>
                    <w:sz w:val="18"/>
                    <w:szCs w:val="18"/>
                  </w:rPr>
                  <w:t xml:space="preserve">Alexsander Haase </w:t>
                </w:r>
              </w:p>
            </w:tc>
            <w:tc>
              <w:tcPr>
                <w:tcW w:w="20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7108010" w14:textId="77777777" w:rsidR="00FF6EEE" w:rsidRDefault="00000000">
                <w:pPr>
                  <w:spacing w:after="0" w:line="240" w:lineRule="auto"/>
                  <w:jc w:val="both"/>
                  <w:rPr>
                    <w:sz w:val="18"/>
                    <w:szCs w:val="18"/>
                  </w:rPr>
                </w:pPr>
                <w:r>
                  <w:rPr>
                    <w:sz w:val="18"/>
                    <w:szCs w:val="18"/>
                  </w:rPr>
                  <w:t>Facilitador: Trabajo colaborativo asíncrono. Dependencia directa de la entrega de la BD para ensamblaje final.</w:t>
                </w:r>
              </w:p>
            </w:tc>
            <w:tc>
              <w:tcPr>
                <w:tcW w:w="9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F0DB60F" w14:textId="77777777" w:rsidR="00FF6EEE" w:rsidRDefault="00000000">
                <w:pPr>
                  <w:spacing w:after="0" w:line="240" w:lineRule="auto"/>
                  <w:jc w:val="both"/>
                  <w:rPr>
                    <w:sz w:val="18"/>
                    <w:szCs w:val="18"/>
                  </w:rPr>
                </w:pPr>
                <w:r>
                  <w:rPr>
                    <w:sz w:val="18"/>
                    <w:szCs w:val="18"/>
                  </w:rPr>
                  <w:t>En curso</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C0E4BE4" w14:textId="77777777" w:rsidR="00FF6EEE" w:rsidRDefault="00000000">
                <w:pPr>
                  <w:spacing w:after="0" w:line="240" w:lineRule="auto"/>
                  <w:jc w:val="both"/>
                  <w:rPr>
                    <w:sz w:val="18"/>
                    <w:szCs w:val="18"/>
                  </w:rPr>
                </w:pPr>
                <w:r>
                  <w:rPr>
                    <w:sz w:val="18"/>
                    <w:szCs w:val="18"/>
                  </w:rPr>
                  <w:t>Se cerró el alcance documental formalmente hasta la Sección 5 conforme a la rúbrica solicitada.</w:t>
                </w:r>
              </w:p>
            </w:tc>
          </w:tr>
        </w:tbl>
      </w:sdtContent>
    </w:sdt>
    <w:p w14:paraId="63AF17B9" w14:textId="77777777" w:rsidR="00FF6EEE" w:rsidRDefault="00FF6EEE">
      <w:pPr>
        <w:rPr>
          <w:color w:val="595959"/>
          <w:sz w:val="24"/>
          <w:szCs w:val="24"/>
        </w:rPr>
      </w:pPr>
    </w:p>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F6EEE" w14:paraId="32149CE2" w14:textId="77777777">
        <w:trPr>
          <w:trHeight w:val="440"/>
        </w:trPr>
        <w:tc>
          <w:tcPr>
            <w:tcW w:w="9498" w:type="dxa"/>
            <w:vAlign w:val="center"/>
          </w:tcPr>
          <w:p w14:paraId="4F2DFB75" w14:textId="77777777" w:rsidR="00FF6EEE" w:rsidRDefault="00000000">
            <w:pPr>
              <w:rPr>
                <w:b/>
                <w:bCs/>
                <w:color w:val="1F3864"/>
                <w:sz w:val="28"/>
                <w:szCs w:val="28"/>
              </w:rPr>
            </w:pPr>
            <w:r>
              <w:rPr>
                <w:b/>
                <w:bCs/>
                <w:color w:val="1F3864"/>
                <w:sz w:val="28"/>
                <w:szCs w:val="28"/>
              </w:rPr>
              <w:t xml:space="preserve">3. Ajustes a partir del monitoreo </w:t>
            </w:r>
          </w:p>
        </w:tc>
      </w:tr>
      <w:tr w:rsidR="00FF6EEE" w14:paraId="564C5621" w14:textId="77777777">
        <w:trPr>
          <w:trHeight w:val="800"/>
        </w:trPr>
        <w:tc>
          <w:tcPr>
            <w:tcW w:w="9498" w:type="dxa"/>
            <w:shd w:val="clear" w:color="auto" w:fill="D9E2F3"/>
            <w:vAlign w:val="center"/>
          </w:tcPr>
          <w:p w14:paraId="5BD35AB9" w14:textId="77777777" w:rsidR="00FF6EEE"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4991118B" w14:textId="77777777" w:rsidR="00FF6EEE" w:rsidRDefault="00FF6EEE">
      <w:pPr>
        <w:rPr>
          <w:color w:val="595959"/>
          <w:sz w:val="24"/>
          <w:szCs w:val="24"/>
        </w:rPr>
      </w:pPr>
    </w:p>
    <w:tbl>
      <w:tblPr>
        <w:tblStyle w:val="a3"/>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FF6EEE" w14:paraId="4E7F249C" w14:textId="77777777">
        <w:trPr>
          <w:trHeight w:val="1936"/>
        </w:trPr>
        <w:tc>
          <w:tcPr>
            <w:tcW w:w="9496" w:type="dxa"/>
            <w:vAlign w:val="center"/>
          </w:tcPr>
          <w:p w14:paraId="5D5AEE5E" w14:textId="77777777" w:rsidR="00FF6EEE" w:rsidRDefault="00000000">
            <w:pPr>
              <w:spacing w:after="80" w:line="276" w:lineRule="auto"/>
              <w:jc w:val="both"/>
              <w:rPr>
                <w:sz w:val="20"/>
                <w:szCs w:val="20"/>
              </w:rPr>
            </w:pPr>
            <w:r>
              <w:rPr>
                <w:sz w:val="20"/>
                <w:szCs w:val="20"/>
              </w:rPr>
              <w:t>Factores que han Facilitado y/o Dificultado el Desarrollo del Plan de Trabajo</w:t>
            </w:r>
          </w:p>
          <w:p w14:paraId="04776312" w14:textId="77777777" w:rsidR="00FF6EEE" w:rsidRDefault="00000000">
            <w:pPr>
              <w:spacing w:after="240" w:line="276" w:lineRule="auto"/>
              <w:jc w:val="both"/>
              <w:rPr>
                <w:i/>
                <w:iCs/>
                <w:sz w:val="20"/>
                <w:szCs w:val="20"/>
              </w:rPr>
            </w:pPr>
            <w:r>
              <w:rPr>
                <w:i/>
                <w:iCs/>
                <w:sz w:val="20"/>
                <w:szCs w:val="20"/>
              </w:rPr>
              <w:t xml:space="preserve">Durante el desarrollo de esta etapa del Proyecto APT para la plataforma </w:t>
            </w:r>
            <w:r>
              <w:rPr>
                <w:b/>
                <w:bCs/>
                <w:i/>
                <w:iCs/>
                <w:sz w:val="20"/>
                <w:szCs w:val="20"/>
              </w:rPr>
              <w:t>FarmaStock Assist</w:t>
            </w:r>
            <w:r>
              <w:rPr>
                <w:i/>
                <w:iCs/>
                <w:sz w:val="20"/>
                <w:szCs w:val="20"/>
              </w:rPr>
              <w:t>, se han presentado diversos factores contextuales, técnicos y metodológicos que han incidido en el avance del plan de trabajo establecido. A continuación, se detallan los elementos facilitadores y las dificultades experimentadas, junto con las acciones correctivas aplicadas.</w:t>
            </w:r>
          </w:p>
          <w:p w14:paraId="7320519F" w14:textId="77777777" w:rsidR="00FF6EEE" w:rsidRDefault="00000000">
            <w:pPr>
              <w:spacing w:line="276" w:lineRule="auto"/>
              <w:jc w:val="both"/>
              <w:rPr>
                <w:sz w:val="20"/>
                <w:szCs w:val="20"/>
              </w:rPr>
            </w:pPr>
            <w:r>
              <w:rPr>
                <w:sz w:val="20"/>
                <w:szCs w:val="20"/>
              </w:rPr>
              <w:t>1. Factores Facilitadores</w:t>
            </w:r>
          </w:p>
          <w:p w14:paraId="39E847C9" w14:textId="77777777" w:rsidR="00FF6EEE" w:rsidRDefault="00000000">
            <w:pPr>
              <w:numPr>
                <w:ilvl w:val="0"/>
                <w:numId w:val="7"/>
              </w:numPr>
              <w:spacing w:after="0" w:line="276" w:lineRule="auto"/>
              <w:jc w:val="both"/>
              <w:rPr>
                <w:i/>
                <w:iCs/>
                <w:sz w:val="20"/>
                <w:szCs w:val="20"/>
              </w:rPr>
            </w:pPr>
            <w:r>
              <w:rPr>
                <w:b/>
                <w:bCs/>
                <w:i/>
                <w:iCs/>
                <w:sz w:val="20"/>
                <w:szCs w:val="20"/>
              </w:rPr>
              <w:t>Claridad en los Flujos Operativos de Atención Primaria de Salud (APS):</w:t>
            </w:r>
            <w:r>
              <w:rPr>
                <w:i/>
                <w:iCs/>
                <w:sz w:val="20"/>
                <w:szCs w:val="20"/>
              </w:rPr>
              <w:t xml:space="preserve"> La delimitación concreta de la problemática en la farmacia del CESFAM (filas presenciales de madrugada, falta de visibilidad del stock y quiebres de inventario no anticipados) permitió definir requerimientos funcionales realistas y trazables.</w:t>
            </w:r>
          </w:p>
          <w:p w14:paraId="1F16A9C9" w14:textId="77777777" w:rsidR="00FF6EEE" w:rsidRDefault="00000000">
            <w:pPr>
              <w:numPr>
                <w:ilvl w:val="0"/>
                <w:numId w:val="7"/>
              </w:numPr>
              <w:spacing w:after="0" w:line="276" w:lineRule="auto"/>
              <w:jc w:val="both"/>
              <w:rPr>
                <w:i/>
                <w:iCs/>
                <w:sz w:val="20"/>
                <w:szCs w:val="20"/>
              </w:rPr>
            </w:pPr>
            <w:r>
              <w:rPr>
                <w:b/>
                <w:bCs/>
                <w:i/>
                <w:iCs/>
                <w:sz w:val="20"/>
                <w:szCs w:val="20"/>
              </w:rPr>
              <w:t>Adopción de Patrones Arquitectónicos Estándar:</w:t>
            </w:r>
            <w:r>
              <w:rPr>
                <w:i/>
                <w:iCs/>
                <w:sz w:val="20"/>
                <w:szCs w:val="20"/>
              </w:rPr>
              <w:t xml:space="preserve"> La estructuración temprana del sistema bajo un modelo por capas (separando la interacción de actores, vistas, controladores, clases de negocio y persistencia) agilizó el diseño de los diagramas dinámicos de secuencia, evitando ambigüedades en las responsabilidades del software.</w:t>
            </w:r>
          </w:p>
          <w:p w14:paraId="437C4D99" w14:textId="77777777" w:rsidR="00FF6EEE" w:rsidRDefault="00000000">
            <w:pPr>
              <w:numPr>
                <w:ilvl w:val="0"/>
                <w:numId w:val="7"/>
              </w:numPr>
              <w:spacing w:after="240" w:line="276" w:lineRule="auto"/>
              <w:jc w:val="both"/>
              <w:rPr>
                <w:i/>
                <w:iCs/>
                <w:sz w:val="20"/>
                <w:szCs w:val="20"/>
              </w:rPr>
            </w:pPr>
            <w:r>
              <w:rPr>
                <w:b/>
                <w:bCs/>
                <w:i/>
                <w:iCs/>
                <w:sz w:val="20"/>
                <w:szCs w:val="20"/>
              </w:rPr>
              <w:t>División Clara de Roles y Trabajo Asíncrono:</w:t>
            </w:r>
            <w:r>
              <w:rPr>
                <w:i/>
                <w:iCs/>
                <w:sz w:val="20"/>
                <w:szCs w:val="20"/>
              </w:rPr>
              <w:t xml:space="preserve"> La segregación de responsabilidades dentro del equipo —donde una parte asumió el levantamiento funcional, la especificación de casos de uso y el modelado procedimental, mientras la contraparte se concentró en la lógica de base de datos y modelo de dominio— permitió avanzar de manera paralela sin bloqueos operativos inmediatos.</w:t>
            </w:r>
          </w:p>
          <w:p w14:paraId="12B9CEA9" w14:textId="77777777" w:rsidR="00FF6EEE" w:rsidRDefault="00000000">
            <w:pPr>
              <w:spacing w:line="276" w:lineRule="auto"/>
              <w:jc w:val="both"/>
              <w:rPr>
                <w:sz w:val="20"/>
                <w:szCs w:val="20"/>
              </w:rPr>
            </w:pPr>
            <w:r>
              <w:rPr>
                <w:sz w:val="20"/>
                <w:szCs w:val="20"/>
              </w:rPr>
              <w:t>2. Factores Dificultadores y Acciones Tomadas / a Tomar</w:t>
            </w:r>
          </w:p>
          <w:p w14:paraId="7D39E855" w14:textId="77777777" w:rsidR="00FF6EEE" w:rsidRDefault="00000000">
            <w:pPr>
              <w:numPr>
                <w:ilvl w:val="0"/>
                <w:numId w:val="10"/>
              </w:numPr>
              <w:spacing w:after="0" w:line="276" w:lineRule="auto"/>
              <w:jc w:val="both"/>
              <w:rPr>
                <w:i/>
                <w:iCs/>
                <w:sz w:val="20"/>
                <w:szCs w:val="20"/>
              </w:rPr>
            </w:pPr>
            <w:r>
              <w:rPr>
                <w:b/>
                <w:bCs/>
                <w:i/>
                <w:iCs/>
                <w:sz w:val="20"/>
                <w:szCs w:val="20"/>
              </w:rPr>
              <w:t>Dificultad 1: Ambigüedad en la Notación del Modelado Funcional (BPMN vs. UML)</w:t>
            </w:r>
          </w:p>
          <w:p w14:paraId="3192F4E6" w14:textId="77777777" w:rsidR="00FF6EEE" w:rsidRDefault="00000000">
            <w:pPr>
              <w:numPr>
                <w:ilvl w:val="1"/>
                <w:numId w:val="10"/>
              </w:numPr>
              <w:spacing w:after="0" w:line="276" w:lineRule="auto"/>
              <w:jc w:val="both"/>
              <w:rPr>
                <w:i/>
                <w:iCs/>
                <w:sz w:val="20"/>
                <w:szCs w:val="20"/>
              </w:rPr>
            </w:pPr>
            <w:r>
              <w:rPr>
                <w:i/>
                <w:iCs/>
                <w:sz w:val="20"/>
                <w:szCs w:val="20"/>
              </w:rPr>
              <w:t>Descripción: Inicialmente, los flujos operacionales y de soporte se modelaron bajo la notación BPMN (Business Process Model and Notation) en Bizagi, lo que generó una discrepancia metodológica con el estándar curricular requerido por la cátedra docente, la cual exigía Diagramas de Actividades basados formalmente en UML.</w:t>
            </w:r>
          </w:p>
          <w:p w14:paraId="6DC9E44F" w14:textId="77777777" w:rsidR="00FF6EEE" w:rsidRDefault="00000000">
            <w:pPr>
              <w:numPr>
                <w:ilvl w:val="1"/>
                <w:numId w:val="10"/>
              </w:numPr>
              <w:spacing w:after="0" w:line="276" w:lineRule="auto"/>
              <w:jc w:val="both"/>
              <w:rPr>
                <w:i/>
                <w:iCs/>
                <w:sz w:val="20"/>
                <w:szCs w:val="20"/>
              </w:rPr>
            </w:pPr>
            <w:r>
              <w:rPr>
                <w:i/>
                <w:iCs/>
                <w:sz w:val="20"/>
                <w:szCs w:val="20"/>
              </w:rPr>
              <w:t xml:space="preserve">Acciones tomadas: Se procedió a homologar y readaptar los diagramas elaborados, convirtiendo los elementos de procesos de negocio a la notación formal de Diagramas de Actividades de UML (particiones o swimlanes de usuario y sistema, rectángulos redondeados de acción, rombos de </w:t>
            </w:r>
            <w:r>
              <w:rPr>
                <w:i/>
                <w:iCs/>
                <w:sz w:val="20"/>
                <w:szCs w:val="20"/>
              </w:rPr>
              <w:lastRenderedPageBreak/>
              <w:t>decisión con guardas [Condición] y nodos terminales). Esta acción permitió conservar la lógica de negocio y las validaciones previamente diseñadas sin perder el trabajo realizado.</w:t>
            </w:r>
          </w:p>
          <w:p w14:paraId="754892D9" w14:textId="77777777" w:rsidR="00FF6EEE" w:rsidRDefault="00000000">
            <w:pPr>
              <w:numPr>
                <w:ilvl w:val="0"/>
                <w:numId w:val="10"/>
              </w:numPr>
              <w:spacing w:after="0" w:line="276" w:lineRule="auto"/>
              <w:jc w:val="both"/>
              <w:rPr>
                <w:i/>
                <w:iCs/>
                <w:sz w:val="20"/>
                <w:szCs w:val="20"/>
              </w:rPr>
            </w:pPr>
            <w:r>
              <w:rPr>
                <w:b/>
                <w:bCs/>
                <w:i/>
                <w:iCs/>
                <w:sz w:val="20"/>
                <w:szCs w:val="20"/>
              </w:rPr>
              <w:t>Dificultad 2: Saturación y Granularidad en el Catálogo de Casos de Uso</w:t>
            </w:r>
          </w:p>
          <w:p w14:paraId="7C367B40" w14:textId="77777777" w:rsidR="00FF6EEE" w:rsidRDefault="00000000">
            <w:pPr>
              <w:numPr>
                <w:ilvl w:val="1"/>
                <w:numId w:val="10"/>
              </w:numPr>
              <w:spacing w:after="0" w:line="276" w:lineRule="auto"/>
              <w:jc w:val="both"/>
              <w:rPr>
                <w:i/>
                <w:iCs/>
                <w:sz w:val="20"/>
                <w:szCs w:val="20"/>
              </w:rPr>
            </w:pPr>
            <w:r>
              <w:rPr>
                <w:i/>
                <w:iCs/>
                <w:sz w:val="20"/>
                <w:szCs w:val="20"/>
              </w:rPr>
              <w:t>Descripción: Al desglosar cada operación atómica de creación, consulta, modificación y baja (CRUD) como un caso de uso independiente para entidades como Paciente, Medicamento o Umbrales, el catálogo funcional superaba los 20 elementos, saturando el alcance del proyecto y dispersando la trazabilidad del documento.</w:t>
            </w:r>
          </w:p>
          <w:p w14:paraId="51234028" w14:textId="77777777" w:rsidR="00FF6EEE" w:rsidRDefault="00000000">
            <w:pPr>
              <w:numPr>
                <w:ilvl w:val="1"/>
                <w:numId w:val="10"/>
              </w:numPr>
              <w:spacing w:after="0" w:line="276" w:lineRule="auto"/>
              <w:jc w:val="both"/>
              <w:rPr>
                <w:i/>
                <w:iCs/>
                <w:sz w:val="20"/>
                <w:szCs w:val="20"/>
              </w:rPr>
            </w:pPr>
            <w:r>
              <w:rPr>
                <w:i/>
                <w:iCs/>
                <w:sz w:val="20"/>
                <w:szCs w:val="20"/>
              </w:rPr>
              <w:t xml:space="preserve">Acciones tomadas: Se implementó un ajuste de normalización agrupando las operaciones bajo el concepto estándar de </w:t>
            </w:r>
            <w:r>
              <w:rPr>
                <w:b/>
                <w:bCs/>
                <w:i/>
                <w:iCs/>
                <w:sz w:val="20"/>
                <w:szCs w:val="20"/>
              </w:rPr>
              <w:t>"Administrar / Gestionar"</w:t>
            </w:r>
            <w:r>
              <w:rPr>
                <w:i/>
                <w:iCs/>
                <w:sz w:val="20"/>
                <w:szCs w:val="20"/>
              </w:rPr>
              <w:t xml:space="preserve"> (por ejemplo, CU-002: Administrar Paciente, CU-011: Configurar Umbrales de Stock y CU-013: Gestionar Catálogo de Medicamentos). Esto permitió mantener un catálogo ejecutivo de 14 Casos de Uso principales, delegando el detalle atómico de cada paso a los diagramas procedimentales correspondientes.</w:t>
            </w:r>
          </w:p>
          <w:p w14:paraId="50612CC0" w14:textId="77777777" w:rsidR="00FF6EEE" w:rsidRDefault="00000000">
            <w:pPr>
              <w:numPr>
                <w:ilvl w:val="0"/>
                <w:numId w:val="10"/>
              </w:numPr>
              <w:spacing w:after="0" w:line="276" w:lineRule="auto"/>
              <w:jc w:val="both"/>
              <w:rPr>
                <w:i/>
                <w:iCs/>
                <w:sz w:val="20"/>
                <w:szCs w:val="20"/>
              </w:rPr>
            </w:pPr>
            <w:r>
              <w:rPr>
                <w:b/>
                <w:bCs/>
                <w:i/>
                <w:iCs/>
                <w:sz w:val="20"/>
                <w:szCs w:val="20"/>
              </w:rPr>
              <w:t>Dificultad 3: Dependencia Secuencial para el Cierre de la Vista Lógica (Sección 5)</w:t>
            </w:r>
          </w:p>
          <w:p w14:paraId="3AFEA302" w14:textId="77777777" w:rsidR="00FF6EEE" w:rsidRDefault="00000000">
            <w:pPr>
              <w:numPr>
                <w:ilvl w:val="1"/>
                <w:numId w:val="10"/>
              </w:numPr>
              <w:spacing w:after="0" w:line="276" w:lineRule="auto"/>
              <w:jc w:val="both"/>
              <w:rPr>
                <w:i/>
                <w:iCs/>
                <w:sz w:val="20"/>
                <w:szCs w:val="20"/>
              </w:rPr>
            </w:pPr>
            <w:r>
              <w:rPr>
                <w:i/>
                <w:iCs/>
                <w:sz w:val="20"/>
                <w:szCs w:val="20"/>
              </w:rPr>
              <w:t>Descripción: El documento de arquitectura exige la concordancia entre la vista de datos (clases y entidades de persistencia) y los flujos transaccionales del sistema. La delegación de la base de datos a un integrante generó un punto de bloqueo temporal para el ensamblaje y revisión final del DAS.</w:t>
            </w:r>
          </w:p>
          <w:p w14:paraId="55C054B9" w14:textId="77777777" w:rsidR="00FF6EEE" w:rsidRDefault="00000000">
            <w:pPr>
              <w:numPr>
                <w:ilvl w:val="1"/>
                <w:numId w:val="10"/>
              </w:numPr>
              <w:spacing w:after="240" w:line="276" w:lineRule="auto"/>
              <w:jc w:val="both"/>
              <w:rPr>
                <w:i/>
                <w:iCs/>
                <w:sz w:val="20"/>
                <w:szCs w:val="20"/>
              </w:rPr>
            </w:pPr>
            <w:r>
              <w:rPr>
                <w:i/>
                <w:iCs/>
                <w:sz w:val="20"/>
                <w:szCs w:val="20"/>
              </w:rPr>
              <w:t>Acciones a tomar: Se fijó una fecha interna de sincronización y revisión cruzada previa al hito formal del 21 de octubre, estableciendo una interfaz base de atributos clave (como id_medicamento, lotes, estados de recetas y transacciones de mesón) para que el diseño relacional encaje directamente en la maqueta consolidada sin requerir reescrituras de última hora.</w:t>
            </w:r>
          </w:p>
        </w:tc>
      </w:tr>
    </w:tbl>
    <w:p w14:paraId="7EAC419F" w14:textId="77777777" w:rsidR="00FF6EEE" w:rsidRDefault="00FF6EEE">
      <w:pPr>
        <w:rPr>
          <w:color w:val="595959"/>
          <w:sz w:val="24"/>
          <w:szCs w:val="24"/>
        </w:rPr>
      </w:pPr>
    </w:p>
    <w:tbl>
      <w:tblPr>
        <w:tblStyle w:val="a4"/>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FF6EEE" w14:paraId="605AA1DE" w14:textId="77777777">
        <w:trPr>
          <w:trHeight w:val="1936"/>
        </w:trPr>
        <w:tc>
          <w:tcPr>
            <w:tcW w:w="9493" w:type="dxa"/>
            <w:vAlign w:val="center"/>
          </w:tcPr>
          <w:p w14:paraId="315E5F82" w14:textId="77777777" w:rsidR="00FF6EEE" w:rsidRDefault="00000000">
            <w:pPr>
              <w:spacing w:after="80" w:line="276" w:lineRule="auto"/>
              <w:jc w:val="both"/>
              <w:rPr>
                <w:sz w:val="20"/>
                <w:szCs w:val="20"/>
              </w:rPr>
            </w:pPr>
            <w:r>
              <w:rPr>
                <w:sz w:val="20"/>
                <w:szCs w:val="20"/>
              </w:rPr>
              <w:t>Actividades Ajustadas o Eliminadas del Plan de Trabajo</w:t>
            </w:r>
          </w:p>
          <w:p w14:paraId="0C82C3B0" w14:textId="77777777" w:rsidR="00FF6EEE" w:rsidRDefault="00000000">
            <w:pPr>
              <w:spacing w:after="240" w:line="276" w:lineRule="auto"/>
              <w:jc w:val="both"/>
              <w:rPr>
                <w:i/>
                <w:iCs/>
                <w:sz w:val="20"/>
                <w:szCs w:val="20"/>
              </w:rPr>
            </w:pPr>
            <w:r>
              <w:rPr>
                <w:i/>
                <w:iCs/>
                <w:sz w:val="20"/>
                <w:szCs w:val="20"/>
              </w:rPr>
              <w:t xml:space="preserve">Durante la ejecución de esta etapa del proyecto </w:t>
            </w:r>
            <w:r>
              <w:rPr>
                <w:b/>
                <w:bCs/>
                <w:i/>
                <w:iCs/>
                <w:sz w:val="20"/>
                <w:szCs w:val="20"/>
              </w:rPr>
              <w:t>FarmaStock Assist</w:t>
            </w:r>
            <w:r>
              <w:rPr>
                <w:i/>
                <w:iCs/>
                <w:sz w:val="20"/>
                <w:szCs w:val="20"/>
              </w:rPr>
              <w:t>, el plan de trabajo original experimentó adecuaciones metodológicas y de alcance con el fin de alinearse a las directrices de la cátedra y optimizar la profundidad del diseño técnico. A continuación, se detallan y justifican las modificaciones realizadas:</w:t>
            </w:r>
          </w:p>
          <w:p w14:paraId="0F99F907" w14:textId="77777777" w:rsidR="00FF6EEE" w:rsidRDefault="00000000">
            <w:pPr>
              <w:spacing w:line="276" w:lineRule="auto"/>
              <w:jc w:val="both"/>
              <w:rPr>
                <w:sz w:val="20"/>
                <w:szCs w:val="20"/>
              </w:rPr>
            </w:pPr>
            <w:r>
              <w:rPr>
                <w:sz w:val="20"/>
                <w:szCs w:val="20"/>
              </w:rPr>
              <w:t>1. Actividad Ajustada: Transición de Notación de Procesos de Negocio (BPMN) a Diagramas de Actividades (UML)</w:t>
            </w:r>
          </w:p>
          <w:p w14:paraId="20F33CF7" w14:textId="77777777" w:rsidR="00FF6EEE" w:rsidRDefault="00000000">
            <w:pPr>
              <w:numPr>
                <w:ilvl w:val="0"/>
                <w:numId w:val="6"/>
              </w:numPr>
              <w:spacing w:after="0" w:line="276" w:lineRule="auto"/>
              <w:jc w:val="both"/>
              <w:rPr>
                <w:i/>
                <w:iCs/>
                <w:sz w:val="20"/>
                <w:szCs w:val="20"/>
              </w:rPr>
            </w:pPr>
            <w:r>
              <w:rPr>
                <w:b/>
                <w:bCs/>
                <w:i/>
                <w:iCs/>
                <w:sz w:val="20"/>
                <w:szCs w:val="20"/>
              </w:rPr>
              <w:t>Descripción del ajuste:</w:t>
            </w:r>
            <w:r>
              <w:rPr>
                <w:i/>
                <w:iCs/>
                <w:sz w:val="20"/>
                <w:szCs w:val="20"/>
              </w:rPr>
              <w:t xml:space="preserve"> La actividad planificada como “Modelado de flujos de procesos en Bizagi (BPMN 2.0)” para la Sección 4 del DAS fue reformulada técnicamente a “Elaboración de Diagramas de Actividades bajo estándar formal UML”.</w:t>
            </w:r>
          </w:p>
          <w:p w14:paraId="2E7684C8" w14:textId="77777777" w:rsidR="00FF6EEE" w:rsidRDefault="00000000">
            <w:pPr>
              <w:numPr>
                <w:ilvl w:val="0"/>
                <w:numId w:val="6"/>
              </w:numPr>
              <w:spacing w:after="240" w:line="276" w:lineRule="auto"/>
              <w:jc w:val="both"/>
              <w:rPr>
                <w:i/>
                <w:iCs/>
                <w:sz w:val="20"/>
                <w:szCs w:val="20"/>
              </w:rPr>
            </w:pPr>
            <w:r>
              <w:rPr>
                <w:b/>
                <w:bCs/>
                <w:i/>
                <w:iCs/>
                <w:sz w:val="20"/>
                <w:szCs w:val="20"/>
              </w:rPr>
              <w:t>Justificación técnica:</w:t>
            </w:r>
            <w:r>
              <w:rPr>
                <w:i/>
                <w:iCs/>
                <w:sz w:val="20"/>
                <w:szCs w:val="20"/>
              </w:rPr>
              <w:t xml:space="preserve"> Tras la retroalimentación docente, se determinó que la notación BPMN —si bien resultaba efectiva para documentar la dinámica operacional del CESFAM— no cumplía estrictamente con los criterios de modelado de software orientado a objetos requeridos para el Documento de Arquitectura de Software. El ajuste permitió reutilizar toda la lógica operacional levantada (actores, bifurcaciones de validación y reglas de negocio), adaptando su representación visual mediante swimlanes de usuario y sistema, rectángulos redondeados de acción, guardas explícitas [Condición] y nodos terminales estándar de UML.</w:t>
            </w:r>
          </w:p>
          <w:p w14:paraId="13D0B737" w14:textId="77777777" w:rsidR="00FF6EEE" w:rsidRDefault="00000000">
            <w:pPr>
              <w:spacing w:line="276" w:lineRule="auto"/>
              <w:jc w:val="both"/>
              <w:rPr>
                <w:sz w:val="20"/>
                <w:szCs w:val="20"/>
              </w:rPr>
            </w:pPr>
            <w:r>
              <w:rPr>
                <w:sz w:val="20"/>
                <w:szCs w:val="20"/>
              </w:rPr>
              <w:t>2. Actividad Ajustada: Consolidación y Normalización del Catálogo de Casos de Uso</w:t>
            </w:r>
          </w:p>
          <w:p w14:paraId="49116231" w14:textId="77777777" w:rsidR="00FF6EEE" w:rsidRDefault="00000000">
            <w:pPr>
              <w:numPr>
                <w:ilvl w:val="0"/>
                <w:numId w:val="9"/>
              </w:numPr>
              <w:spacing w:after="0" w:line="276" w:lineRule="auto"/>
              <w:jc w:val="both"/>
              <w:rPr>
                <w:i/>
                <w:iCs/>
                <w:sz w:val="20"/>
                <w:szCs w:val="20"/>
              </w:rPr>
            </w:pPr>
            <w:r>
              <w:rPr>
                <w:b/>
                <w:bCs/>
                <w:i/>
                <w:iCs/>
                <w:sz w:val="20"/>
                <w:szCs w:val="20"/>
              </w:rPr>
              <w:t>Descripción del ajuste:</w:t>
            </w:r>
            <w:r>
              <w:rPr>
                <w:i/>
                <w:iCs/>
                <w:sz w:val="20"/>
                <w:szCs w:val="20"/>
              </w:rPr>
              <w:t xml:space="preserve"> Se modificó la granularidad de la actividad de especificación de requerimientos, pasando de documentar casos de uso atómicos e independientes para cada operación básica (crear, buscar, modificar y eliminar) a una estructura normalizada de nivel de gestión (“Administrar / Gestionar”).</w:t>
            </w:r>
          </w:p>
          <w:p w14:paraId="3AF0C7E5" w14:textId="77777777" w:rsidR="00FF6EEE" w:rsidRDefault="00000000">
            <w:pPr>
              <w:numPr>
                <w:ilvl w:val="0"/>
                <w:numId w:val="9"/>
              </w:numPr>
              <w:spacing w:after="240" w:line="276" w:lineRule="auto"/>
              <w:jc w:val="both"/>
              <w:rPr>
                <w:i/>
                <w:iCs/>
                <w:sz w:val="20"/>
                <w:szCs w:val="20"/>
              </w:rPr>
            </w:pPr>
            <w:r>
              <w:rPr>
                <w:b/>
                <w:bCs/>
                <w:i/>
                <w:iCs/>
                <w:sz w:val="20"/>
                <w:szCs w:val="20"/>
              </w:rPr>
              <w:lastRenderedPageBreak/>
              <w:t>Justificación técnica:</w:t>
            </w:r>
            <w:r>
              <w:rPr>
                <w:i/>
                <w:iCs/>
                <w:sz w:val="20"/>
                <w:szCs w:val="20"/>
              </w:rPr>
              <w:t xml:space="preserve"> Modelar cada operación elemental de mantención (CRUD) como un caso de uso aislado dispersaba el alcance del sistema en más de 20 artefactos individuales. El ajuste permitió consolidar los módulos maestros en </w:t>
            </w:r>
            <w:r>
              <w:rPr>
                <w:b/>
                <w:bCs/>
                <w:i/>
                <w:iCs/>
                <w:sz w:val="20"/>
                <w:szCs w:val="20"/>
              </w:rPr>
              <w:t>CU-002: Administrar Paciente</w:t>
            </w:r>
            <w:r>
              <w:rPr>
                <w:i/>
                <w:iCs/>
                <w:sz w:val="20"/>
                <w:szCs w:val="20"/>
              </w:rPr>
              <w:t xml:space="preserve">, </w:t>
            </w:r>
            <w:r>
              <w:rPr>
                <w:b/>
                <w:bCs/>
                <w:i/>
                <w:iCs/>
                <w:sz w:val="20"/>
                <w:szCs w:val="20"/>
              </w:rPr>
              <w:t>CU-011: Configurar Umbrales de Stock</w:t>
            </w:r>
            <w:r>
              <w:rPr>
                <w:i/>
                <w:iCs/>
                <w:sz w:val="20"/>
                <w:szCs w:val="20"/>
              </w:rPr>
              <w:t xml:space="preserve"> y </w:t>
            </w:r>
            <w:r>
              <w:rPr>
                <w:b/>
                <w:bCs/>
                <w:i/>
                <w:iCs/>
                <w:sz w:val="20"/>
                <w:szCs w:val="20"/>
              </w:rPr>
              <w:t>CU-013: Gestionar Catálogo de Medicamentos</w:t>
            </w:r>
            <w:r>
              <w:rPr>
                <w:i/>
                <w:iCs/>
                <w:sz w:val="20"/>
                <w:szCs w:val="20"/>
              </w:rPr>
              <w:t>. Esto garantiza un catálogo conciso de 14 Casos de Uso principales, delegando la secuencia de cada operación elemental a los diagramas procedimentales correspondientes y facilitando la trazabilidad documental.</w:t>
            </w:r>
          </w:p>
          <w:p w14:paraId="42316AB7" w14:textId="77777777" w:rsidR="00FF6EEE" w:rsidRDefault="00FF6EEE">
            <w:pPr>
              <w:spacing w:after="240" w:line="276" w:lineRule="auto"/>
              <w:ind w:left="720"/>
              <w:jc w:val="both"/>
              <w:rPr>
                <w:i/>
                <w:iCs/>
                <w:sz w:val="20"/>
                <w:szCs w:val="20"/>
              </w:rPr>
            </w:pPr>
          </w:p>
          <w:p w14:paraId="7CD7D61A" w14:textId="77777777" w:rsidR="00FF6EEE" w:rsidRDefault="00000000">
            <w:pPr>
              <w:spacing w:line="276" w:lineRule="auto"/>
              <w:jc w:val="both"/>
              <w:rPr>
                <w:sz w:val="20"/>
                <w:szCs w:val="20"/>
              </w:rPr>
            </w:pPr>
            <w:r>
              <w:rPr>
                <w:sz w:val="20"/>
                <w:szCs w:val="20"/>
              </w:rPr>
              <w:t>3. Actividad Ajustada / Delimitada: Acotación del Alcance del DAS hasta la Sección 5 (Vista Lógica)</w:t>
            </w:r>
          </w:p>
          <w:p w14:paraId="7F3DABA9" w14:textId="77777777" w:rsidR="00FF6EEE" w:rsidRDefault="00000000">
            <w:pPr>
              <w:numPr>
                <w:ilvl w:val="0"/>
                <w:numId w:val="1"/>
              </w:numPr>
              <w:spacing w:after="0" w:line="276" w:lineRule="auto"/>
              <w:jc w:val="both"/>
              <w:rPr>
                <w:i/>
                <w:iCs/>
                <w:sz w:val="20"/>
                <w:szCs w:val="20"/>
              </w:rPr>
            </w:pPr>
            <w:r>
              <w:rPr>
                <w:b/>
                <w:bCs/>
                <w:i/>
                <w:iCs/>
                <w:sz w:val="20"/>
                <w:szCs w:val="20"/>
              </w:rPr>
              <w:t>Descripción del ajuste:</w:t>
            </w:r>
            <w:r>
              <w:rPr>
                <w:i/>
                <w:iCs/>
                <w:sz w:val="20"/>
                <w:szCs w:val="20"/>
              </w:rPr>
              <w:t xml:space="preserve"> Se pausó la elaboración anticipada de las secciones avanzadas de la arquitectura (Sección 6: Vista de Despliegue, Sección 7: Vista de Desarrollo y Sección 8: Decisiones de Diseño), centrando el esfuerzo exclusivamente en el cierre riguroso hasta la Sección 5 (Clases, Diccionario de Datos Relacional y Diagramas de Secuencia).</w:t>
            </w:r>
          </w:p>
          <w:p w14:paraId="7BEF7B49" w14:textId="77777777" w:rsidR="00FF6EEE" w:rsidRDefault="00000000">
            <w:pPr>
              <w:numPr>
                <w:ilvl w:val="0"/>
                <w:numId w:val="1"/>
              </w:numPr>
              <w:spacing w:after="240" w:line="276" w:lineRule="auto"/>
              <w:jc w:val="both"/>
              <w:rPr>
                <w:i/>
                <w:iCs/>
                <w:sz w:val="20"/>
                <w:szCs w:val="20"/>
              </w:rPr>
            </w:pPr>
            <w:r>
              <w:rPr>
                <w:b/>
                <w:bCs/>
                <w:i/>
                <w:iCs/>
                <w:sz w:val="20"/>
                <w:szCs w:val="20"/>
              </w:rPr>
              <w:t>Justificación técnica:</w:t>
            </w:r>
            <w:r>
              <w:rPr>
                <w:i/>
                <w:iCs/>
                <w:sz w:val="20"/>
                <w:szCs w:val="20"/>
              </w:rPr>
              <w:t xml:space="preserve"> Esta delimitación respondió directamente a la pauta de evaluación del hito actual, evitando la dispersión de esfuerzos en infraestructura física antes de que las entidades del dominio, la integridad transaccional de mesón y la base de datos estuviesen plenamente normalizadas y validadas por el equipo.</w:t>
            </w:r>
          </w:p>
          <w:p w14:paraId="2D599A54" w14:textId="77777777" w:rsidR="00FF6EEE" w:rsidRDefault="00000000">
            <w:pPr>
              <w:spacing w:line="276" w:lineRule="auto"/>
              <w:jc w:val="both"/>
              <w:rPr>
                <w:sz w:val="20"/>
                <w:szCs w:val="20"/>
              </w:rPr>
            </w:pPr>
            <w:r>
              <w:rPr>
                <w:sz w:val="20"/>
                <w:szCs w:val="20"/>
              </w:rPr>
              <w:t>4. Actividades Eliminadas: Ninguna actividad eliminada</w:t>
            </w:r>
          </w:p>
          <w:p w14:paraId="61825743" w14:textId="77777777" w:rsidR="00FF6EEE" w:rsidRDefault="00000000">
            <w:pPr>
              <w:numPr>
                <w:ilvl w:val="0"/>
                <w:numId w:val="8"/>
              </w:numPr>
              <w:spacing w:after="240" w:line="276" w:lineRule="auto"/>
              <w:jc w:val="both"/>
              <w:rPr>
                <w:i/>
                <w:iCs/>
                <w:sz w:val="20"/>
                <w:szCs w:val="20"/>
              </w:rPr>
            </w:pPr>
            <w:r>
              <w:rPr>
                <w:b/>
                <w:bCs/>
                <w:i/>
                <w:iCs/>
                <w:sz w:val="20"/>
                <w:szCs w:val="20"/>
              </w:rPr>
              <w:t>Justificación:</w:t>
            </w:r>
            <w:r>
              <w:rPr>
                <w:i/>
                <w:iCs/>
                <w:sz w:val="20"/>
                <w:szCs w:val="20"/>
              </w:rPr>
              <w:t xml:space="preserve"> No se eliminaron actividades nucleares del plan de trabajo, ya que todos los objetivos definidos inicialmente —análisis de requerimientos de APS, modelado dinámico y diseño arquitectónico— continúan siendo esenciales para la construcción de FarmaStock Assist. Los cambios ejecutados corresponden a </w:t>
            </w:r>
            <w:r>
              <w:rPr>
                <w:b/>
                <w:bCs/>
                <w:i/>
                <w:iCs/>
                <w:sz w:val="20"/>
                <w:szCs w:val="20"/>
              </w:rPr>
              <w:t>reformulaciones de notación, agrupación de artefactos y ordenamiento de entregas</w:t>
            </w:r>
            <w:r>
              <w:rPr>
                <w:i/>
                <w:iCs/>
                <w:sz w:val="20"/>
                <w:szCs w:val="20"/>
              </w:rPr>
              <w:t>, asegurando que el 100% de la funcionalidad diseñada se mantenga vigente para la fase de construcción.</w:t>
            </w:r>
          </w:p>
        </w:tc>
      </w:tr>
    </w:tbl>
    <w:p w14:paraId="1000BD82" w14:textId="77777777" w:rsidR="00FF6EEE" w:rsidRDefault="00FF6EEE">
      <w:pPr>
        <w:spacing w:after="0" w:line="240" w:lineRule="auto"/>
        <w:jc w:val="both"/>
        <w:rPr>
          <w:i/>
          <w:iCs/>
          <w:color w:val="548DD4"/>
          <w:sz w:val="20"/>
          <w:szCs w:val="20"/>
        </w:rPr>
      </w:pPr>
    </w:p>
    <w:p w14:paraId="0772E15F" w14:textId="77777777" w:rsidR="00FF6EEE" w:rsidRDefault="00FF6EEE">
      <w:pPr>
        <w:spacing w:after="0" w:line="240" w:lineRule="auto"/>
        <w:jc w:val="both"/>
        <w:rPr>
          <w:i/>
          <w:iCs/>
          <w:color w:val="548DD4"/>
          <w:sz w:val="20"/>
          <w:szCs w:val="20"/>
        </w:rPr>
      </w:pPr>
    </w:p>
    <w:tbl>
      <w:tblPr>
        <w:tblStyle w:val="a5"/>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F6EEE" w14:paraId="298B96A4" w14:textId="77777777">
        <w:trPr>
          <w:trHeight w:val="1966"/>
        </w:trPr>
        <w:tc>
          <w:tcPr>
            <w:tcW w:w="9498" w:type="dxa"/>
            <w:vAlign w:val="center"/>
          </w:tcPr>
          <w:p w14:paraId="5D3CB561" w14:textId="77777777" w:rsidR="00FF6EEE" w:rsidRDefault="00000000">
            <w:pPr>
              <w:spacing w:after="0" w:line="276" w:lineRule="auto"/>
              <w:jc w:val="both"/>
              <w:rPr>
                <w:i/>
                <w:iCs/>
                <w:sz w:val="20"/>
                <w:szCs w:val="20"/>
              </w:rPr>
            </w:pPr>
            <w:r>
              <w:rPr>
                <w:i/>
                <w:iCs/>
                <w:sz w:val="20"/>
                <w:szCs w:val="20"/>
              </w:rPr>
              <w:t>El equipo de desarrollo se encuentra al día en relación con el Proyecto APT "FarmaStock Assist".</w:t>
            </w:r>
          </w:p>
          <w:p w14:paraId="7D072918" w14:textId="77777777" w:rsidR="00FF6EEE" w:rsidRDefault="00000000">
            <w:pPr>
              <w:spacing w:after="0" w:line="276" w:lineRule="auto"/>
              <w:jc w:val="both"/>
              <w:rPr>
                <w:i/>
                <w:iCs/>
                <w:sz w:val="20"/>
                <w:szCs w:val="20"/>
              </w:rPr>
            </w:pPr>
            <w:r>
              <w:rPr>
                <w:i/>
                <w:iCs/>
                <w:sz w:val="20"/>
                <w:szCs w:val="20"/>
              </w:rPr>
              <w:t>A continuación, se formaliza el estado de las actividades conforme al cronograma de entrega:</w:t>
            </w:r>
          </w:p>
          <w:p w14:paraId="16C07C47" w14:textId="77777777" w:rsidR="00FF6EEE" w:rsidRDefault="00000000">
            <w:pPr>
              <w:spacing w:after="0" w:line="276" w:lineRule="auto"/>
              <w:jc w:val="both"/>
              <w:rPr>
                <w:i/>
                <w:iCs/>
                <w:sz w:val="20"/>
                <w:szCs w:val="20"/>
              </w:rPr>
            </w:pPr>
            <w:r>
              <w:rPr>
                <w:sz w:val="20"/>
                <w:szCs w:val="20"/>
              </w:rPr>
              <w:t>1. se han entregado toda documentación solicitada por el docente hasta la fecha (05-10-2026)</w:t>
            </w:r>
          </w:p>
          <w:p w14:paraId="716C5B53" w14:textId="77777777" w:rsidR="00FF6EEE" w:rsidRDefault="00000000">
            <w:pPr>
              <w:spacing w:line="276" w:lineRule="auto"/>
              <w:jc w:val="both"/>
              <w:rPr>
                <w:sz w:val="20"/>
                <w:szCs w:val="20"/>
              </w:rPr>
            </w:pPr>
            <w:r>
              <w:rPr>
                <w:sz w:val="20"/>
                <w:szCs w:val="20"/>
              </w:rPr>
              <w:t>2. Declaración de Cumplimiento</w:t>
            </w:r>
          </w:p>
          <w:p w14:paraId="64F86D72" w14:textId="77777777" w:rsidR="00FF6EEE" w:rsidRDefault="00000000">
            <w:pPr>
              <w:spacing w:after="240" w:line="276" w:lineRule="auto"/>
              <w:jc w:val="both"/>
              <w:rPr>
                <w:i/>
                <w:iCs/>
                <w:color w:val="548DD4"/>
                <w:sz w:val="20"/>
                <w:szCs w:val="20"/>
              </w:rPr>
            </w:pPr>
            <w:r>
              <w:rPr>
                <w:i/>
                <w:iCs/>
                <w:sz w:val="20"/>
                <w:szCs w:val="20"/>
              </w:rPr>
              <w:t>"A la fecha del presente informe, no existen desviaciones críticas en los plazos ni desalineaciones de alcance que comprometan la entrega final del Documento de Arquitectura de Software fijada para el 05 de octubre. Las actividades ejecutadas satisfacen íntegramente los objetivos específicos programados para este hito, garantizando la consistencia y la trazabilidad metodológica del proyecto".</w:t>
            </w:r>
          </w:p>
        </w:tc>
      </w:tr>
    </w:tbl>
    <w:p w14:paraId="6B1EDE74" w14:textId="77777777" w:rsidR="00FF6EEE" w:rsidRDefault="00FF6EEE"/>
    <w:sectPr w:rsidR="00FF6EEE">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B9833" w14:textId="77777777" w:rsidR="00602839" w:rsidRDefault="00602839">
      <w:pPr>
        <w:spacing w:after="0" w:line="240" w:lineRule="auto"/>
      </w:pPr>
      <w:r>
        <w:separator/>
      </w:r>
    </w:p>
  </w:endnote>
  <w:endnote w:type="continuationSeparator" w:id="0">
    <w:p w14:paraId="1147D736" w14:textId="77777777" w:rsidR="00602839" w:rsidRDefault="00602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1F59474-1F29-4534-931A-D7B3830479C9}"/>
    <w:embedBold r:id="rId2" w:fontKey="{2F9D2400-6F9F-412F-B468-9122392415ED}"/>
    <w:embedItalic r:id="rId3" w:fontKey="{5BB7227C-DC71-438A-96D8-F4C4FA9152C7}"/>
    <w:embedBoldItalic r:id="rId4" w:fontKey="{4187111F-E876-41A1-9C95-9C169F0834C4}"/>
  </w:font>
  <w:font w:name="Calibri Light">
    <w:panose1 w:val="020F0302020204030204"/>
    <w:charset w:val="00"/>
    <w:family w:val="swiss"/>
    <w:pitch w:val="variable"/>
    <w:sig w:usb0="E4002EFF" w:usb1="C200247B" w:usb2="00000009" w:usb3="00000000" w:csb0="000001FF" w:csb1="00000000"/>
    <w:embedRegular r:id="rId5" w:fontKey="{32ADB360-D02B-42B2-9204-9605604FC26E}"/>
  </w:font>
  <w:font w:name="Segoe UI">
    <w:panose1 w:val="020B0502040204020203"/>
    <w:charset w:val="00"/>
    <w:family w:val="swiss"/>
    <w:pitch w:val="variable"/>
    <w:sig w:usb0="E4002EFF" w:usb1="C000E47F" w:usb2="00000009" w:usb3="00000000" w:csb0="000001FF" w:csb1="00000000"/>
    <w:embedRegular r:id="rId6" w:fontKey="{7F3C2EB7-C099-481F-B1E4-0ADA1F339654}"/>
  </w:font>
  <w:font w:name="Georgia">
    <w:panose1 w:val="02040502050405020303"/>
    <w:charset w:val="00"/>
    <w:family w:val="roman"/>
    <w:pitch w:val="variable"/>
    <w:sig w:usb0="00000287" w:usb1="00000000" w:usb2="00000000" w:usb3="00000000" w:csb0="0000009F" w:csb1="00000000"/>
    <w:embedItalic r:id="rId7" w:fontKey="{1E8142F3-E19E-4E9F-B747-2CDF0F7014DC}"/>
  </w:font>
  <w:font w:name="Cambria Math">
    <w:panose1 w:val="02040503050406030204"/>
    <w:charset w:val="00"/>
    <w:family w:val="roman"/>
    <w:pitch w:val="variable"/>
    <w:sig w:usb0="E00006FF" w:usb1="420024FF" w:usb2="02000000" w:usb3="00000000" w:csb0="0000019F" w:csb1="00000000"/>
    <w:embedItalic r:id="rId8" w:fontKey="{B02748A5-EB55-42E3-BE55-5E61A56C1F4F}"/>
  </w:font>
  <w:font w:name="Century Gothic">
    <w:panose1 w:val="020B0502020202020204"/>
    <w:charset w:val="00"/>
    <w:family w:val="swiss"/>
    <w:pitch w:val="variable"/>
    <w:sig w:usb0="00000287" w:usb1="00000000" w:usb2="00000000" w:usb3="00000000" w:csb0="0000009F" w:csb1="00000000"/>
    <w:embedBold r:id="rId9" w:fontKey="{F6C15390-D68F-4FB8-B25F-92BD62380C3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BD169" w14:textId="77777777" w:rsidR="00602839" w:rsidRDefault="00602839">
      <w:pPr>
        <w:spacing w:after="0" w:line="240" w:lineRule="auto"/>
      </w:pPr>
      <w:r>
        <w:separator/>
      </w:r>
    </w:p>
  </w:footnote>
  <w:footnote w:type="continuationSeparator" w:id="0">
    <w:p w14:paraId="6B610513" w14:textId="77777777" w:rsidR="00602839" w:rsidRDefault="006028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0A1ED" w14:textId="77777777" w:rsidR="00FF6EEE" w:rsidRDefault="00FF6EEE">
    <w:pPr>
      <w:widowControl w:val="0"/>
      <w:pBdr>
        <w:top w:val="nil"/>
        <w:left w:val="nil"/>
        <w:bottom w:val="nil"/>
        <w:right w:val="nil"/>
        <w:between w:val="nil"/>
      </w:pBdr>
      <w:spacing w:after="0" w:line="276" w:lineRule="auto"/>
      <w:rPr>
        <w:color w:val="595959"/>
        <w:sz w:val="20"/>
        <w:szCs w:val="20"/>
      </w:rPr>
    </w:pPr>
  </w:p>
  <w:tbl>
    <w:tblPr>
      <w:tblStyle w:val="a6"/>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FF6EEE" w14:paraId="00DB1FE1" w14:textId="77777777">
      <w:trPr>
        <w:trHeight w:val="697"/>
      </w:trPr>
      <w:tc>
        <w:tcPr>
          <w:tcW w:w="5954" w:type="dxa"/>
          <w:tcBorders>
            <w:top w:val="nil"/>
            <w:left w:val="nil"/>
            <w:bottom w:val="nil"/>
            <w:right w:val="nil"/>
          </w:tcBorders>
        </w:tcPr>
        <w:p w14:paraId="3690EE45" w14:textId="77777777" w:rsidR="00FF6EEE"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Desarrollo Proyecto APT </w:t>
          </w:r>
        </w:p>
        <w:p w14:paraId="7111A4F4" w14:textId="77777777" w:rsidR="00FF6EEE"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4CF22751" w14:textId="77777777" w:rsidR="00FF6EEE" w:rsidRDefault="00000000">
          <w:pPr>
            <w:jc w:val="center"/>
            <w:rPr>
              <w:rFonts w:ascii="Century Gothic" w:eastAsia="Century Gothic" w:hAnsi="Century Gothic" w:cs="Century Gothic"/>
              <w:b/>
              <w:bCs/>
              <w:sz w:val="30"/>
              <w:szCs w:val="30"/>
            </w:rPr>
          </w:pPr>
          <w:r>
            <w:rPr>
              <w:noProof/>
            </w:rPr>
            <w:drawing>
              <wp:inline distT="0" distB="0" distL="0" distR="0" wp14:anchorId="2652DCEB" wp14:editId="53F1E35C">
                <wp:extent cx="1996440" cy="428625"/>
                <wp:effectExtent l="0" t="0" r="0" b="0"/>
                <wp:docPr id="29" name="image2.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2.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716298DB" w14:textId="77777777" w:rsidR="00FF6EEE" w:rsidRDefault="00FF6EEE">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C1625"/>
    <w:multiLevelType w:val="multilevel"/>
    <w:tmpl w:val="6C8A569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D84113"/>
    <w:multiLevelType w:val="multilevel"/>
    <w:tmpl w:val="7BDC296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BD2115"/>
    <w:multiLevelType w:val="multilevel"/>
    <w:tmpl w:val="DBE0D6F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C475A0"/>
    <w:multiLevelType w:val="multilevel"/>
    <w:tmpl w:val="ED0440E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1248D3"/>
    <w:multiLevelType w:val="multilevel"/>
    <w:tmpl w:val="32FEB0F8"/>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5B3730E"/>
    <w:multiLevelType w:val="multilevel"/>
    <w:tmpl w:val="6622BAE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09F4894"/>
    <w:multiLevelType w:val="multilevel"/>
    <w:tmpl w:val="599C253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94341E3"/>
    <w:multiLevelType w:val="multilevel"/>
    <w:tmpl w:val="BD76EAE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ACC0211"/>
    <w:multiLevelType w:val="multilevel"/>
    <w:tmpl w:val="E0FCB45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9BB7B47"/>
    <w:multiLevelType w:val="multilevel"/>
    <w:tmpl w:val="4FBE9B8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7A42684"/>
    <w:multiLevelType w:val="multilevel"/>
    <w:tmpl w:val="9CF4A84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94547572">
    <w:abstractNumId w:val="3"/>
  </w:num>
  <w:num w:numId="2" w16cid:durableId="1222445632">
    <w:abstractNumId w:val="5"/>
  </w:num>
  <w:num w:numId="3" w16cid:durableId="69739930">
    <w:abstractNumId w:val="7"/>
  </w:num>
  <w:num w:numId="4" w16cid:durableId="1387490894">
    <w:abstractNumId w:val="4"/>
  </w:num>
  <w:num w:numId="5" w16cid:durableId="597712518">
    <w:abstractNumId w:val="6"/>
  </w:num>
  <w:num w:numId="6" w16cid:durableId="2064789923">
    <w:abstractNumId w:val="9"/>
  </w:num>
  <w:num w:numId="7" w16cid:durableId="1457479897">
    <w:abstractNumId w:val="10"/>
  </w:num>
  <w:num w:numId="8" w16cid:durableId="1069619434">
    <w:abstractNumId w:val="1"/>
  </w:num>
  <w:num w:numId="9" w16cid:durableId="121117961">
    <w:abstractNumId w:val="2"/>
  </w:num>
  <w:num w:numId="10" w16cid:durableId="586110773">
    <w:abstractNumId w:val="8"/>
  </w:num>
  <w:num w:numId="11" w16cid:durableId="1797868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EEE"/>
    <w:rsid w:val="0033629F"/>
    <w:rsid w:val="0037776C"/>
    <w:rsid w:val="005C0DDF"/>
    <w:rsid w:val="00602839"/>
    <w:rsid w:val="006A6F8E"/>
    <w:rsid w:val="00A77854"/>
    <w:rsid w:val="00B66FC8"/>
    <w:rsid w:val="00FF6EE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FEB32"/>
  <w15:docId w15:val="{F3702DB8-8EF9-4917-9C28-465F56E7D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OYHd3jki2xvEsgexrTvVGBHrPA==">CgMxLjAaHwoBMBIaChgICVIUChJ0YWJsZS56NmEwb3E1aDMzYXUyDmguejRpNTY1cXAxd29pOAByITF5V3JoTElCMnZyWmN3TWlQWk5IR0ZXY2VMZ1hyLXpmdw==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2983</Words>
  <Characters>16410</Characters>
  <Application>Microsoft Office Word</Application>
  <DocSecurity>0</DocSecurity>
  <Lines>136</Lines>
  <Paragraphs>38</Paragraphs>
  <ScaleCrop>false</ScaleCrop>
  <Company/>
  <LinksUpToDate>false</LinksUpToDate>
  <CharactersWithSpaces>19355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Jeanette Leonelli</cp:lastModifiedBy>
  <cp:revision>4</cp:revision>
  <dcterms:created xsi:type="dcterms:W3CDTF">2022-08-24T18:14:00Z</dcterms:created>
  <dcterms:modified xsi:type="dcterms:W3CDTF">2026-10-22T17:26:00Z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