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4BDDEE50" w14:textId="77777777" w:rsidR="00E61E68" w:rsidRDefault="00E61E68"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1D00DA57" w14:textId="77777777" w:rsidR="00E61E68" w:rsidRPr="005C5A3A" w:rsidRDefault="00E61E68" w:rsidP="00E61E68">
            <w:pPr>
              <w:jc w:val="both"/>
              <w:rPr>
                <w:rFonts w:ascii="Calibri" w:hAnsi="Calibri" w:cs="Arial"/>
                <w:iCs/>
                <w:sz w:val="20"/>
                <w:szCs w:val="20"/>
                <w:lang w:eastAsia="es-CL"/>
              </w:rPr>
            </w:pPr>
            <w:r w:rsidRPr="005C5A3A">
              <w:rPr>
                <w:rFonts w:ascii="Calibri" w:hAnsi="Calibri" w:cs="Arial"/>
                <w:iCs/>
                <w:sz w:val="20"/>
                <w:szCs w:val="20"/>
                <w:lang w:eastAsia="es-CL"/>
              </w:rPr>
              <w:t>Para esta sección, dividiremos el contenido en dos fases consecutivas de planificación:</w:t>
            </w:r>
          </w:p>
          <w:p w14:paraId="44C4F6CD" w14:textId="08F308B4" w:rsidR="00E61E68" w:rsidRPr="005C5A3A" w:rsidRDefault="00E61E68" w:rsidP="00E61E68">
            <w:pPr>
              <w:numPr>
                <w:ilvl w:val="0"/>
                <w:numId w:val="2"/>
              </w:numPr>
              <w:jc w:val="both"/>
              <w:rPr>
                <w:rFonts w:ascii="Calibri" w:hAnsi="Calibri" w:cs="Arial"/>
                <w:iCs/>
                <w:sz w:val="20"/>
                <w:szCs w:val="20"/>
                <w:lang w:eastAsia="es-CL"/>
              </w:rPr>
            </w:pPr>
            <w:r w:rsidRPr="005C5A3A">
              <w:rPr>
                <w:rFonts w:ascii="Calibri" w:hAnsi="Calibri" w:cs="Arial"/>
                <w:b/>
                <w:bCs/>
                <w:iCs/>
                <w:sz w:val="20"/>
                <w:szCs w:val="20"/>
                <w:lang w:eastAsia="es-CL"/>
              </w:rPr>
              <w:t>Fase 1:</w:t>
            </w:r>
            <w:r w:rsidRPr="005C5A3A">
              <w:rPr>
                <w:rFonts w:ascii="Calibri" w:hAnsi="Calibri" w:cs="Arial"/>
                <w:iCs/>
                <w:sz w:val="20"/>
                <w:szCs w:val="20"/>
                <w:lang w:eastAsia="es-CL"/>
              </w:rPr>
              <w:t xml:space="preserve"> El equipo formalizó las bases del proyecto mediante la creación de instrumentos fundamentales de gestión y diseño, tales como la Carta Gantt, la Matriz EDT, la Planilla de Requerimientos, los Mockups y los Casos de Uso Extendidos.</w:t>
            </w:r>
          </w:p>
          <w:p w14:paraId="6C70E0C9" w14:textId="3E162376" w:rsidR="00E61E68" w:rsidRPr="005C5A3A" w:rsidRDefault="00E61E68" w:rsidP="00585A13">
            <w:pPr>
              <w:numPr>
                <w:ilvl w:val="0"/>
                <w:numId w:val="2"/>
              </w:numPr>
              <w:jc w:val="both"/>
              <w:rPr>
                <w:rFonts w:ascii="Calibri" w:hAnsi="Calibri" w:cs="Arial"/>
                <w:iCs/>
                <w:sz w:val="20"/>
                <w:szCs w:val="20"/>
                <w:lang w:eastAsia="es-CL"/>
              </w:rPr>
            </w:pPr>
            <w:r w:rsidRPr="005C5A3A">
              <w:rPr>
                <w:rFonts w:ascii="Calibri" w:hAnsi="Calibri" w:cs="Arial"/>
                <w:b/>
                <w:bCs/>
                <w:iCs/>
                <w:sz w:val="20"/>
                <w:szCs w:val="20"/>
                <w:lang w:eastAsia="es-CL"/>
              </w:rPr>
              <w:t>Fase 2:</w:t>
            </w:r>
            <w:r w:rsidRPr="005C5A3A">
              <w:rPr>
                <w:rFonts w:ascii="Calibri" w:hAnsi="Calibri" w:cs="Arial"/>
                <w:iCs/>
                <w:sz w:val="20"/>
                <w:szCs w:val="20"/>
                <w:lang w:eastAsia="es-CL"/>
              </w:rPr>
              <w:t xml:space="preserve"> Enfocada en definir la estructura técnica y el detalle funcional. En esta fase se desarrollaron el modelo To-Be, la Matriz de Riesgos, el Modelo 4+1 y, de manera central, el </w:t>
            </w:r>
            <w:r w:rsidRPr="005C5A3A">
              <w:rPr>
                <w:rFonts w:ascii="Calibri" w:hAnsi="Calibri" w:cs="Arial"/>
                <w:b/>
                <w:bCs/>
                <w:iCs/>
                <w:sz w:val="20"/>
                <w:szCs w:val="20"/>
                <w:lang w:eastAsia="es-CL"/>
              </w:rPr>
              <w:t>Documento de Arquitectura de Software (DAS)</w:t>
            </w:r>
            <w:r w:rsidRPr="005C5A3A">
              <w:rPr>
                <w:rFonts w:ascii="Calibri" w:hAnsi="Calibri" w:cs="Arial"/>
                <w:iCs/>
                <w:sz w:val="20"/>
                <w:szCs w:val="20"/>
                <w:lang w:eastAsia="es-CL"/>
              </w:rPr>
              <w:t xml:space="preserve">. Además, como ajuste respecto al alcance inicial, se determinó incluir una </w:t>
            </w:r>
            <w:r w:rsidRPr="005C5A3A">
              <w:rPr>
                <w:rFonts w:ascii="Calibri" w:hAnsi="Calibri" w:cs="Arial"/>
                <w:b/>
                <w:bCs/>
                <w:iCs/>
                <w:sz w:val="20"/>
                <w:szCs w:val="20"/>
                <w:lang w:eastAsia="es-CL"/>
              </w:rPr>
              <w:t>solución móvil</w:t>
            </w:r>
            <w:r w:rsidRPr="005C5A3A">
              <w:rPr>
                <w:rFonts w:ascii="Calibri" w:hAnsi="Calibri" w:cs="Arial"/>
                <w:iCs/>
                <w:sz w:val="20"/>
                <w:szCs w:val="20"/>
                <w:lang w:eastAsia="es-CL"/>
              </w:rPr>
              <w:t xml:space="preserve"> adicional.</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693322B4" w:rsidR="0003309E" w:rsidRPr="005C5A3A" w:rsidRDefault="00E61E68" w:rsidP="00585A13">
            <w:pPr>
              <w:jc w:val="both"/>
              <w:rPr>
                <w:rFonts w:ascii="Calibri" w:hAnsi="Calibri" w:cs="Arial"/>
                <w:b/>
                <w:iCs/>
                <w:sz w:val="20"/>
                <w:szCs w:val="20"/>
                <w:lang w:eastAsia="es-CL"/>
              </w:rPr>
            </w:pPr>
            <w:r w:rsidRPr="005C5A3A">
              <w:rPr>
                <w:rFonts w:ascii="Calibri" w:hAnsi="Calibri" w:cs="Arial"/>
                <w:iCs/>
                <w:sz w:val="20"/>
                <w:szCs w:val="20"/>
                <w:lang w:eastAsia="es-CL"/>
              </w:rPr>
              <w:t>Se considerará una solución/alternativa Mobile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2197DAD3" w:rsidR="0003309E" w:rsidRPr="005C5A3A" w:rsidRDefault="005C5A3A" w:rsidP="00585A13">
            <w:pPr>
              <w:jc w:val="both"/>
              <w:rPr>
                <w:rFonts w:ascii="Calibri" w:hAnsi="Calibri" w:cs="Arial"/>
                <w:iCs/>
                <w:sz w:val="20"/>
                <w:szCs w:val="20"/>
                <w:lang w:eastAsia="es-CL"/>
              </w:rPr>
            </w:pPr>
            <w:r w:rsidRPr="005C5A3A">
              <w:rPr>
                <w:rFonts w:ascii="Calibri" w:hAnsi="Calibri" w:cs="Arial"/>
                <w:iCs/>
                <w:sz w:val="20"/>
                <w:szCs w:val="20"/>
                <w:lang w:eastAsia="es-CL"/>
              </w:rPr>
              <w:t>El proyecto se desarrollará utilizando el modelo en Cascada (Waterfall), debido a que presenta requerimientos claramente definidos desde su inicio y un alcance limitado. Considerando su duración de 2,5 meses, este enfoque permite una planificación secuencial eficiente, facilitando el control del avance en cada fase (análisis, diseño, desarrollo, pruebas e implementación).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32CE75D5" w14:textId="77777777" w:rsidR="007D727C" w:rsidRPr="005C5A3A" w:rsidRDefault="007D727C" w:rsidP="007D727C">
            <w:pPr>
              <w:jc w:val="both"/>
              <w:rPr>
                <w:rFonts w:ascii="Calibri" w:hAnsi="Calibri" w:cs="Arial"/>
                <w:b/>
                <w:bCs/>
                <w:iCs/>
                <w:sz w:val="20"/>
                <w:szCs w:val="20"/>
                <w:lang w:eastAsia="es-CL"/>
              </w:rPr>
            </w:pPr>
            <w:r w:rsidRPr="005C5A3A">
              <w:rPr>
                <w:rFonts w:ascii="Calibri" w:hAnsi="Calibri" w:cs="Arial"/>
                <w:b/>
                <w:bCs/>
                <w:iCs/>
                <w:sz w:val="20"/>
                <w:szCs w:val="20"/>
                <w:lang w:eastAsia="es-CL"/>
              </w:rPr>
              <w:t>1. Descripción y Justificación de las Evidencias</w:t>
            </w:r>
          </w:p>
          <w:p w14:paraId="358B33A3" w14:textId="77777777" w:rsidR="007D727C" w:rsidRPr="005C5A3A" w:rsidRDefault="007D727C" w:rsidP="007D727C">
            <w:pPr>
              <w:jc w:val="both"/>
              <w:rPr>
                <w:rFonts w:ascii="Calibri" w:hAnsi="Calibri" w:cs="Arial"/>
                <w:iCs/>
                <w:sz w:val="20"/>
                <w:szCs w:val="20"/>
                <w:lang w:eastAsia="es-CL"/>
              </w:rPr>
            </w:pPr>
            <w:r w:rsidRPr="005C5A3A">
              <w:rPr>
                <w:rFonts w:ascii="Calibri" w:hAnsi="Calibri" w:cs="Arial"/>
                <w:iCs/>
                <w:sz w:val="20"/>
                <w:szCs w:val="20"/>
                <w:lang w:eastAsia="es-CL"/>
              </w:rPr>
              <w:t>Para dar cuenta del avance del proyecto y demostrar el cumplimiento de los hitos planificados, se presentan las siguientes evidencias documentales y de diseño:</w:t>
            </w:r>
          </w:p>
          <w:p w14:paraId="3848C417" w14:textId="40808B4C" w:rsidR="007D727C" w:rsidRPr="005C5A3A" w:rsidRDefault="007D727C" w:rsidP="007D727C">
            <w:pPr>
              <w:numPr>
                <w:ilvl w:val="0"/>
                <w:numId w:val="3"/>
              </w:numPr>
              <w:jc w:val="both"/>
              <w:rPr>
                <w:rFonts w:ascii="Calibri" w:hAnsi="Calibri" w:cs="Arial"/>
                <w:iCs/>
                <w:sz w:val="20"/>
                <w:szCs w:val="20"/>
                <w:lang w:eastAsia="es-CL"/>
              </w:rPr>
            </w:pPr>
            <w:r w:rsidRPr="005C5A3A">
              <w:rPr>
                <w:rFonts w:ascii="Calibri" w:hAnsi="Calibri" w:cs="Arial"/>
                <w:b/>
                <w:bCs/>
                <w:iCs/>
                <w:sz w:val="20"/>
                <w:szCs w:val="20"/>
                <w:lang w:eastAsia="es-CL"/>
              </w:rPr>
              <w:t>Evidencias (Planificación Inicial y Requerimientos):</w:t>
            </w:r>
          </w:p>
          <w:p w14:paraId="5A9771F5" w14:textId="77777777" w:rsidR="007D727C" w:rsidRPr="005C5A3A" w:rsidRDefault="007D727C" w:rsidP="007D727C">
            <w:pPr>
              <w:numPr>
                <w:ilvl w:val="1"/>
                <w:numId w:val="3"/>
              </w:numPr>
              <w:jc w:val="both"/>
              <w:rPr>
                <w:rFonts w:ascii="Calibri" w:hAnsi="Calibri" w:cs="Arial"/>
                <w:iCs/>
                <w:sz w:val="20"/>
                <w:szCs w:val="20"/>
                <w:lang w:eastAsia="es-CL"/>
              </w:rPr>
            </w:pPr>
            <w:r w:rsidRPr="005C5A3A">
              <w:rPr>
                <w:rFonts w:ascii="Calibri" w:hAnsi="Calibri" w:cs="Arial"/>
                <w:b/>
                <w:bCs/>
                <w:iCs/>
                <w:sz w:val="20"/>
                <w:szCs w:val="20"/>
                <w:lang w:eastAsia="es-CL"/>
              </w:rPr>
              <w:t>Carta Gantt y Matriz EDT:</w:t>
            </w:r>
            <w:r w:rsidRPr="005C5A3A">
              <w:rPr>
                <w:rFonts w:ascii="Calibri" w:hAnsi="Calibri" w:cs="Arial"/>
                <w:iCs/>
                <w:sz w:val="20"/>
                <w:szCs w:val="20"/>
                <w:lang w:eastAsia="es-CL"/>
              </w:rPr>
              <w:t xml:space="preserve"> Permiten demostrar la correcta organización, distribución de tareas y control del cronograma de trabajo del equipo.</w:t>
            </w:r>
          </w:p>
          <w:p w14:paraId="7EFBA868" w14:textId="77777777" w:rsidR="007D727C" w:rsidRPr="005C5A3A" w:rsidRDefault="007D727C" w:rsidP="007D727C">
            <w:pPr>
              <w:numPr>
                <w:ilvl w:val="1"/>
                <w:numId w:val="3"/>
              </w:numPr>
              <w:jc w:val="both"/>
              <w:rPr>
                <w:rFonts w:ascii="Calibri" w:hAnsi="Calibri" w:cs="Arial"/>
                <w:iCs/>
                <w:sz w:val="20"/>
                <w:szCs w:val="20"/>
                <w:lang w:eastAsia="es-CL"/>
              </w:rPr>
            </w:pPr>
            <w:r w:rsidRPr="005C5A3A">
              <w:rPr>
                <w:rFonts w:ascii="Calibri" w:hAnsi="Calibri" w:cs="Arial"/>
                <w:b/>
                <w:bCs/>
                <w:iCs/>
                <w:sz w:val="20"/>
                <w:szCs w:val="20"/>
                <w:lang w:eastAsia="es-CL"/>
              </w:rPr>
              <w:t>Planilla de Requerimientos y Casos de Uso Extendidos:</w:t>
            </w:r>
            <w:r w:rsidRPr="005C5A3A">
              <w:rPr>
                <w:rFonts w:ascii="Calibri" w:hAnsi="Calibri" w:cs="Arial"/>
                <w:iCs/>
                <w:sz w:val="20"/>
                <w:szCs w:val="20"/>
                <w:lang w:eastAsia="es-CL"/>
              </w:rPr>
              <w:t xml:space="preserve"> Acreditan la identificación formal de las necesidades funcionales y no funcionales del sistema, sirviendo como base operativa para el diseño.</w:t>
            </w:r>
          </w:p>
          <w:p w14:paraId="177886E9" w14:textId="77777777" w:rsidR="007D727C" w:rsidRPr="005C5A3A" w:rsidRDefault="007D727C" w:rsidP="007D727C">
            <w:pPr>
              <w:numPr>
                <w:ilvl w:val="1"/>
                <w:numId w:val="3"/>
              </w:numPr>
              <w:jc w:val="both"/>
              <w:rPr>
                <w:rFonts w:ascii="Calibri" w:hAnsi="Calibri" w:cs="Arial"/>
                <w:iCs/>
                <w:sz w:val="20"/>
                <w:szCs w:val="20"/>
                <w:lang w:eastAsia="es-CL"/>
              </w:rPr>
            </w:pPr>
            <w:r w:rsidRPr="005C5A3A">
              <w:rPr>
                <w:rFonts w:ascii="Calibri" w:hAnsi="Calibri" w:cs="Arial"/>
                <w:b/>
                <w:bCs/>
                <w:iCs/>
                <w:sz w:val="20"/>
                <w:szCs w:val="20"/>
                <w:lang w:eastAsia="es-CL"/>
              </w:rPr>
              <w:t>Mockups:</w:t>
            </w:r>
            <w:r w:rsidRPr="005C5A3A">
              <w:rPr>
                <w:rFonts w:ascii="Calibri" w:hAnsi="Calibri" w:cs="Arial"/>
                <w:iCs/>
                <w:sz w:val="20"/>
                <w:szCs w:val="20"/>
                <w:lang w:eastAsia="es-CL"/>
              </w:rPr>
              <w:t xml:space="preserve"> Muestran el avance en la definición de la interfaz de usuario y la experiencia de interacción inicial.</w:t>
            </w:r>
          </w:p>
          <w:p w14:paraId="05DC4621" w14:textId="5C6D3F92" w:rsidR="007D727C" w:rsidRPr="005C5A3A" w:rsidRDefault="007D727C" w:rsidP="007D727C">
            <w:pPr>
              <w:numPr>
                <w:ilvl w:val="0"/>
                <w:numId w:val="3"/>
              </w:numPr>
              <w:jc w:val="both"/>
              <w:rPr>
                <w:rFonts w:ascii="Calibri" w:hAnsi="Calibri" w:cs="Arial"/>
                <w:iCs/>
                <w:sz w:val="20"/>
                <w:szCs w:val="20"/>
                <w:lang w:eastAsia="es-CL"/>
              </w:rPr>
            </w:pPr>
            <w:r w:rsidRPr="005C5A3A">
              <w:rPr>
                <w:rFonts w:ascii="Calibri" w:hAnsi="Calibri" w:cs="Arial"/>
                <w:b/>
                <w:bCs/>
                <w:iCs/>
                <w:sz w:val="20"/>
                <w:szCs w:val="20"/>
                <w:lang w:eastAsia="es-CL"/>
              </w:rPr>
              <w:t>Evidencias (Arquitectura y Especificación Técnica):</w:t>
            </w:r>
          </w:p>
          <w:p w14:paraId="6E7B1D47" w14:textId="77777777" w:rsidR="007D727C" w:rsidRPr="005C5A3A" w:rsidRDefault="007D727C" w:rsidP="007D727C">
            <w:pPr>
              <w:numPr>
                <w:ilvl w:val="1"/>
                <w:numId w:val="3"/>
              </w:numPr>
              <w:jc w:val="both"/>
              <w:rPr>
                <w:rFonts w:ascii="Calibri" w:hAnsi="Calibri" w:cs="Arial"/>
                <w:iCs/>
                <w:sz w:val="20"/>
                <w:szCs w:val="20"/>
                <w:lang w:eastAsia="es-CL"/>
              </w:rPr>
            </w:pPr>
            <w:r w:rsidRPr="005C5A3A">
              <w:rPr>
                <w:rFonts w:ascii="Calibri" w:hAnsi="Calibri" w:cs="Arial"/>
                <w:b/>
                <w:bCs/>
                <w:iCs/>
                <w:sz w:val="20"/>
                <w:szCs w:val="20"/>
                <w:lang w:eastAsia="es-CL"/>
              </w:rPr>
              <w:t>Documento de Arquitectura de Software (DAS) y Modelo 4+1:</w:t>
            </w:r>
            <w:r w:rsidRPr="005C5A3A">
              <w:rPr>
                <w:rFonts w:ascii="Calibri" w:hAnsi="Calibri" w:cs="Arial"/>
                <w:iCs/>
                <w:sz w:val="20"/>
                <w:szCs w:val="20"/>
                <w:lang w:eastAsia="es-CL"/>
              </w:rPr>
              <w:t xml:space="preserve"> Constituyen la evidencia central de la estructura técnica del proyecto, respaldando las decisiones de diseño del sistema desde distintas vistas (lógica, de procesos, física, etc.).</w:t>
            </w:r>
          </w:p>
          <w:p w14:paraId="041F1CF7" w14:textId="77777777" w:rsidR="007D727C" w:rsidRPr="005C5A3A" w:rsidRDefault="007D727C" w:rsidP="007D727C">
            <w:pPr>
              <w:numPr>
                <w:ilvl w:val="1"/>
                <w:numId w:val="3"/>
              </w:numPr>
              <w:jc w:val="both"/>
              <w:rPr>
                <w:rFonts w:ascii="Calibri" w:hAnsi="Calibri" w:cs="Arial"/>
                <w:iCs/>
                <w:sz w:val="20"/>
                <w:szCs w:val="20"/>
                <w:lang w:eastAsia="es-CL"/>
              </w:rPr>
            </w:pPr>
            <w:r w:rsidRPr="005C5A3A">
              <w:rPr>
                <w:rFonts w:ascii="Calibri" w:hAnsi="Calibri" w:cs="Arial"/>
                <w:b/>
                <w:bCs/>
                <w:iCs/>
                <w:sz w:val="20"/>
                <w:szCs w:val="20"/>
                <w:lang w:eastAsia="es-CL"/>
              </w:rPr>
              <w:t>Modelo To-Be y Matriz de Riesgos:</w:t>
            </w:r>
            <w:r w:rsidRPr="005C5A3A">
              <w:rPr>
                <w:rFonts w:ascii="Calibri" w:hAnsi="Calibri" w:cs="Arial"/>
                <w:iCs/>
                <w:sz w:val="20"/>
                <w:szCs w:val="20"/>
                <w:lang w:eastAsia="es-CL"/>
              </w:rPr>
              <w:t xml:space="preserve"> Evidencian la proyección del estado final del sistema y la gestión preventiva de contingencias técnicas y operativas.</w:t>
            </w:r>
          </w:p>
          <w:p w14:paraId="38A6E00F" w14:textId="77777777" w:rsidR="007D727C" w:rsidRPr="005C5A3A" w:rsidRDefault="007D727C" w:rsidP="007D727C">
            <w:pPr>
              <w:numPr>
                <w:ilvl w:val="1"/>
                <w:numId w:val="3"/>
              </w:numPr>
              <w:jc w:val="both"/>
              <w:rPr>
                <w:rFonts w:ascii="Calibri" w:hAnsi="Calibri" w:cs="Arial"/>
                <w:iCs/>
                <w:sz w:val="20"/>
                <w:szCs w:val="20"/>
                <w:lang w:eastAsia="es-CL"/>
              </w:rPr>
            </w:pPr>
            <w:r w:rsidRPr="005C5A3A">
              <w:rPr>
                <w:rFonts w:ascii="Calibri" w:hAnsi="Calibri" w:cs="Arial"/>
                <w:b/>
                <w:bCs/>
                <w:iCs/>
                <w:sz w:val="20"/>
                <w:szCs w:val="20"/>
                <w:lang w:eastAsia="es-CL"/>
              </w:rPr>
              <w:t>Diseño/Propuesta de Solución Móvil:</w:t>
            </w:r>
            <w:r w:rsidRPr="005C5A3A">
              <w:rPr>
                <w:rFonts w:ascii="Calibri" w:hAnsi="Calibri" w:cs="Arial"/>
                <w:iCs/>
                <w:sz w:val="20"/>
                <w:szCs w:val="20"/>
                <w:lang w:eastAsia="es-CL"/>
              </w:rPr>
              <w:t xml:space="preserve"> Da cuenta de la adaptación y ampliación del alcance inicial del proyecto para responder a nuevos requerimientos del entorno.</w:t>
            </w:r>
          </w:p>
          <w:p w14:paraId="74EE7F5B" w14:textId="77777777" w:rsidR="007D727C" w:rsidRPr="005C5A3A" w:rsidRDefault="007D727C" w:rsidP="007D727C">
            <w:pPr>
              <w:jc w:val="both"/>
              <w:rPr>
                <w:rFonts w:ascii="Calibri" w:hAnsi="Calibri" w:cs="Arial"/>
                <w:iCs/>
                <w:sz w:val="20"/>
                <w:szCs w:val="20"/>
                <w:lang w:eastAsia="es-CL"/>
              </w:rPr>
            </w:pPr>
            <w:r w:rsidRPr="005C5A3A">
              <w:rPr>
                <w:rFonts w:ascii="Calibri" w:hAnsi="Calibri" w:cs="Arial"/>
                <w:b/>
                <w:bCs/>
                <w:iCs/>
                <w:sz w:val="20"/>
                <w:szCs w:val="20"/>
                <w:lang w:eastAsia="es-CL"/>
              </w:rPr>
              <w:t>Justificación:</w:t>
            </w:r>
            <w:r w:rsidRPr="005C5A3A">
              <w:rPr>
                <w:rFonts w:ascii="Calibri" w:hAnsi="Calibri" w:cs="Arial"/>
                <w:iCs/>
                <w:sz w:val="20"/>
                <w:szCs w:val="20"/>
                <w:lang w:eastAsia="es-CL"/>
              </w:rPr>
              <w:t xml:space="preserve"> En conjunto, estas evidencias justifican el avance riguroso del proyecto al mostrar la transición lógica desde la necesidad inicial hasta el diseño arquitectónico detallado, asegurando que la fase de desarrollo posterior cuente con bases sólidas e integrales.</w:t>
            </w:r>
          </w:p>
          <w:p w14:paraId="7C98B313" w14:textId="77777777" w:rsidR="007D727C" w:rsidRPr="005C5A3A" w:rsidRDefault="007D727C" w:rsidP="007D727C">
            <w:pPr>
              <w:jc w:val="both"/>
              <w:rPr>
                <w:rFonts w:ascii="Calibri" w:hAnsi="Calibri" w:cs="Arial"/>
                <w:b/>
                <w:bCs/>
                <w:iCs/>
                <w:sz w:val="20"/>
                <w:szCs w:val="20"/>
                <w:lang w:eastAsia="es-CL"/>
              </w:rPr>
            </w:pPr>
            <w:r w:rsidRPr="005C5A3A">
              <w:rPr>
                <w:rFonts w:ascii="Calibri" w:hAnsi="Calibri" w:cs="Arial"/>
                <w:b/>
                <w:bCs/>
                <w:iCs/>
                <w:sz w:val="20"/>
                <w:szCs w:val="20"/>
                <w:lang w:eastAsia="es-CL"/>
              </w:rPr>
              <w:t>2. Resguardo de la Calidad del Proyecto APT</w:t>
            </w:r>
          </w:p>
          <w:p w14:paraId="091AEB33" w14:textId="77777777" w:rsidR="007D727C" w:rsidRPr="005C5A3A" w:rsidRDefault="007D727C" w:rsidP="007D727C">
            <w:pPr>
              <w:jc w:val="both"/>
              <w:rPr>
                <w:rFonts w:ascii="Calibri" w:hAnsi="Calibri" w:cs="Arial"/>
                <w:iCs/>
                <w:sz w:val="20"/>
                <w:szCs w:val="20"/>
                <w:lang w:eastAsia="es-CL"/>
              </w:rPr>
            </w:pPr>
            <w:r w:rsidRPr="005C5A3A">
              <w:rPr>
                <w:rFonts w:ascii="Calibri" w:hAnsi="Calibri" w:cs="Arial"/>
                <w:iCs/>
                <w:sz w:val="20"/>
                <w:szCs w:val="20"/>
                <w:lang w:eastAsia="es-CL"/>
              </w:rPr>
              <w:t>La calidad del proyecto se resguardó mediante la aplicación sistemática de estándares y metodologías propias de la ingeniería de software y la gestión de proyectos:</w:t>
            </w:r>
          </w:p>
          <w:p w14:paraId="68BDAA6A" w14:textId="77777777" w:rsidR="007D727C" w:rsidRPr="005C5A3A" w:rsidRDefault="007D727C" w:rsidP="007D727C">
            <w:pPr>
              <w:numPr>
                <w:ilvl w:val="0"/>
                <w:numId w:val="4"/>
              </w:numPr>
              <w:jc w:val="both"/>
              <w:rPr>
                <w:rFonts w:ascii="Calibri" w:hAnsi="Calibri" w:cs="Arial"/>
                <w:iCs/>
                <w:sz w:val="20"/>
                <w:szCs w:val="20"/>
                <w:lang w:eastAsia="es-CL"/>
              </w:rPr>
            </w:pPr>
            <w:r w:rsidRPr="005C5A3A">
              <w:rPr>
                <w:rFonts w:ascii="Calibri" w:hAnsi="Calibri" w:cs="Arial"/>
                <w:b/>
                <w:bCs/>
                <w:iCs/>
                <w:sz w:val="20"/>
                <w:szCs w:val="20"/>
                <w:lang w:eastAsia="es-CL"/>
              </w:rPr>
              <w:t>Metodología y Estándares de Arquitectura:</w:t>
            </w:r>
            <w:r w:rsidRPr="005C5A3A">
              <w:rPr>
                <w:rFonts w:ascii="Calibri" w:hAnsi="Calibri" w:cs="Arial"/>
                <w:iCs/>
                <w:sz w:val="20"/>
                <w:szCs w:val="20"/>
                <w:lang w:eastAsia="es-CL"/>
              </w:rPr>
              <w:t xml:space="preserve"> Se utilizó el </w:t>
            </w:r>
            <w:r w:rsidRPr="005C5A3A">
              <w:rPr>
                <w:rFonts w:ascii="Calibri" w:hAnsi="Calibri" w:cs="Arial"/>
                <w:b/>
                <w:bCs/>
                <w:iCs/>
                <w:sz w:val="20"/>
                <w:szCs w:val="20"/>
                <w:lang w:eastAsia="es-CL"/>
              </w:rPr>
              <w:t>Modelo de Vistas 4+1</w:t>
            </w:r>
            <w:r w:rsidRPr="005C5A3A">
              <w:rPr>
                <w:rFonts w:ascii="Calibri" w:hAnsi="Calibri" w:cs="Arial"/>
                <w:iCs/>
                <w:sz w:val="20"/>
                <w:szCs w:val="20"/>
                <w:lang w:eastAsia="es-CL"/>
              </w:rPr>
              <w:t xml:space="preserve"> y la estructura estandarizada para el </w:t>
            </w:r>
            <w:r w:rsidRPr="005C5A3A">
              <w:rPr>
                <w:rFonts w:ascii="Calibri" w:hAnsi="Calibri" w:cs="Arial"/>
                <w:b/>
                <w:bCs/>
                <w:iCs/>
                <w:sz w:val="20"/>
                <w:szCs w:val="20"/>
                <w:lang w:eastAsia="es-CL"/>
              </w:rPr>
              <w:t>DAS</w:t>
            </w:r>
            <w:r w:rsidRPr="005C5A3A">
              <w:rPr>
                <w:rFonts w:ascii="Calibri" w:hAnsi="Calibri" w:cs="Arial"/>
                <w:iCs/>
                <w:sz w:val="20"/>
                <w:szCs w:val="20"/>
                <w:lang w:eastAsia="es-CL"/>
              </w:rPr>
              <w:t>, garantizando que la arquitectura sea comprensible, mantenible y escalable para todos los interesados.</w:t>
            </w:r>
          </w:p>
          <w:p w14:paraId="4F3F88C3" w14:textId="77777777" w:rsidR="007D727C" w:rsidRPr="005C5A3A" w:rsidRDefault="007D727C" w:rsidP="007D727C">
            <w:pPr>
              <w:numPr>
                <w:ilvl w:val="0"/>
                <w:numId w:val="4"/>
              </w:numPr>
              <w:jc w:val="both"/>
              <w:rPr>
                <w:rFonts w:ascii="Calibri" w:hAnsi="Calibri" w:cs="Arial"/>
                <w:iCs/>
                <w:sz w:val="20"/>
                <w:szCs w:val="20"/>
                <w:lang w:eastAsia="es-CL"/>
              </w:rPr>
            </w:pPr>
            <w:r w:rsidRPr="005C5A3A">
              <w:rPr>
                <w:rFonts w:ascii="Calibri" w:hAnsi="Calibri" w:cs="Arial"/>
                <w:b/>
                <w:bCs/>
                <w:iCs/>
                <w:sz w:val="20"/>
                <w:szCs w:val="20"/>
                <w:lang w:eastAsia="es-CL"/>
              </w:rPr>
              <w:t>Validación y Control de Cambios:</w:t>
            </w:r>
            <w:r w:rsidRPr="005C5A3A">
              <w:rPr>
                <w:rFonts w:ascii="Calibri" w:hAnsi="Calibri" w:cs="Arial"/>
                <w:iCs/>
                <w:sz w:val="20"/>
                <w:szCs w:val="20"/>
                <w:lang w:eastAsia="es-CL"/>
              </w:rPr>
              <w:t xml:space="preserve"> La inclusión de la solución móvil en la Fase 2 se gestionó como un ajuste formal de alcance, analizando su impacto en la arquitectura general antes de su incorporación.</w:t>
            </w:r>
          </w:p>
          <w:p w14:paraId="536E7C07" w14:textId="77777777" w:rsidR="007D727C" w:rsidRPr="005C5A3A" w:rsidRDefault="007D727C" w:rsidP="007D727C">
            <w:pPr>
              <w:numPr>
                <w:ilvl w:val="0"/>
                <w:numId w:val="4"/>
              </w:numPr>
              <w:jc w:val="both"/>
              <w:rPr>
                <w:rFonts w:ascii="Calibri" w:hAnsi="Calibri" w:cs="Arial"/>
                <w:iCs/>
                <w:sz w:val="20"/>
                <w:szCs w:val="20"/>
                <w:lang w:eastAsia="es-CL"/>
              </w:rPr>
            </w:pPr>
            <w:r w:rsidRPr="005C5A3A">
              <w:rPr>
                <w:rFonts w:ascii="Calibri" w:hAnsi="Calibri" w:cs="Arial"/>
                <w:b/>
                <w:bCs/>
                <w:iCs/>
                <w:sz w:val="20"/>
                <w:szCs w:val="20"/>
                <w:lang w:eastAsia="es-CL"/>
              </w:rPr>
              <w:t>Gestión Preventiva:</w:t>
            </w:r>
            <w:r w:rsidRPr="005C5A3A">
              <w:rPr>
                <w:rFonts w:ascii="Calibri" w:hAnsi="Calibri" w:cs="Arial"/>
                <w:iCs/>
                <w:sz w:val="20"/>
                <w:szCs w:val="20"/>
                <w:lang w:eastAsia="es-CL"/>
              </w:rPr>
              <w:t xml:space="preserve"> La elaboración de la </w:t>
            </w:r>
            <w:r w:rsidRPr="005C5A3A">
              <w:rPr>
                <w:rFonts w:ascii="Calibri" w:hAnsi="Calibri" w:cs="Arial"/>
                <w:b/>
                <w:bCs/>
                <w:iCs/>
                <w:sz w:val="20"/>
                <w:szCs w:val="20"/>
                <w:lang w:eastAsia="es-CL"/>
              </w:rPr>
              <w:t>Matriz de Riesgos</w:t>
            </w:r>
            <w:r w:rsidRPr="005C5A3A">
              <w:rPr>
                <w:rFonts w:ascii="Calibri" w:hAnsi="Calibri" w:cs="Arial"/>
                <w:iCs/>
                <w:sz w:val="20"/>
                <w:szCs w:val="20"/>
                <w:lang w:eastAsia="es-CL"/>
              </w:rPr>
              <w:t xml:space="preserve"> permitió identificar y mitigar posibles fallos técnicos, operativos o de tiempos antes de entrar en la fase de implementación.</w:t>
            </w:r>
          </w:p>
          <w:p w14:paraId="5098F48E" w14:textId="77777777" w:rsidR="007D727C" w:rsidRPr="005C5A3A" w:rsidRDefault="007D727C" w:rsidP="007D727C">
            <w:pPr>
              <w:numPr>
                <w:ilvl w:val="0"/>
                <w:numId w:val="4"/>
              </w:numPr>
              <w:jc w:val="both"/>
              <w:rPr>
                <w:rFonts w:ascii="Calibri" w:hAnsi="Calibri" w:cs="Arial"/>
                <w:iCs/>
                <w:sz w:val="20"/>
                <w:szCs w:val="20"/>
                <w:lang w:eastAsia="es-CL"/>
              </w:rPr>
            </w:pPr>
            <w:r w:rsidRPr="005C5A3A">
              <w:rPr>
                <w:rFonts w:ascii="Calibri" w:hAnsi="Calibri" w:cs="Arial"/>
                <w:b/>
                <w:bCs/>
                <w:iCs/>
                <w:sz w:val="20"/>
                <w:szCs w:val="20"/>
                <w:lang w:eastAsia="es-CL"/>
              </w:rPr>
              <w:lastRenderedPageBreak/>
              <w:t>Trazabilidad:</w:t>
            </w:r>
            <w:r w:rsidRPr="005C5A3A">
              <w:rPr>
                <w:rFonts w:ascii="Calibri" w:hAnsi="Calibri" w:cs="Arial"/>
                <w:iCs/>
                <w:sz w:val="20"/>
                <w:szCs w:val="20"/>
                <w:lang w:eastAsia="es-CL"/>
              </w:rPr>
              <w:t xml:space="preserve"> La alineación directa entre la </w:t>
            </w:r>
            <w:r w:rsidRPr="005C5A3A">
              <w:rPr>
                <w:rFonts w:ascii="Calibri" w:hAnsi="Calibri" w:cs="Arial"/>
                <w:b/>
                <w:bCs/>
                <w:iCs/>
                <w:sz w:val="20"/>
                <w:szCs w:val="20"/>
                <w:lang w:eastAsia="es-CL"/>
              </w:rPr>
              <w:t>Matriz EDT</w:t>
            </w:r>
            <w:r w:rsidRPr="005C5A3A">
              <w:rPr>
                <w:rFonts w:ascii="Calibri" w:hAnsi="Calibri" w:cs="Arial"/>
                <w:iCs/>
                <w:sz w:val="20"/>
                <w:szCs w:val="20"/>
                <w:lang w:eastAsia="es-CL"/>
              </w:rPr>
              <w:t xml:space="preserve">, los </w:t>
            </w:r>
            <w:r w:rsidRPr="005C5A3A">
              <w:rPr>
                <w:rFonts w:ascii="Calibri" w:hAnsi="Calibri" w:cs="Arial"/>
                <w:b/>
                <w:bCs/>
                <w:iCs/>
                <w:sz w:val="20"/>
                <w:szCs w:val="20"/>
                <w:lang w:eastAsia="es-CL"/>
              </w:rPr>
              <w:t>Casos de Uso</w:t>
            </w:r>
            <w:r w:rsidRPr="005C5A3A">
              <w:rPr>
                <w:rFonts w:ascii="Calibri" w:hAnsi="Calibri" w:cs="Arial"/>
                <w:iCs/>
                <w:sz w:val="20"/>
                <w:szCs w:val="20"/>
                <w:lang w:eastAsia="es-CL"/>
              </w:rPr>
              <w:t xml:space="preserve"> y la </w:t>
            </w:r>
            <w:r w:rsidRPr="005C5A3A">
              <w:rPr>
                <w:rFonts w:ascii="Calibri" w:hAnsi="Calibri" w:cs="Arial"/>
                <w:b/>
                <w:bCs/>
                <w:iCs/>
                <w:sz w:val="20"/>
                <w:szCs w:val="20"/>
                <w:lang w:eastAsia="es-CL"/>
              </w:rPr>
              <w:t>Planilla de Requerimientos</w:t>
            </w:r>
            <w:r w:rsidRPr="005C5A3A">
              <w:rPr>
                <w:rFonts w:ascii="Calibri" w:hAnsi="Calibri" w:cs="Arial"/>
                <w:iCs/>
                <w:sz w:val="20"/>
                <w:szCs w:val="20"/>
                <w:lang w:eastAsia="es-CL"/>
              </w:rPr>
              <w:t xml:space="preserve"> asegura que cada entregable técnico responda a una necesidad real del proyecto.</w:t>
            </w:r>
          </w:p>
          <w:p w14:paraId="16EAC787" w14:textId="77777777" w:rsidR="007D727C" w:rsidRPr="005C5A3A" w:rsidRDefault="007D727C" w:rsidP="007D727C">
            <w:pPr>
              <w:jc w:val="both"/>
              <w:rPr>
                <w:rFonts w:ascii="Calibri" w:hAnsi="Calibri" w:cs="Arial"/>
                <w:b/>
                <w:bCs/>
                <w:iCs/>
                <w:sz w:val="20"/>
                <w:szCs w:val="20"/>
                <w:lang w:eastAsia="es-CL"/>
              </w:rPr>
            </w:pPr>
            <w:r w:rsidRPr="005C5A3A">
              <w:rPr>
                <w:rFonts w:ascii="Calibri" w:hAnsi="Calibri" w:cs="Arial"/>
                <w:b/>
                <w:bCs/>
                <w:iCs/>
                <w:sz w:val="20"/>
                <w:szCs w:val="20"/>
                <w:lang w:eastAsia="es-CL"/>
              </w:rPr>
              <w:t>3. Anexo de Evidencias</w:t>
            </w:r>
          </w:p>
          <w:p w14:paraId="51E5B895" w14:textId="39C5E76C" w:rsidR="0003309E" w:rsidRPr="006E6A00" w:rsidRDefault="00215F3A" w:rsidP="00585A13">
            <w:pPr>
              <w:jc w:val="both"/>
              <w:rPr>
                <w:rFonts w:ascii="Calibri" w:hAnsi="Calibri" w:cs="Arial"/>
                <w:b/>
                <w:i/>
                <w:sz w:val="20"/>
                <w:szCs w:val="20"/>
                <w:lang w:eastAsia="es-CL"/>
              </w:rPr>
            </w:pPr>
            <w:r w:rsidRPr="005C5A3A">
              <w:rPr>
                <w:rFonts w:ascii="Calibri" w:hAnsi="Calibri" w:cs="Arial"/>
                <w:b/>
                <w:iCs/>
                <w:sz w:val="20"/>
                <w:szCs w:val="20"/>
                <w:lang w:eastAsia="es-CL"/>
              </w:rPr>
              <w:t>Las evidencias son la documentación realizada y ya entregada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072C6F0D" w:rsidR="00FD5149" w:rsidRPr="006E3B0D" w:rsidRDefault="00FD5149" w:rsidP="00215F3A">
            <w:pPr>
              <w:rPr>
                <w:rFonts w:ascii="Calibri" w:hAnsi="Calibri"/>
                <w:color w:val="1F3864" w:themeColor="accent1" w:themeShade="80"/>
                <w:sz w:val="18"/>
              </w:rPr>
            </w:pP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8426D5">
        <w:trPr>
          <w:trHeight w:val="1950"/>
        </w:trPr>
        <w:tc>
          <w:tcPr>
            <w:tcW w:w="1328" w:type="dxa"/>
          </w:tcPr>
          <w:p w14:paraId="29F01B29" w14:textId="68682493" w:rsidR="00FD5149" w:rsidRPr="006E6A00" w:rsidRDefault="008426D5" w:rsidP="00FD5149">
            <w:pPr>
              <w:jc w:val="both"/>
              <w:rPr>
                <w:b/>
                <w:sz w:val="18"/>
                <w:szCs w:val="24"/>
              </w:rPr>
            </w:pPr>
            <w:r w:rsidRPr="006E6A00">
              <w:rPr>
                <w:rFonts w:ascii="Calibri" w:hAnsi="Calibri" w:cs="Arial"/>
                <w:i/>
                <w:sz w:val="18"/>
                <w:szCs w:val="20"/>
                <w:lang w:eastAsia="es-CL"/>
              </w:rPr>
              <w:t>Gestión y Planificación de Proyectos TI</w:t>
            </w:r>
          </w:p>
        </w:tc>
        <w:tc>
          <w:tcPr>
            <w:tcW w:w="1077" w:type="dxa"/>
          </w:tcPr>
          <w:p w14:paraId="7B4EBE25" w14:textId="76C39268" w:rsidR="00FD5149"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Levantamiento de planificación inicial y cronograma (Carta Gantt, Matriz EDT)</w:t>
            </w:r>
          </w:p>
        </w:tc>
        <w:tc>
          <w:tcPr>
            <w:tcW w:w="1276" w:type="dxa"/>
          </w:tcPr>
          <w:p w14:paraId="16E191DF" w14:textId="11598707" w:rsidR="00FD5149" w:rsidRPr="006E6A00" w:rsidRDefault="008426D5" w:rsidP="00FD5149">
            <w:pPr>
              <w:jc w:val="both"/>
              <w:rPr>
                <w:b/>
                <w:sz w:val="18"/>
                <w:szCs w:val="24"/>
              </w:rPr>
            </w:pPr>
            <w:r w:rsidRPr="006E6A00">
              <w:rPr>
                <w:rFonts w:ascii="Calibri" w:hAnsi="Calibri" w:cs="Arial"/>
                <w:i/>
                <w:sz w:val="18"/>
                <w:szCs w:val="20"/>
                <w:lang w:eastAsia="es-CL"/>
              </w:rPr>
              <w:t>Excel / Plantillas</w:t>
            </w:r>
          </w:p>
        </w:tc>
        <w:tc>
          <w:tcPr>
            <w:tcW w:w="1276" w:type="dxa"/>
          </w:tcPr>
          <w:p w14:paraId="66A5D860" w14:textId="4307818C" w:rsidR="00FD5149" w:rsidRPr="006E6A00" w:rsidRDefault="008426D5" w:rsidP="00FD5149">
            <w:pPr>
              <w:jc w:val="both"/>
              <w:rPr>
                <w:b/>
                <w:sz w:val="18"/>
                <w:szCs w:val="24"/>
              </w:rPr>
            </w:pPr>
            <w:r w:rsidRPr="006E6A00">
              <w:rPr>
                <w:rFonts w:ascii="Calibri" w:hAnsi="Calibri" w:cs="Arial"/>
                <w:i/>
                <w:sz w:val="18"/>
                <w:szCs w:val="20"/>
                <w:lang w:eastAsia="es-CL"/>
              </w:rPr>
              <w:t>1 semana</w:t>
            </w:r>
          </w:p>
        </w:tc>
        <w:tc>
          <w:tcPr>
            <w:tcW w:w="1275" w:type="dxa"/>
          </w:tcPr>
          <w:p w14:paraId="036AB5D8" w14:textId="545D2FCE" w:rsidR="00FD5149"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Diego Valenzuela</w:t>
            </w:r>
          </w:p>
        </w:tc>
        <w:tc>
          <w:tcPr>
            <w:tcW w:w="1276" w:type="dxa"/>
          </w:tcPr>
          <w:p w14:paraId="2FCEC037" w14:textId="7D868A76" w:rsidR="00FD5149"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Facilitador: Plantillas previas disponibles. Dificultad: Coordinación de agendas inicial.</w:t>
            </w:r>
          </w:p>
        </w:tc>
        <w:tc>
          <w:tcPr>
            <w:tcW w:w="1418" w:type="dxa"/>
          </w:tcPr>
          <w:p w14:paraId="2163602D" w14:textId="0CEF54C6" w:rsidR="00FD5149" w:rsidRPr="006E6A00" w:rsidRDefault="008426D5" w:rsidP="00FD5149">
            <w:pPr>
              <w:jc w:val="both"/>
              <w:rPr>
                <w:rFonts w:ascii="Calibri" w:hAnsi="Calibri" w:cs="Arial"/>
                <w:i/>
                <w:sz w:val="16"/>
                <w:szCs w:val="20"/>
                <w:lang w:eastAsia="es-CL"/>
              </w:rPr>
            </w:pPr>
            <w:r w:rsidRPr="006E6A00">
              <w:rPr>
                <w:rFonts w:ascii="Calibri" w:hAnsi="Calibri" w:cs="Arial"/>
                <w:i/>
                <w:sz w:val="18"/>
                <w:szCs w:val="20"/>
                <w:lang w:eastAsia="es-CL"/>
              </w:rPr>
              <w:t>Completado</w:t>
            </w:r>
          </w:p>
        </w:tc>
        <w:tc>
          <w:tcPr>
            <w:tcW w:w="850" w:type="dxa"/>
          </w:tcPr>
          <w:p w14:paraId="7C6D6F31" w14:textId="5C04B8A7" w:rsidR="00FD5149"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Ninguno. Se cumplió según lo presupuestado.</w:t>
            </w:r>
          </w:p>
        </w:tc>
      </w:tr>
      <w:tr w:rsidR="00E61E68" w:rsidRPr="006E3B0D" w14:paraId="53F1C023" w14:textId="77777777" w:rsidTr="00E61E68">
        <w:trPr>
          <w:trHeight w:val="1535"/>
        </w:trPr>
        <w:tc>
          <w:tcPr>
            <w:tcW w:w="1328" w:type="dxa"/>
          </w:tcPr>
          <w:p w14:paraId="1136074C" w14:textId="34D1EDD9"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Análisis de Requerimientos y Diseño UX/UI</w:t>
            </w:r>
          </w:p>
        </w:tc>
        <w:tc>
          <w:tcPr>
            <w:tcW w:w="1077" w:type="dxa"/>
          </w:tcPr>
          <w:p w14:paraId="60C2ABE6" w14:textId="6E6A564C"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Levantamiento de requisitos y diseño de Mockups / Casos de Uso</w:t>
            </w:r>
          </w:p>
        </w:tc>
        <w:tc>
          <w:tcPr>
            <w:tcW w:w="1276" w:type="dxa"/>
          </w:tcPr>
          <w:p w14:paraId="274986B9" w14:textId="72AE00E2"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 xml:space="preserve">Modelio / Word / Balsamiq </w:t>
            </w:r>
          </w:p>
        </w:tc>
        <w:tc>
          <w:tcPr>
            <w:tcW w:w="1276" w:type="dxa"/>
          </w:tcPr>
          <w:p w14:paraId="4AC23DD3" w14:textId="73C4BBC0"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2 semanas</w:t>
            </w:r>
          </w:p>
        </w:tc>
        <w:tc>
          <w:tcPr>
            <w:tcW w:w="1275" w:type="dxa"/>
          </w:tcPr>
          <w:p w14:paraId="18CAA098" w14:textId="4D94E5A4"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Renato Ubilla</w:t>
            </w:r>
          </w:p>
        </w:tc>
        <w:tc>
          <w:tcPr>
            <w:tcW w:w="1276" w:type="dxa"/>
          </w:tcPr>
          <w:p w14:paraId="307FB200" w14:textId="7EFF4530"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Dificultad: Modificación de casos de usos extendidos</w:t>
            </w:r>
          </w:p>
        </w:tc>
        <w:tc>
          <w:tcPr>
            <w:tcW w:w="1418" w:type="dxa"/>
          </w:tcPr>
          <w:p w14:paraId="2DDC681E" w14:textId="0B9C3E22"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Completado</w:t>
            </w:r>
          </w:p>
        </w:tc>
        <w:tc>
          <w:tcPr>
            <w:tcW w:w="850" w:type="dxa"/>
          </w:tcPr>
          <w:p w14:paraId="7B9310A0" w14:textId="44FA170D"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Se definieron de mejor forma los requisitos del sistema</w:t>
            </w:r>
          </w:p>
        </w:tc>
      </w:tr>
      <w:tr w:rsidR="00E61E68" w:rsidRPr="006E3B0D" w14:paraId="4EA1BC88" w14:textId="77777777" w:rsidTr="008426D5">
        <w:trPr>
          <w:trHeight w:val="1259"/>
        </w:trPr>
        <w:tc>
          <w:tcPr>
            <w:tcW w:w="1328" w:type="dxa"/>
          </w:tcPr>
          <w:p w14:paraId="61ADC524" w14:textId="6BB4CB0D"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Arquitectura de Software y Modelado</w:t>
            </w:r>
          </w:p>
        </w:tc>
        <w:tc>
          <w:tcPr>
            <w:tcW w:w="1077" w:type="dxa"/>
          </w:tcPr>
          <w:p w14:paraId="6270E0C6" w14:textId="426A31C1"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Elaboración del modelo To-Be, Matriz de Riesgos y Modelo 4+1</w:t>
            </w:r>
          </w:p>
        </w:tc>
        <w:tc>
          <w:tcPr>
            <w:tcW w:w="1276" w:type="dxa"/>
          </w:tcPr>
          <w:p w14:paraId="1F6BFEF2" w14:textId="5F1F21BB"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Herramientas de modelado UML, Plantilla de Riesgos</w:t>
            </w:r>
          </w:p>
        </w:tc>
        <w:tc>
          <w:tcPr>
            <w:tcW w:w="1276" w:type="dxa"/>
          </w:tcPr>
          <w:p w14:paraId="0D205CCA" w14:textId="7F973887"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2 semanas</w:t>
            </w:r>
          </w:p>
        </w:tc>
        <w:tc>
          <w:tcPr>
            <w:tcW w:w="1275" w:type="dxa"/>
          </w:tcPr>
          <w:p w14:paraId="2D9460D0" w14:textId="342B30DD"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Diego Valenzuela / Cristóbal Román</w:t>
            </w:r>
          </w:p>
        </w:tc>
        <w:tc>
          <w:tcPr>
            <w:tcW w:w="1276" w:type="dxa"/>
          </w:tcPr>
          <w:p w14:paraId="3052E494" w14:textId="5CBFC5D5"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Facilitador: Buena definición previa de requerimientos en Fase 1.</w:t>
            </w:r>
          </w:p>
        </w:tc>
        <w:tc>
          <w:tcPr>
            <w:tcW w:w="1418" w:type="dxa"/>
          </w:tcPr>
          <w:p w14:paraId="7717D382" w14:textId="2BC67D18"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Completado</w:t>
            </w:r>
          </w:p>
        </w:tc>
        <w:tc>
          <w:tcPr>
            <w:tcW w:w="850" w:type="dxa"/>
          </w:tcPr>
          <w:p w14:paraId="681A28F2" w14:textId="6B59FB62" w:rsidR="00E61E68"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Se detallaron más vistas dentro del Modelo 4+1 para mayor claridad técnica.</w:t>
            </w:r>
          </w:p>
        </w:tc>
      </w:tr>
      <w:tr w:rsidR="008426D5" w:rsidRPr="006E3B0D" w14:paraId="4EA3FAB9" w14:textId="77777777" w:rsidTr="008426D5">
        <w:trPr>
          <w:trHeight w:val="1259"/>
        </w:trPr>
        <w:tc>
          <w:tcPr>
            <w:tcW w:w="1328" w:type="dxa"/>
          </w:tcPr>
          <w:p w14:paraId="778B0437" w14:textId="7E145B41"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Documentación Técnica Integral</w:t>
            </w:r>
          </w:p>
        </w:tc>
        <w:tc>
          <w:tcPr>
            <w:tcW w:w="1077" w:type="dxa"/>
          </w:tcPr>
          <w:p w14:paraId="2B2DAB37" w14:textId="65794B95"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Consolidación del Documento de Arquitectura de Software (DAS)</w:t>
            </w:r>
          </w:p>
        </w:tc>
        <w:tc>
          <w:tcPr>
            <w:tcW w:w="1276" w:type="dxa"/>
          </w:tcPr>
          <w:p w14:paraId="120E32ED" w14:textId="7C3CF8DD"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Procesador de texto (Word/Docs), Repositorio compartido</w:t>
            </w:r>
          </w:p>
        </w:tc>
        <w:tc>
          <w:tcPr>
            <w:tcW w:w="1276" w:type="dxa"/>
          </w:tcPr>
          <w:p w14:paraId="45C46EB0" w14:textId="3F2C1716"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1,5 semanas</w:t>
            </w:r>
          </w:p>
        </w:tc>
        <w:tc>
          <w:tcPr>
            <w:tcW w:w="1275" w:type="dxa"/>
          </w:tcPr>
          <w:p w14:paraId="1BD71F72" w14:textId="2A65F267"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Todo el equipo</w:t>
            </w:r>
          </w:p>
        </w:tc>
        <w:tc>
          <w:tcPr>
            <w:tcW w:w="1276" w:type="dxa"/>
          </w:tcPr>
          <w:p w14:paraId="26DE1329" w14:textId="13FC9AE9"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Dificultad: Unificación de formatos de distintos autores.</w:t>
            </w:r>
          </w:p>
        </w:tc>
        <w:tc>
          <w:tcPr>
            <w:tcW w:w="1418" w:type="dxa"/>
          </w:tcPr>
          <w:p w14:paraId="3091CEF5" w14:textId="1802CE84"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Completado</w:t>
            </w:r>
          </w:p>
        </w:tc>
        <w:tc>
          <w:tcPr>
            <w:tcW w:w="850" w:type="dxa"/>
          </w:tcPr>
          <w:p w14:paraId="64BD5648" w14:textId="77720E94"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 xml:space="preserve">Se estructuró como el documento central que reúne </w:t>
            </w:r>
            <w:r w:rsidRPr="006E6A00">
              <w:rPr>
                <w:rFonts w:ascii="Calibri" w:hAnsi="Calibri" w:cs="Arial"/>
                <w:i/>
                <w:sz w:val="18"/>
                <w:szCs w:val="20"/>
                <w:lang w:eastAsia="es-CL"/>
              </w:rPr>
              <w:lastRenderedPageBreak/>
              <w:t>toda la documentación previa.</w:t>
            </w:r>
          </w:p>
        </w:tc>
      </w:tr>
      <w:tr w:rsidR="008426D5" w:rsidRPr="006E3B0D" w14:paraId="40D7995D" w14:textId="77777777" w:rsidTr="008426D5">
        <w:trPr>
          <w:trHeight w:val="1259"/>
        </w:trPr>
        <w:tc>
          <w:tcPr>
            <w:tcW w:w="1328" w:type="dxa"/>
          </w:tcPr>
          <w:p w14:paraId="06832B35" w14:textId="1277ADD9"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lastRenderedPageBreak/>
              <w:t>Diseño y Adaptabilidad Móvil</w:t>
            </w:r>
          </w:p>
        </w:tc>
        <w:tc>
          <w:tcPr>
            <w:tcW w:w="1077" w:type="dxa"/>
          </w:tcPr>
          <w:p w14:paraId="711D4513" w14:textId="30227FA9"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Definición e incorporación de la Solución Móvil (Ajuste de alcance)</w:t>
            </w:r>
          </w:p>
        </w:tc>
        <w:tc>
          <w:tcPr>
            <w:tcW w:w="1276" w:type="dxa"/>
          </w:tcPr>
          <w:p w14:paraId="0AEFEC48" w14:textId="6B83698C"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Figma, Especificaciones de API / Arquitectura móvil</w:t>
            </w:r>
          </w:p>
        </w:tc>
        <w:tc>
          <w:tcPr>
            <w:tcW w:w="1276" w:type="dxa"/>
          </w:tcPr>
          <w:p w14:paraId="31483BBB" w14:textId="55DB611A"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1 semana</w:t>
            </w:r>
          </w:p>
        </w:tc>
        <w:tc>
          <w:tcPr>
            <w:tcW w:w="1275" w:type="dxa"/>
          </w:tcPr>
          <w:p w14:paraId="3B2849E7" w14:textId="283F2A9A"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Todo el equipo</w:t>
            </w:r>
          </w:p>
        </w:tc>
        <w:tc>
          <w:tcPr>
            <w:tcW w:w="1276" w:type="dxa"/>
          </w:tcPr>
          <w:p w14:paraId="13A7FC03" w14:textId="60EB2CDE"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Dificultad: Reevaluación de la arquitectura para soportar endpoints móviles.</w:t>
            </w:r>
          </w:p>
        </w:tc>
        <w:tc>
          <w:tcPr>
            <w:tcW w:w="1418" w:type="dxa"/>
          </w:tcPr>
          <w:p w14:paraId="2E7BB171" w14:textId="4C1FCD2E" w:rsidR="008426D5" w:rsidRPr="006E6A00" w:rsidRDefault="008426D5" w:rsidP="00FD5149">
            <w:pPr>
              <w:jc w:val="both"/>
              <w:rPr>
                <w:rFonts w:ascii="Calibri" w:hAnsi="Calibri" w:cs="Arial"/>
                <w:i/>
                <w:sz w:val="18"/>
                <w:szCs w:val="20"/>
                <w:lang w:eastAsia="es-CL"/>
              </w:rPr>
            </w:pPr>
            <w:r w:rsidRPr="006E6A00">
              <w:rPr>
                <w:rFonts w:ascii="Calibri" w:hAnsi="Calibri" w:cs="Arial"/>
                <w:i/>
                <w:sz w:val="18"/>
                <w:szCs w:val="20"/>
                <w:lang w:eastAsia="es-CL"/>
              </w:rPr>
              <w:t>Ajustada</w:t>
            </w:r>
          </w:p>
        </w:tc>
        <w:tc>
          <w:tcPr>
            <w:tcW w:w="850" w:type="dxa"/>
          </w:tcPr>
          <w:p w14:paraId="5A531849" w14:textId="6B1384DD" w:rsidR="008426D5" w:rsidRPr="006E6A00" w:rsidRDefault="008426D5" w:rsidP="00FD5149">
            <w:pPr>
              <w:jc w:val="both"/>
              <w:rPr>
                <w:rFonts w:ascii="Calibri" w:hAnsi="Calibri" w:cs="Arial"/>
                <w:i/>
                <w:sz w:val="18"/>
                <w:szCs w:val="20"/>
                <w:lang w:eastAsia="es-CL"/>
              </w:rPr>
            </w:pPr>
            <w:r w:rsidRPr="006E6A00">
              <w:rPr>
                <w:rFonts w:ascii="Calibri" w:hAnsi="Calibri" w:cs="Arial"/>
                <w:b/>
                <w:bCs/>
                <w:i/>
                <w:sz w:val="18"/>
                <w:szCs w:val="20"/>
                <w:lang w:eastAsia="es-CL"/>
              </w:rPr>
              <w:t>Se agregó como una extensión/extra</w:t>
            </w:r>
            <w:r w:rsidRPr="006E6A00">
              <w:rPr>
                <w:rFonts w:ascii="Calibri" w:hAnsi="Calibri" w:cs="Arial"/>
                <w:i/>
                <w:sz w:val="18"/>
                <w:szCs w:val="20"/>
                <w:lang w:eastAsia="es-CL"/>
              </w:rPr>
              <w:t>-respecto a la propuesta inicial del proyecto.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73BA2BEE" w14:textId="100273D5" w:rsidR="008426D5" w:rsidRPr="006E6A00" w:rsidRDefault="0003309E" w:rsidP="00C5122E">
            <w:pPr>
              <w:jc w:val="both"/>
              <w:rPr>
                <w:rFonts w:ascii="Calibri" w:hAnsi="Calibri" w:cs="Arial"/>
                <w:i/>
                <w:iCs/>
                <w:sz w:val="20"/>
                <w:szCs w:val="20"/>
                <w:lang w:eastAsia="es-CL"/>
              </w:rPr>
            </w:pPr>
            <w:r w:rsidRPr="006E6A00">
              <w:rPr>
                <w:rFonts w:ascii="Calibri" w:hAnsi="Calibri"/>
              </w:rPr>
              <w:t xml:space="preserve">Factores que han facilitado y/o dificultado el desarrollo </w:t>
            </w:r>
            <w:r w:rsidR="006E6A00">
              <w:rPr>
                <w:rFonts w:ascii="Calibri" w:hAnsi="Calibri"/>
              </w:rPr>
              <w:t>del</w:t>
            </w:r>
            <w:r w:rsidRPr="006E6A00">
              <w:rPr>
                <w:rFonts w:ascii="Calibri" w:hAnsi="Calibri"/>
              </w:rPr>
              <w:t xml:space="preserve"> plan de trabajo</w:t>
            </w:r>
            <w:r w:rsidRPr="006E6A00">
              <w:rPr>
                <w:rFonts w:ascii="Calibri" w:hAnsi="Calibri" w:cs="Arial"/>
                <w:sz w:val="20"/>
                <w:szCs w:val="20"/>
                <w:lang w:eastAsia="es-CL"/>
              </w:rPr>
              <w:t>:</w:t>
            </w:r>
          </w:p>
          <w:p w14:paraId="2EA9EF69" w14:textId="77777777" w:rsidR="008426D5" w:rsidRPr="006E6A00" w:rsidRDefault="008426D5" w:rsidP="008426D5">
            <w:pPr>
              <w:numPr>
                <w:ilvl w:val="0"/>
                <w:numId w:val="6"/>
              </w:numPr>
              <w:jc w:val="both"/>
              <w:rPr>
                <w:rFonts w:ascii="Calibri" w:hAnsi="Calibri"/>
                <w:b/>
              </w:rPr>
            </w:pPr>
            <w:r w:rsidRPr="006E6A00">
              <w:rPr>
                <w:rFonts w:ascii="Calibri" w:hAnsi="Calibri"/>
                <w:b/>
                <w:bCs/>
              </w:rPr>
              <w:t>Factores facilitadores:</w:t>
            </w:r>
          </w:p>
          <w:p w14:paraId="48526DB4" w14:textId="77777777" w:rsidR="008426D5" w:rsidRPr="006E6A00" w:rsidRDefault="008426D5" w:rsidP="008426D5">
            <w:pPr>
              <w:numPr>
                <w:ilvl w:val="1"/>
                <w:numId w:val="6"/>
              </w:numPr>
              <w:jc w:val="both"/>
              <w:rPr>
                <w:rFonts w:ascii="Calibri" w:hAnsi="Calibri"/>
              </w:rPr>
            </w:pPr>
            <w:r w:rsidRPr="006E6A00">
              <w:rPr>
                <w:rFonts w:ascii="Calibri" w:hAnsi="Calibri"/>
              </w:rPr>
              <w:t>Estandarización y claridad metodológica: El uso de herramientas y marcos normativos claros (como el Modelo 4+1 para la arquitectura y plantillas formales para los Casos de Uso y la Matriz EDT) facilitó la comunicación interna del equipo y aceleró la producción documental en ambas fases.</w:t>
            </w:r>
          </w:p>
          <w:p w14:paraId="1D477513" w14:textId="52674EB8" w:rsidR="008426D5" w:rsidRPr="006E6A00" w:rsidRDefault="008426D5" w:rsidP="008426D5">
            <w:pPr>
              <w:numPr>
                <w:ilvl w:val="1"/>
                <w:numId w:val="6"/>
              </w:numPr>
              <w:jc w:val="both"/>
              <w:rPr>
                <w:rFonts w:ascii="Calibri" w:hAnsi="Calibri"/>
              </w:rPr>
            </w:pPr>
            <w:r w:rsidRPr="006E6A00">
              <w:rPr>
                <w:rFonts w:ascii="Calibri" w:hAnsi="Calibri"/>
              </w:rPr>
              <w:t xml:space="preserve">Trabajo colaborativo y coordinación: A pesar de las restricciones de tiempo, la asignación clara de responsabilidades por documento permitió avanzar de manera fluida y en paralelo durante la Fase 1 y Fase 2, asegurando que los </w:t>
            </w:r>
            <w:r w:rsidR="005C5A3A" w:rsidRPr="006E6A00">
              <w:rPr>
                <w:rFonts w:ascii="Calibri" w:hAnsi="Calibri"/>
              </w:rPr>
              <w:t>entregables claves</w:t>
            </w:r>
            <w:r w:rsidRPr="006E6A00">
              <w:rPr>
                <w:rFonts w:ascii="Calibri" w:hAnsi="Calibri"/>
              </w:rPr>
              <w:t xml:space="preserve"> (Carta Gantt, Mockups, Modelo To-Be y el DAS) se completaran dentro de los plazos.</w:t>
            </w:r>
          </w:p>
          <w:p w14:paraId="596315D8" w14:textId="77777777" w:rsidR="008426D5" w:rsidRPr="006E6A00" w:rsidRDefault="008426D5" w:rsidP="008426D5">
            <w:pPr>
              <w:numPr>
                <w:ilvl w:val="0"/>
                <w:numId w:val="6"/>
              </w:numPr>
              <w:jc w:val="both"/>
              <w:rPr>
                <w:rFonts w:ascii="Calibri" w:hAnsi="Calibri"/>
                <w:b/>
              </w:rPr>
            </w:pPr>
            <w:r w:rsidRPr="006E6A00">
              <w:rPr>
                <w:rFonts w:ascii="Calibri" w:hAnsi="Calibri"/>
                <w:b/>
                <w:bCs/>
              </w:rPr>
              <w:t>Factores dificultadores y acciones de solución:</w:t>
            </w:r>
          </w:p>
          <w:p w14:paraId="4949E54C" w14:textId="77777777" w:rsidR="008426D5" w:rsidRPr="006E6A00" w:rsidRDefault="008426D5" w:rsidP="008426D5">
            <w:pPr>
              <w:numPr>
                <w:ilvl w:val="1"/>
                <w:numId w:val="6"/>
              </w:numPr>
              <w:jc w:val="both"/>
              <w:rPr>
                <w:rFonts w:ascii="Calibri" w:hAnsi="Calibri"/>
              </w:rPr>
            </w:pPr>
            <w:r w:rsidRPr="006E6A00">
              <w:rPr>
                <w:rFonts w:ascii="Calibri" w:hAnsi="Calibri"/>
              </w:rPr>
              <w:t>Disponibilidad de tiempo por Práctica Profesional: El principal obstáculo enfrentado fue que todos los integrantes del equipo se encontraban realizando su práctica profesional de forma simultánea. Esto limitó la disponibilidad horaria durante la jornada laboral y dificultó la coincidencia en reuniones sincrónicas.</w:t>
            </w:r>
          </w:p>
          <w:p w14:paraId="32EE68AE" w14:textId="77777777" w:rsidR="008426D5" w:rsidRPr="006E6A00" w:rsidRDefault="008426D5" w:rsidP="008426D5">
            <w:pPr>
              <w:numPr>
                <w:ilvl w:val="2"/>
                <w:numId w:val="6"/>
              </w:numPr>
              <w:jc w:val="both"/>
              <w:rPr>
                <w:rFonts w:ascii="Calibri" w:hAnsi="Calibri"/>
              </w:rPr>
            </w:pPr>
            <w:r w:rsidRPr="006E6A00">
              <w:rPr>
                <w:rFonts w:ascii="Calibri" w:hAnsi="Calibri"/>
                <w:i/>
                <w:iCs/>
              </w:rPr>
              <w:t>Acción tomada:</w:t>
            </w:r>
            <w:r w:rsidRPr="006E6A00">
              <w:rPr>
                <w:rFonts w:ascii="Calibri" w:hAnsi="Calibri"/>
              </w:rPr>
              <w:t xml:space="preserve"> Se establecieron metodologías de trabajo asincrónico mediante herramientas colaborativas en la nube (repositorios compartidos y canales de comunicación rápida) y se fijaron reuniones breves de alineación fuera del </w:t>
            </w:r>
            <w:r w:rsidRPr="006E6A00">
              <w:rPr>
                <w:rFonts w:ascii="Calibri" w:hAnsi="Calibri"/>
              </w:rPr>
              <w:lastRenderedPageBreak/>
              <w:t>horario laboral. Esto permitió coordinar los avances sin afectar las responsabilidades individuales.</w:t>
            </w:r>
          </w:p>
          <w:p w14:paraId="5BD0875C" w14:textId="77777777" w:rsidR="003E17FE" w:rsidRPr="006E6A00" w:rsidRDefault="0003309E" w:rsidP="003E17FE">
            <w:pPr>
              <w:numPr>
                <w:ilvl w:val="1"/>
                <w:numId w:val="6"/>
              </w:numPr>
              <w:jc w:val="both"/>
              <w:rPr>
                <w:rFonts w:ascii="Calibri" w:hAnsi="Calibri"/>
              </w:rPr>
            </w:pPr>
            <w:r w:rsidRPr="006E6A00">
              <w:rPr>
                <w:rFonts w:ascii="Calibri" w:hAnsi="Calibri"/>
              </w:rPr>
              <w:t xml:space="preserve"> </w:t>
            </w:r>
            <w:r w:rsidR="003E17FE" w:rsidRPr="006E6A00">
              <w:rPr>
                <w:rFonts w:ascii="Calibri" w:hAnsi="Calibri"/>
              </w:rPr>
              <w:t>Ambigüedad y desalineación en el levantamiento inicial de requerimientos: Al comienzo de la Fase 1 se presentó un problema de interpretación y falta de claridad respecto al alcance real del proyecto, las prioridades funcionales y la especificación detallada de los requisitos del sistema. Esto generó retrabajo e incertidumbre sobre la dirección técnica a seguir.</w:t>
            </w:r>
          </w:p>
          <w:p w14:paraId="0BD71444" w14:textId="415C87E1" w:rsidR="0003309E" w:rsidRPr="006E6A00" w:rsidRDefault="003E17FE" w:rsidP="00C5122E">
            <w:pPr>
              <w:numPr>
                <w:ilvl w:val="1"/>
                <w:numId w:val="6"/>
              </w:numPr>
              <w:tabs>
                <w:tab w:val="num" w:pos="720"/>
              </w:tabs>
              <w:jc w:val="both"/>
              <w:rPr>
                <w:rFonts w:ascii="Calibri" w:hAnsi="Calibri"/>
              </w:rPr>
            </w:pPr>
            <w:r w:rsidRPr="006E6A00">
              <w:rPr>
                <w:rFonts w:ascii="Calibri" w:hAnsi="Calibri"/>
                <w:i/>
                <w:iCs/>
              </w:rPr>
              <w:t>Acción tomada / Solución:</w:t>
            </w:r>
            <w:r w:rsidRPr="006E6A00">
              <w:rPr>
                <w:rFonts w:ascii="Calibri" w:hAnsi="Calibri"/>
              </w:rPr>
              <w:t xml:space="preserve"> Se sostuvieron reuniones de trabajo para unificar criterios, revisando y redefiniendo formalmente la Planilla de Requerimientos y los Casos de Uso Extendidos. Esta alineación permitió establecer un alcance sólido e inequívoco antes de pasar a la fase de arquitectura</w:t>
            </w: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0CF5C275" w:rsidR="0003309E" w:rsidRPr="006E6A00" w:rsidRDefault="0003309E" w:rsidP="00C5122E">
            <w:pPr>
              <w:jc w:val="both"/>
              <w:rPr>
                <w:rFonts w:ascii="Calibri" w:hAnsi="Calibri" w:cs="Arial"/>
                <w:i/>
                <w:sz w:val="20"/>
                <w:szCs w:val="20"/>
                <w:lang w:eastAsia="es-CL"/>
              </w:rPr>
            </w:pPr>
            <w:r w:rsidRPr="006E6A00">
              <w:rPr>
                <w:rFonts w:ascii="Calibri" w:hAnsi="Calibri"/>
              </w:rPr>
              <w:t xml:space="preserve">Actividades ajustadas o eliminadas: </w:t>
            </w:r>
          </w:p>
          <w:p w14:paraId="2320CB12" w14:textId="77777777" w:rsidR="003E17FE" w:rsidRPr="006E6A00" w:rsidRDefault="003E17FE" w:rsidP="003E17FE">
            <w:pPr>
              <w:jc w:val="both"/>
              <w:rPr>
                <w:rFonts w:ascii="Calibri" w:hAnsi="Calibri" w:cs="Arial"/>
                <w:iCs/>
                <w:lang w:eastAsia="es-CL"/>
              </w:rPr>
            </w:pPr>
            <w:r w:rsidRPr="006E6A00">
              <w:rPr>
                <w:rFonts w:ascii="Calibri" w:hAnsi="Calibri" w:cs="Arial"/>
                <w:b/>
                <w:bCs/>
                <w:iCs/>
                <w:lang w:eastAsia="es-CL"/>
              </w:rPr>
              <w:t>Inclusión de la Solución Móvil como valor agregado (Ajuste de Alcance):</w:t>
            </w:r>
          </w:p>
          <w:p w14:paraId="3C1B3965" w14:textId="77777777" w:rsidR="003E17FE" w:rsidRPr="006E6A00" w:rsidRDefault="003E17FE" w:rsidP="003E17FE">
            <w:pPr>
              <w:numPr>
                <w:ilvl w:val="0"/>
                <w:numId w:val="8"/>
              </w:numPr>
              <w:jc w:val="both"/>
              <w:rPr>
                <w:rFonts w:ascii="Calibri" w:hAnsi="Calibri" w:cs="Arial"/>
                <w:iCs/>
                <w:lang w:eastAsia="es-CL"/>
              </w:rPr>
            </w:pPr>
            <w:r w:rsidRPr="006E6A00">
              <w:rPr>
                <w:rFonts w:ascii="Calibri" w:hAnsi="Calibri" w:cs="Arial"/>
                <w:b/>
                <w:bCs/>
                <w:iCs/>
                <w:lang w:eastAsia="es-CL"/>
              </w:rPr>
              <w:t>Ajuste realizado:</w:t>
            </w:r>
            <w:r w:rsidRPr="006E6A00">
              <w:rPr>
                <w:rFonts w:ascii="Calibri" w:hAnsi="Calibri" w:cs="Arial"/>
                <w:iCs/>
                <w:lang w:eastAsia="es-CL"/>
              </w:rPr>
              <w:t xml:space="preserve"> Durante la Fase 2 (definición de arquitectura y funciones exactas), se determinó ajustar el plan de trabajo para incorporar una </w:t>
            </w:r>
            <w:r w:rsidRPr="006E6A00">
              <w:rPr>
                <w:rFonts w:ascii="Calibri" w:hAnsi="Calibri" w:cs="Arial"/>
                <w:b/>
                <w:bCs/>
                <w:iCs/>
                <w:lang w:eastAsia="es-CL"/>
              </w:rPr>
              <w:t>propuesta/diseño de solución móvil</w:t>
            </w:r>
            <w:r w:rsidRPr="006E6A00">
              <w:rPr>
                <w:rFonts w:ascii="Calibri" w:hAnsi="Calibri" w:cs="Arial"/>
                <w:iCs/>
                <w:lang w:eastAsia="es-CL"/>
              </w:rPr>
              <w:t xml:space="preserve"> como un módulo extra.</w:t>
            </w:r>
          </w:p>
          <w:p w14:paraId="5A384227" w14:textId="0BF35F78" w:rsidR="0003309E" w:rsidRPr="006E6A00" w:rsidRDefault="003E17FE" w:rsidP="00C5122E">
            <w:pPr>
              <w:numPr>
                <w:ilvl w:val="0"/>
                <w:numId w:val="8"/>
              </w:numPr>
              <w:jc w:val="both"/>
              <w:rPr>
                <w:rFonts w:ascii="Calibri" w:hAnsi="Calibri" w:cs="Arial"/>
                <w:iCs/>
                <w:lang w:eastAsia="es-CL"/>
              </w:rPr>
            </w:pPr>
            <w:r w:rsidRPr="006E6A00">
              <w:rPr>
                <w:rFonts w:ascii="Calibri" w:hAnsi="Calibri" w:cs="Arial"/>
                <w:b/>
                <w:bCs/>
                <w:iCs/>
                <w:lang w:eastAsia="es-CL"/>
              </w:rPr>
              <w:t>Justificación:</w:t>
            </w:r>
            <w:r w:rsidRPr="006E6A00">
              <w:rPr>
                <w:rFonts w:ascii="Calibri" w:hAnsi="Calibri" w:cs="Arial"/>
                <w:iCs/>
                <w:lang w:eastAsia="es-CL"/>
              </w:rPr>
              <w:t xml:space="preserve"> Inicialmente, el proyecto contemplaba un alcance enfocado en la plataforma principal. No obstante, el análisis arquitectónico del Modelo 4+1 y la proyección del Modelo To-Be demostraron que la inclusión de un canal móvil optimizaba significativamente la accesibilidad del sistema y mejoraba la experiencia de usuario final. Al contar con un avance ordenado y dentro de los tiempos en la Fase 1, el equipo dispuso del margen operativo necesario para integrar este requerimiento sin comprometer los entregables principales.</w:t>
            </w: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45AFEDF5" w:rsidR="0003309E" w:rsidRPr="006E6A00" w:rsidRDefault="0003309E" w:rsidP="00585A13">
            <w:pPr>
              <w:jc w:val="both"/>
              <w:rPr>
                <w:rFonts w:ascii="Calibri" w:hAnsi="Calibri" w:cs="Arial"/>
                <w:i/>
                <w:sz w:val="20"/>
                <w:szCs w:val="20"/>
                <w:lang w:eastAsia="es-CL"/>
              </w:rPr>
            </w:pPr>
            <w:r w:rsidRPr="006E6A00">
              <w:rPr>
                <w:rFonts w:ascii="Calibri" w:hAnsi="Calibri"/>
              </w:rPr>
              <w:t>Actividades que no has iniciado o están retrasadas:</w:t>
            </w:r>
            <w:r w:rsidRPr="006E6A00">
              <w:rPr>
                <w:rFonts w:ascii="Calibri" w:hAnsi="Calibri" w:cs="Arial"/>
                <w:i/>
                <w:sz w:val="20"/>
                <w:szCs w:val="20"/>
                <w:lang w:eastAsia="es-CL"/>
              </w:rPr>
              <w:t xml:space="preserve"> </w:t>
            </w:r>
          </w:p>
          <w:p w14:paraId="75C897A7" w14:textId="3ED4C838" w:rsidR="0003309E" w:rsidRPr="006E6A00" w:rsidRDefault="003E17FE" w:rsidP="00585A13">
            <w:pPr>
              <w:jc w:val="both"/>
              <w:rPr>
                <w:rFonts w:ascii="Calibri" w:hAnsi="Calibri" w:cs="Arial"/>
                <w:iCs/>
                <w:lang w:eastAsia="es-CL"/>
              </w:rPr>
            </w:pPr>
            <w:r w:rsidRPr="006E6A00">
              <w:rPr>
                <w:rFonts w:ascii="Calibri" w:hAnsi="Calibri" w:cs="Arial"/>
                <w:iCs/>
                <w:lang w:eastAsia="es-CL"/>
              </w:rPr>
              <w:t>Actualmente, no existen actividades retrasadas ni pendientes de inicio correspondientes a las Fase 1 y Fase 2 del Proyecto APT.</w:t>
            </w: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04188" w14:textId="77777777" w:rsidR="005B1E99" w:rsidRDefault="005B1E99" w:rsidP="0003309E">
      <w:pPr>
        <w:spacing w:after="0" w:line="240" w:lineRule="auto"/>
      </w:pPr>
      <w:r>
        <w:separator/>
      </w:r>
    </w:p>
  </w:endnote>
  <w:endnote w:type="continuationSeparator" w:id="0">
    <w:p w14:paraId="5EB9D69B" w14:textId="77777777" w:rsidR="005B1E99" w:rsidRDefault="005B1E99"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85FB1" w14:textId="77777777" w:rsidR="005B1E99" w:rsidRDefault="005B1E99" w:rsidP="0003309E">
      <w:pPr>
        <w:spacing w:after="0" w:line="240" w:lineRule="auto"/>
      </w:pPr>
      <w:r>
        <w:separator/>
      </w:r>
    </w:p>
  </w:footnote>
  <w:footnote w:type="continuationSeparator" w:id="0">
    <w:p w14:paraId="1A258865" w14:textId="77777777" w:rsidR="005B1E99" w:rsidRDefault="005B1E99"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2B4B"/>
    <w:multiLevelType w:val="multilevel"/>
    <w:tmpl w:val="4B54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C14F1"/>
    <w:multiLevelType w:val="multilevel"/>
    <w:tmpl w:val="17C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258C0"/>
    <w:multiLevelType w:val="multilevel"/>
    <w:tmpl w:val="05DE6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F76FB"/>
    <w:multiLevelType w:val="multilevel"/>
    <w:tmpl w:val="B8B4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7976BD7"/>
    <w:multiLevelType w:val="multilevel"/>
    <w:tmpl w:val="CCD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A5094"/>
    <w:multiLevelType w:val="multilevel"/>
    <w:tmpl w:val="B8B4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251BF"/>
    <w:multiLevelType w:val="multilevel"/>
    <w:tmpl w:val="B8B44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247255">
    <w:abstractNumId w:val="4"/>
  </w:num>
  <w:num w:numId="2" w16cid:durableId="326443182">
    <w:abstractNumId w:val="1"/>
  </w:num>
  <w:num w:numId="3" w16cid:durableId="1664311225">
    <w:abstractNumId w:val="2"/>
  </w:num>
  <w:num w:numId="4" w16cid:durableId="2139257718">
    <w:abstractNumId w:val="0"/>
  </w:num>
  <w:num w:numId="5" w16cid:durableId="227157643">
    <w:abstractNumId w:val="5"/>
  </w:num>
  <w:num w:numId="6" w16cid:durableId="163513587">
    <w:abstractNumId w:val="7"/>
  </w:num>
  <w:num w:numId="7" w16cid:durableId="1231846107">
    <w:abstractNumId w:val="3"/>
  </w:num>
  <w:num w:numId="8" w16cid:durableId="138814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F3A36"/>
    <w:rsid w:val="00215F3A"/>
    <w:rsid w:val="003608EA"/>
    <w:rsid w:val="003E17FE"/>
    <w:rsid w:val="00470CE4"/>
    <w:rsid w:val="004B75F6"/>
    <w:rsid w:val="00521026"/>
    <w:rsid w:val="00545F23"/>
    <w:rsid w:val="00563B43"/>
    <w:rsid w:val="00586C9C"/>
    <w:rsid w:val="005A0A7C"/>
    <w:rsid w:val="005B1E99"/>
    <w:rsid w:val="005B4D4A"/>
    <w:rsid w:val="005C5A3A"/>
    <w:rsid w:val="00603474"/>
    <w:rsid w:val="00675035"/>
    <w:rsid w:val="00675A73"/>
    <w:rsid w:val="006858A7"/>
    <w:rsid w:val="00695E7C"/>
    <w:rsid w:val="006B242E"/>
    <w:rsid w:val="006E6A00"/>
    <w:rsid w:val="00734841"/>
    <w:rsid w:val="007D727C"/>
    <w:rsid w:val="00806DE0"/>
    <w:rsid w:val="0081536B"/>
    <w:rsid w:val="008426D5"/>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64D0E"/>
    <w:rsid w:val="00CE0AA8"/>
    <w:rsid w:val="00D67975"/>
    <w:rsid w:val="00D714E2"/>
    <w:rsid w:val="00DF3386"/>
    <w:rsid w:val="00DF6C21"/>
    <w:rsid w:val="00E50368"/>
    <w:rsid w:val="00E61E68"/>
    <w:rsid w:val="00EA0C09"/>
    <w:rsid w:val="00F0751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8426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customStyle="1" w:styleId="Ttulo4Car">
    <w:name w:val="Título 4 Car"/>
    <w:basedOn w:val="Fuentedeprrafopredeter"/>
    <w:link w:val="Ttulo4"/>
    <w:uiPriority w:val="9"/>
    <w:semiHidden/>
    <w:rsid w:val="008426D5"/>
    <w:rPr>
      <w:rFonts w:asciiTheme="majorHAnsi" w:eastAsiaTheme="majorEastAsia" w:hAnsiTheme="majorHAnsi" w:cstheme="majorBidi"/>
      <w:i/>
      <w:iCs/>
      <w:color w:val="2F5496" w:themeColor="accent1" w:themeShade="BF"/>
      <w:sz w:val="22"/>
      <w:szCs w:val="22"/>
    </w:rPr>
  </w:style>
  <w:style w:type="paragraph" w:styleId="NormalWeb">
    <w:name w:val="Normal (Web)"/>
    <w:basedOn w:val="Normal"/>
    <w:uiPriority w:val="99"/>
    <w:semiHidden/>
    <w:unhideWhenUsed/>
    <w:rsid w:val="003E17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1435</Words>
  <Characters>7897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Jeanette Leonelli</cp:lastModifiedBy>
  <cp:revision>5</cp:revision>
  <dcterms:created xsi:type="dcterms:W3CDTF">2026-10-09T15:56:00Z</dcterms:created>
  <dcterms:modified xsi:type="dcterms:W3CDTF">2026-10-26T19:04:00Z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