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r47nf5n2nqq3"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Joshua Thomas Alexander Tiznado</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Ingenieria en Informatica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2018</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la4axc1jo169"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Programación en Algoritmo</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Dentro de mi dominio para la creación de algoritmos, si bien es dentro de lo competente, aun puede de expandirse y desarrollarse de mejor manera.</w:t>
            </w:r>
          </w:p>
        </w:tc>
      </w:tr>
      <w:tr>
        <w:trPr>
          <w:cantSplit w:val="0"/>
          <w:trHeight w:val="576" w:hRule="atLeast"/>
          <w:tblHeader w:val="0"/>
        </w:trPr>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Desarrollo de Aplicaciones Web y Móviles</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Desarrollo de manera correcta los requisitos, como crear los elementos necesarios para la creación de los aplicativos tanto de escritorio como móviles. Aunque, este siendo una fortaleza mayor, se necesita más experiencia para elaboraciones más avanzadas.</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Análisis de Datos y Big Data</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Es dentro de los análisis de datos que mis habilidades pueden de ser más avanzadas, con un nivel de experiencia mucho mayor puede de lograr un dominio más ágil del mismo.</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Seguridad Informática</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Ha sido poca la experiencia con respecto a seguridad que mi habilidad o dominio se encuentra carente. Necesito de fortalecer con mayor experiencias en el campo para lograr el dominio deseado. </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Consulta y Manejo de Base de Datos</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Mi Manejo en la base de datos es aceptable y estructurado, aunque dentro de mis habilidades que si bien experimentadas, busco la retroalimentación en busca de posibles mejoras para conseguir el dominio excepcional. </w:t>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Diseño de interfaecs para usuarios</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Mi diseño para interfaces de usuario es dentro de lo aceptable, pero no apetece a la vista del usuario en cuanto a la comodidad como facilidad de usar los mismos, por lo que necesitare de reforzar aquellas áreas en específico</w:t>
            </w:r>
          </w:p>
        </w:tc>
      </w:tr>
      <w:tr>
        <w:trPr>
          <w:cantSplit w:val="0"/>
          <w:trHeight w:val="591"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Integración de Plataforma</w:t>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En integración de aplicativos que requieren de una conexión conjunta, si bien tener el conocimiento de lo más básico es aceptable, necesitare de requerir mucho más aprendizaje como dominio en el desarrollo de esta área.</w:t>
            </w:r>
          </w:p>
        </w:tc>
      </w:tr>
      <w:tr>
        <w:trPr>
          <w:cantSplit w:val="0"/>
          <w:trHeight w:val="576"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Comunicación de trabajo y equipo</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Carezco de las fortalezas o métodos de tener un constante comunicado con tanto personal de trabajo, como de equipo de desarrollo, por lo que no solamente debo de fortalecer mi aspecto comunicacion, sino que además de poder trabajar en conjunto con mis futuros como actuales integrantes de equipo.</w:t>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Cg4eByJfX3hoJG3mvgIGxmLF6Q==">CgMxLjAyDmgucjQ3bmY1bjJucXEzMg5oLmxhNGF4YzFqbzE2OTgAciExNVFVZXlOel9fWkRKR1dYQ2ZjRUVhY3BmMUJzM0lBbzk=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