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Cluster using K-means (and maybe other clustering techniques)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Can try different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Build the various portfolios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k=3, k=5, k=7, k=9, k=11 for PCA, t-SNE on aggregate data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Pick the cluster with the highest average return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Balanced Portfolio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Control portfolio - S&amp;P 500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# t-SNE cluster on best year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# t-SNE on worst year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 Compare portfolios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Overall returns on 2019 data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Differences between stocks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Compare to S&amp;P 500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4. Run analysis on t-SNE structure as a whole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How well does k-means capture the individual sectors from the t-SNE graph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5. How to split money in a portfolio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