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Graphs not labelled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Data and algorithms not thoroughly explored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Methodology was wrong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Methodology was too shallow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Exploration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Explore and take into account stocks dropping in and out of S&amp;P 500 Index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Explore different values of PCA (grid search) (take into account variance)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Understand the structure of the t-SNE graph better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Methodology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Need smarter ways of selecting portfolios off a t-SNE graph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-Where on the graph do the “good performers” and “bad performers” or “non-bad” lie?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Need better metrics to evaluate a portfolio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Ideas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Can we use data other than returns for each stock? Can we build t-SNE graphs off this new data?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What is our goal? Are we trying to emphasize portfolio choosing strategy? Emphasize t-SNE?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-Lowest Variance, Highest Return portfolio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t-SNE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Try to capture some feature of the stocks, so that we can choose the same or dissimilar stocks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The structure of the visualization should be used to identify and differentiate features of the data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PCA: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Data is linear? If so, explain PCA doing OK job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Stock Indicators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Price Trends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Chart Patterns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Volume and Momentum Indicators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Oscillators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Moving Averages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Support and Resistance Levels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Portfolio Picking Strategies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Low P/E (Price to Earnings) Ratio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- Can tell you if a stock is over-valued (high ratio) or under-valued (low ratio)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- Doesn’t account for growth or dividend yield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Low Dividend adjusted PEG(Price/Earnings to Growth) Ratio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More accurate than P/E since it accounts for growth of Earnings and dividend yields, which can explain high price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- Still doesn’t account for the actual state of the economy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Low P/B (Price to Book) Ratio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- Useful when a company has inconsistent earnings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- Better for capital-intensive and tangible asset businesses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- Incomplete on its own, and low ratio can also mean financial problems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D/E (Debt to Equity) Ratio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- How much company finances are from borrowed money (debt) vs. shareholder money (equity)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- Higher ratios are riskier, but can also indicate more growth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- Standard values can be industry specific (5 D/E is high in tech, low in manufacturing)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High FCF (Free Cash Flow)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Income focus vs. Capital preservation vs. Capital Appreciation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Portfolio Evaluation Metrics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Treynor Measure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Sharpe Ratio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Jensen Measure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Checklist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Gather comprehensive stock data on current and former S&amp;P 500 stocks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Clean the data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Develop metrics to measure daily market performance (Market Cap Change, P/E ratio, etc.)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Experiment with various combos of PCA and t-SNE (Do grid search)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Look for graphs with high separability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Cluster the resulting best graphs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Pick stocks from various clusters that fit various strategies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Evaluate portfolios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