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맑은 고딕" w:hAnsi="맑은 고딕" w:eastAsia="맑은 고딕"/>
          <w:b/>
          <w:color w:val="4F46E5"/>
          <w:sz w:val="44"/>
        </w:rPr>
        <w:t>에스킴 ERP 데모 사용 가이드</w:t>
      </w:r>
    </w:p>
    <w:p>
      <w:r>
        <w:rPr>
          <w:rFonts w:ascii="맑은 고딕" w:hAnsi="맑은 고딕" w:eastAsia="맑은 고딕"/>
          <w:color w:val="6B7280"/>
          <w:sz w:val="22"/>
        </w:rPr>
        <w:t>거래처·매출·매입·판관비 통합 관리 — 데모 버전</w:t>
      </w:r>
    </w:p>
    <w:p/>
    <w:p>
      <w:pPr>
        <w:spacing w:before="240" w:after="80"/>
      </w:pPr>
      <w:r>
        <w:rPr>
          <w:rFonts w:ascii="맑은 고딕" w:hAnsi="맑은 고딕" w:eastAsia="맑은 고딕"/>
          <w:b/>
          <w:color w:val="4F46E5"/>
          <w:sz w:val="30"/>
        </w:rPr>
        <w:t>1. 접속 &amp; 로그인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1"/>
        </w:rPr>
        <w:t>웹 브라우저(크롬 권장)에서 아래 주소로 접속합니다.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 xml:space="preserve">주소:  </w:t>
      </w:r>
      <w:r>
        <w:rPr>
          <w:rFonts w:ascii="맑은 고딕" w:hAnsi="맑은 고딕" w:eastAsia="맑은 고딕"/>
        </w:rPr>
        <w:t>http://localhost:3300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1"/>
        </w:rPr>
        <w:t>아래 데모 계정으로 로그인하세요.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아이디(이메일)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b/>
              </w:rPr>
              <w:t>비밀번호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관리자 (전체 권한)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admin@askim.local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askim2026!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영업 담당자 (예시)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kim.hj@askim.local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</w:rPr>
              <w:t>askim2026!</w:t>
            </w:r>
          </w:p>
        </w:tc>
      </w:tr>
    </w:tbl>
    <w:p>
      <w:pPr>
        <w:spacing w:after="40"/>
      </w:pPr>
      <w:r>
        <w:rPr>
          <w:rFonts w:ascii="맑은 고딕" w:hAnsi="맑은 고딕" w:eastAsia="맑은 고딕"/>
          <w:b w:val="0"/>
          <w:sz w:val="21"/>
        </w:rPr>
      </w:r>
    </w:p>
    <w:p>
      <w:pPr>
        <w:spacing w:after="40"/>
      </w:pPr>
      <w:r>
        <w:rPr>
          <w:rFonts w:ascii="맑은 고딕" w:hAnsi="맑은 고딕" w:eastAsia="맑은 고딕"/>
          <w:b w:val="0"/>
          <w:color w:val="6B7280"/>
          <w:sz w:val="19"/>
        </w:rPr>
        <w:t>※ 관리자 계정은 모든 메뉴를, 영업 계정은 영업/리포트 메뉴를 사용할 수 있습니다.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4F46E5"/>
          <w:sz w:val="30"/>
        </w:rPr>
        <w:t>2. 화면 구성 (왼쪽 메뉴)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 xml:space="preserve">대시보드 — </w:t>
      </w:r>
      <w:r>
        <w:rPr>
          <w:rFonts w:ascii="맑은 고딕" w:hAnsi="맑은 고딕" w:eastAsia="맑은 고딕"/>
        </w:rPr>
        <w:t>이번 달 매출·매입·손익 요약과 미입금/미결산 알림을 봅니다.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 xml:space="preserve">거래 — </w:t>
      </w:r>
      <w:r>
        <w:rPr>
          <w:rFonts w:ascii="맑은 고딕" w:hAnsi="맑은 고딕" w:eastAsia="맑은 고딕"/>
        </w:rPr>
        <w:t>매출·매입 거래 목록 조회, 새 거래 등록·수정, CSV 내려받기.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 xml:space="preserve">거래처 — </w:t>
      </w:r>
      <w:r>
        <w:rPr>
          <w:rFonts w:ascii="맑은 고딕" w:hAnsi="맑은 고딕" w:eastAsia="맑은 고딕"/>
        </w:rPr>
        <w:t>매체사·광고주·대행사 거래처 관리(역할 필터 검색).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 xml:space="preserve">판관비 — </w:t>
      </w:r>
      <w:r>
        <w:rPr>
          <w:rFonts w:ascii="맑은 고딕" w:hAnsi="맑은 고딕" w:eastAsia="맑은 고딕"/>
        </w:rPr>
        <w:t>법인/개인카드·현금 지출 내역 조회 및 입력.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 xml:space="preserve">리포트 — </w:t>
      </w:r>
      <w:r>
        <w:rPr>
          <w:rFonts w:ascii="맑은 고딕" w:hAnsi="맑은 고딕" w:eastAsia="맑은 고딕"/>
        </w:rPr>
        <w:t>매출장표·월별 손익·TOP 거래처 분석.</w:t>
      </w:r>
    </w:p>
    <w:p>
      <w:pPr>
        <w:pStyle w:val="ListBullet"/>
        <w:spacing w:after="20"/>
      </w:pPr>
      <w:r>
        <w:rPr>
          <w:rFonts w:ascii="맑은 고딕" w:hAnsi="맑은 고딕" w:eastAsia="맑은 고딕"/>
          <w:b/>
        </w:rPr>
        <w:t xml:space="preserve">관리 — </w:t>
      </w:r>
      <w:r>
        <w:rPr>
          <w:rFonts w:ascii="맑은 고딕" w:hAnsi="맑은 고딕" w:eastAsia="맑은 고딕"/>
        </w:rPr>
        <w:t>(관리자 전용) 사용자 권한, 기준정보 관리.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4F46E5"/>
          <w:sz w:val="30"/>
        </w:rPr>
        <w:t>3. 기본 사용법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거래 등록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‘거래’ 메뉴 → 오른쪽 위 [새 거래] 클릭.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왼쪽=매출, 오른쪽=매입을 입력하면 부가세·손익·성과급이 자동 계산됩니다.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거래처 칸에 이름을 입력하면 자동완성되고, 없으면 그 자리에서 바로 등록할 수 있습니다.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[임시저장] 또는 [확정저장]으로 저장합니다. 거래코드는 자동 부여됩니다.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거래처 관리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상호명·사업자번호로 검색하고, 역할(매체사/광고주/대행사)로 필터합니다.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[새 거래처]로 등록, 행을 클릭해 수정합니다.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판관비 입력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‘판관비’ → [판관비 입력]에서 여러 건을 표에 한 번에 적고 [일괄저장].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지출수단(법인/개인카드·현금)과 지출자를 함께 선택합니다.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리포트 보기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매출장표: 귀속월 기준 / 통장(입금일) 기준을 토글해서 봅니다.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월별 손익: 매출총이익·판관비·영업이익·십일조를 월별로 확인합니다.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TOP 거래처: 매출순/손익순 상위 거래처를 봅니다.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CSV 내려받기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거래·거래처·판관비 목록의 [CSV] 버튼으로 현재 필터 결과를 엑셀로 받습니다.</w:t>
      </w:r>
    </w:p>
    <w:p>
      <w:pPr>
        <w:spacing w:after="40"/>
      </w:pPr>
      <w:r>
        <w:rPr>
          <w:rFonts w:ascii="맑은 고딕" w:hAnsi="맑은 고딕" w:eastAsia="맑은 고딕"/>
          <w:b/>
          <w:sz w:val="21"/>
        </w:rPr>
        <w:t>내 프로필 / 로그아웃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왼쪽 아래 내 이름 클릭 → [내 프로필](이름·비밀번호 변경) 또는 [로그아웃].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4F46E5"/>
          <w:sz w:val="30"/>
        </w:rPr>
        <w:t>4. 권한 안내 (간단)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모든 사용자는 거래·거래처·판관비 목록을 조회할 수 있습니다.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영업 담당자는 ‘본인’ 거래만 수정할 수 있고, 완료된 거래는 회계만 수정합니다.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거래처의 사업자번호·계좌·수수료 같은 민감 정보는 회계/관리자만 변경합니다.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‘관리’ 메뉴는 관리자만 접근할 수 있습니다.</w:t>
      </w:r>
    </w:p>
    <w:p>
      <w:pPr>
        <w:spacing w:before="240" w:after="80"/>
      </w:pPr>
      <w:r>
        <w:rPr>
          <w:rFonts w:ascii="맑은 고딕" w:hAnsi="맑은 고딕" w:eastAsia="맑은 고딕"/>
          <w:b/>
          <w:color w:val="4F46E5"/>
          <w:sz w:val="30"/>
        </w:rPr>
        <w:t>5. 참고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화면의 숫자는 실제 회계 엑셀에서 이관한 데모 데이터입니다 (거래 약 611건, 거래처 633건, 판관비 약 2,028건).</w:t>
      </w:r>
    </w:p>
    <w:p>
      <w:pPr>
        <w:pStyle w:val="ListBullet"/>
        <w:spacing w:after="20"/>
      </w:pPr>
      <w:r>
        <w:rPr>
          <w:rFonts w:ascii="맑은 고딕" w:hAnsi="맑은 고딕" w:eastAsia="맑은 고딕"/>
        </w:rPr>
        <w:t>데모 단계라 일부 기능(성과급 마스킹 등)은 추가 예정입니다.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