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74f8a71a6b4e401c" /><Relationship Type="http://schemas.openxmlformats.org/package/2006/relationships/metadata/core-properties" Target="/package/services/metadata/core-properties/7a072df07c954826b0a5dc804109c242.psmdcp" Id="R21a4ab65b2e34de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color w:val="666666"/>
          <w:sz w:val="28"/>
          <w:szCs w:val="28"/>
          <w:rtl w:val="0"/>
        </w:rPr>
        <w:t xml:space="preserve">Task 5: Modules &amp; Services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spacing w:after="200" w:line="276" w:lineRule="auto"/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Courses page implementation continue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Create service for courses. Implement next methods: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Get list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Create course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Get item by id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Update item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2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Remove item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e0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e06666"/>
          <w:sz w:val="24"/>
          <w:szCs w:val="24"/>
          <w:rtl w:val="0"/>
        </w:rPr>
        <w:t xml:space="preserve">Do not use http module to solve a task.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 static collection of courses in the service.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Remove static array in your courses component. Use service instead. Call service for items in appropriate lifecycle hook.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 delete action.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 confirmation modal on delete item. (Do you really want to delete this course? Yes/No). You can use simple prompt window, third party package, your own solution to render modal.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Create authorization service. Implement next methods: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Login (stores fake user info and token to local storage)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Logout (wipes fake user info and token from local storage)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IsAuthenticated (boolean)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3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GetUserInfo (returns user login)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Use authService in header component. Implement fake action on logout (wipe user info, console.log action name)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Implement Login page: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drawing>
          <wp:inline xmlns:wp14="http://schemas.microsoft.com/office/word/2010/wordprocessingDrawing" distT="114300" distB="114300" distL="114300" distR="114300" wp14:anchorId="5856EDA2" wp14:editId="7777777">
            <wp:extent cx="5943600" cy="443230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Reuse header/footer components. Implement logic to hide breadcrumbs and user info block (call isAuth and act corresponding to result. Use *ngIf.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Create markup, module and component for login page. Do not implement any validation here. No form for this step. Just bind value to the component class property.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On “Login” button click - use login method of your authService. Then just console log ‘logged in successfully’. Fake for now.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You don’t have to make routing. At this step we don’t know what routing is. So please use familiar construction below:</w:t>
      </w:r>
    </w:p>
    <w:p xmlns:wp14="http://schemas.microsoft.com/office/word/2010/wordml" w:rsidRPr="00000000" w:rsidR="00000000" w:rsidDel="00000000" w:rsidP="61D106F6" w:rsidRDefault="00000000" w14:paraId="00000019" wp14:noSpellErr="1" wp14:textId="336D28F4">
      <w:pPr>
        <w:spacing w:after="200" w:line="276" w:lineRule="auto"/>
        <w:contextualSpacing w:val="0"/>
        <w:rPr>
          <w:rFonts w:ascii="Calibri" w:hAnsi="Calibri" w:eastAsia="Calibri" w:cs="Calibri"/>
          <w:color w:val="E0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Place &lt;login-page&gt;&lt;/login-page&gt; into app component.</w:t>
      </w:r>
      <w:r>
        <w:br/>
      </w:r>
      <w:r w:rsidRPr="00000000" w:rsidDel="00000000" w:rsidR="00000000">
        <w:rPr>
          <w:rFonts w:ascii="Calibri" w:hAnsi="Calibri" w:eastAsia="Calibri" w:cs="Calibri"/>
          <w:color w:val="e06666"/>
          <w:sz w:val="24"/>
          <w:szCs w:val="24"/>
        </w:rPr>
        <w:t xml:space="preserve">*If you want to use routing - please go ahead. You don’t need but no restriction here.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after="200" w:line="276" w:lineRule="auto"/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Criteria for evaluation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4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Nothing changed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numPr>
          <w:ilvl w:val="0"/>
          <w:numId w:val="4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Added some simple markup + css for login page. Added services but not working.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4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Partially done with critical issues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4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Added implementations for services, login page.</w:t>
      </w:r>
    </w:p>
    <w:p xmlns:wp14="http://schemas.microsoft.com/office/word/2010/wordml" w:rsidRPr="00000000" w:rsidR="00000000" w:rsidDel="00000000" w:rsidP="61D106F6" w:rsidRDefault="00000000" w14:paraId="00000020" wp14:textId="77777777">
      <w:pPr>
        <w:numPr>
          <w:ilvl w:val="0"/>
          <w:numId w:val="4"/>
        </w:numPr>
        <w:ind w:left="720" w:hanging="360"/>
        <w:contextualSpacing w:val="1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</w:rPr>
        <w:t xml:space="preserve">Done all above without major issues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Extra task: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contextualSpacing w:val="0"/>
        <w:rPr>
          <w:rFonts w:ascii="Calibri" w:hAnsi="Calibri" w:eastAsia="Calibri" w:cs="Calibri"/>
          <w:color w:val="666666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666666"/>
          <w:sz w:val="24"/>
          <w:szCs w:val="24"/>
          <w:rtl w:val="0"/>
        </w:rPr>
        <w:t xml:space="preserve">Proceed with unit testing. Now you have your first services. It’s time to cover them with unit tests. Related materials provided in the micro lecture after general.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contextualSpacing w:val="0"/>
        <w:jc w:val="center"/>
        <w:rPr>
          <w:rFonts w:ascii="Calibri" w:hAnsi="Calibri" w:eastAsia="Calibri" w:cs="Calibri"/>
          <w:b w:val="1"/>
          <w:color w:val="666666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contextualSpacing w:val="0"/>
        <w:jc w:val="center"/>
        <w:rPr>
          <w:rFonts w:ascii="Calibri" w:hAnsi="Calibri" w:eastAsia="Calibri" w:cs="Calibri"/>
          <w:color w:val="666666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contextualSpacing w:val="0"/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644405B"/>
  <w15:docId w15:val="{42eef035-a1e3-40a9-be0a-7b3bc6a0bdae}"/>
  <w:rsids>
    <w:rsidRoot w:val="61D106F6"/>
    <w:rsid w:val="61D106F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2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