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7A5468" w:rsidRPr="007F49D3" w:rsidRDefault="005F1376" w:rsidP="009444E6">
      <w:pPr>
        <w:spacing w:before="0"/>
        <w:rPr>
          <w:b/>
          <w:color w:val="943634" w:themeColor="accent2" w:themeShade="BF"/>
          <w:sz w:val="24"/>
          <w:lang w:eastAsia="ja-JP"/>
        </w:rPr>
      </w:pPr>
      <w:r w:rsidRPr="007F49D3">
        <w:rPr>
          <w:b/>
          <w:color w:val="943634" w:themeColor="accent2" w:themeShade="BF"/>
          <w:sz w:val="24"/>
          <w:lang w:eastAsia="ja-JP"/>
        </w:rPr>
        <w:t xml:space="preserve">Detailed </w:t>
      </w:r>
      <w:r w:rsidR="004D69F5">
        <w:rPr>
          <w:b/>
          <w:color w:val="943634" w:themeColor="accent2" w:themeShade="BF"/>
          <w:sz w:val="24"/>
          <w:lang w:eastAsia="ja-JP"/>
        </w:rPr>
        <w:t>d</w:t>
      </w:r>
      <w:r w:rsidRPr="007F49D3">
        <w:rPr>
          <w:b/>
          <w:color w:val="943634" w:themeColor="accent2" w:themeShade="BF"/>
          <w:sz w:val="24"/>
          <w:lang w:eastAsia="ja-JP"/>
        </w:rPr>
        <w:t xml:space="preserve">ataset </w:t>
      </w:r>
      <w:r w:rsidR="004D69F5">
        <w:rPr>
          <w:b/>
          <w:color w:val="943634" w:themeColor="accent2" w:themeShade="BF"/>
          <w:sz w:val="24"/>
          <w:lang w:eastAsia="ja-JP"/>
        </w:rPr>
        <w:t xml:space="preserve">information </w:t>
      </w:r>
      <w:r w:rsidR="00775D94">
        <w:rPr>
          <w:b/>
          <w:color w:val="943634" w:themeColor="accent2" w:themeShade="BF"/>
          <w:sz w:val="24"/>
          <w:lang w:eastAsia="ja-JP"/>
        </w:rPr>
        <w:t>sheet</w:t>
      </w:r>
      <w:r w:rsidR="004D69F5">
        <w:rPr>
          <w:b/>
          <w:color w:val="943634" w:themeColor="accent2" w:themeShade="BF"/>
          <w:sz w:val="24"/>
          <w:lang w:eastAsia="ja-JP"/>
        </w:rPr>
        <w:t xml:space="preserve"> </w:t>
      </w:r>
    </w:p>
    <w:p w:rsidR="007A5468" w:rsidRDefault="007A5468" w:rsidP="009444E6">
      <w:pPr>
        <w:spacing w:before="0"/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5F1376" w:rsidTr="00DC0A62">
        <w:trPr>
          <w:trHeight w:val="284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:rsidR="005F1376" w:rsidRDefault="005F1376" w:rsidP="005F1376">
            <w:pPr>
              <w:spacing w:before="0"/>
              <w:jc w:val="right"/>
              <w:rPr>
                <w:lang w:eastAsia="ja-JP"/>
              </w:rPr>
            </w:pPr>
            <w:r w:rsidRPr="00543197">
              <w:rPr>
                <w:b/>
                <w:sz w:val="18"/>
                <w:lang w:eastAsia="ja-JP"/>
              </w:rPr>
              <w:t>Information</w:t>
            </w:r>
            <w:r>
              <w:rPr>
                <w:b/>
                <w:sz w:val="18"/>
                <w:lang w:eastAsia="ja-JP"/>
              </w:rPr>
              <w:t xml:space="preserve"> </w:t>
            </w:r>
            <w:r w:rsidRPr="00543197">
              <w:rPr>
                <w:b/>
                <w:sz w:val="18"/>
                <w:lang w:eastAsia="ja-JP"/>
              </w:rPr>
              <w:t>Objective</w:t>
            </w:r>
          </w:p>
        </w:tc>
        <w:tc>
          <w:tcPr>
            <w:tcW w:w="5760" w:type="dxa"/>
            <w:vAlign w:val="center"/>
          </w:tcPr>
          <w:p w:rsidR="00C47C0A" w:rsidRPr="00DC0A62" w:rsidRDefault="00C47C0A" w:rsidP="00DC0A62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Roads and Transport Hubs</w:t>
            </w:r>
          </w:p>
        </w:tc>
      </w:tr>
      <w:tr w:rsidR="005F1376" w:rsidTr="00DC0A62">
        <w:trPr>
          <w:trHeight w:val="284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:rsidR="005F1376" w:rsidRDefault="005F1376" w:rsidP="005F1376">
            <w:pPr>
              <w:spacing w:before="0"/>
              <w:jc w:val="right"/>
              <w:rPr>
                <w:lang w:eastAsia="ja-JP"/>
              </w:rPr>
            </w:pPr>
            <w:r w:rsidRPr="00543197">
              <w:rPr>
                <w:b/>
                <w:sz w:val="18"/>
                <w:lang w:eastAsia="ja-JP"/>
              </w:rPr>
              <w:t>Data Products</w:t>
            </w:r>
          </w:p>
        </w:tc>
        <w:tc>
          <w:tcPr>
            <w:tcW w:w="5760" w:type="dxa"/>
            <w:vAlign w:val="center"/>
          </w:tcPr>
          <w:p w:rsidR="00016904" w:rsidRPr="00DC0A62" w:rsidRDefault="00016904" w:rsidP="008376D1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 xml:space="preserve">Coles </w:t>
            </w:r>
            <w:r w:rsidR="00A803E9">
              <w:rPr>
                <w:sz w:val="18"/>
                <w:lang w:eastAsia="ja-JP"/>
              </w:rPr>
              <w:t>Distribution Centres</w:t>
            </w:r>
          </w:p>
        </w:tc>
      </w:tr>
      <w:tr w:rsidR="005F1376" w:rsidTr="00DC0A62">
        <w:trPr>
          <w:trHeight w:val="284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:rsidR="005F1376" w:rsidRDefault="005F1376" w:rsidP="005F1376">
            <w:pPr>
              <w:spacing w:before="0"/>
              <w:jc w:val="right"/>
              <w:rPr>
                <w:lang w:eastAsia="ja-JP"/>
              </w:rPr>
            </w:pPr>
            <w:r w:rsidRPr="00543197">
              <w:rPr>
                <w:b/>
                <w:sz w:val="18"/>
                <w:lang w:eastAsia="ja-JP"/>
              </w:rPr>
              <w:t>Information</w:t>
            </w:r>
            <w:r>
              <w:rPr>
                <w:b/>
                <w:sz w:val="18"/>
                <w:lang w:eastAsia="ja-JP"/>
              </w:rPr>
              <w:t xml:space="preserve"> </w:t>
            </w:r>
            <w:r w:rsidRPr="00543197">
              <w:rPr>
                <w:b/>
                <w:sz w:val="18"/>
                <w:lang w:eastAsia="ja-JP"/>
              </w:rPr>
              <w:t>Source / Model Product</w:t>
            </w:r>
          </w:p>
        </w:tc>
        <w:tc>
          <w:tcPr>
            <w:tcW w:w="5760" w:type="dxa"/>
            <w:vAlign w:val="center"/>
          </w:tcPr>
          <w:p w:rsidR="005F1376" w:rsidRPr="00DC0A62" w:rsidRDefault="008376D1" w:rsidP="00DC0A62">
            <w:pPr>
              <w:spacing w:before="0"/>
              <w:rPr>
                <w:sz w:val="18"/>
                <w:lang w:eastAsia="ja-JP"/>
              </w:rPr>
            </w:pPr>
            <w:hyperlink r:id="rId8" w:history="1">
              <w:r w:rsidRPr="008376D1">
                <w:rPr>
                  <w:rStyle w:val="Hyperlink"/>
                  <w:sz w:val="18"/>
                  <w:lang w:eastAsia="ja-JP"/>
                </w:rPr>
                <w:t>Coles corporate website</w:t>
              </w:r>
            </w:hyperlink>
            <w:r w:rsidR="00A803E9">
              <w:rPr>
                <w:sz w:val="18"/>
                <w:lang w:eastAsia="ja-JP"/>
              </w:rPr>
              <w:t xml:space="preserve">, </w:t>
            </w:r>
            <w:r w:rsidR="00C47C0A">
              <w:rPr>
                <w:sz w:val="18"/>
                <w:lang w:eastAsia="ja-JP"/>
              </w:rPr>
              <w:t>G</w:t>
            </w:r>
            <w:r w:rsidR="00082917">
              <w:rPr>
                <w:sz w:val="18"/>
                <w:lang w:eastAsia="ja-JP"/>
              </w:rPr>
              <w:t>oogle Maps, Earth and Search Engine</w:t>
            </w:r>
          </w:p>
        </w:tc>
      </w:tr>
      <w:tr w:rsidR="00C47C0A" w:rsidTr="00DC0A62">
        <w:trPr>
          <w:trHeight w:val="284"/>
        </w:trPr>
        <w:tc>
          <w:tcPr>
            <w:tcW w:w="3256" w:type="dxa"/>
            <w:shd w:val="clear" w:color="auto" w:fill="D9D9D9" w:themeFill="background1" w:themeFillShade="D9"/>
          </w:tcPr>
          <w:p w:rsidR="00C47C0A" w:rsidRDefault="00C47C0A" w:rsidP="00C47C0A">
            <w:pPr>
              <w:jc w:val="right"/>
              <w:rPr>
                <w:lang w:eastAsia="ja-JP"/>
              </w:rPr>
            </w:pPr>
            <w:r>
              <w:rPr>
                <w:b/>
                <w:sz w:val="18"/>
                <w:lang w:eastAsia="ja-JP"/>
              </w:rPr>
              <w:t>Product Completion Progress</w:t>
            </w:r>
          </w:p>
        </w:tc>
        <w:tc>
          <w:tcPr>
            <w:tcW w:w="5760" w:type="dxa"/>
            <w:vAlign w:val="center"/>
          </w:tcPr>
          <w:p w:rsidR="00C47C0A" w:rsidRDefault="00016904" w:rsidP="00C47C0A">
            <w:pPr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Bunning</w:t>
            </w:r>
            <w:r w:rsidR="00A803E9">
              <w:rPr>
                <w:sz w:val="18"/>
                <w:lang w:eastAsia="ja-JP"/>
              </w:rPr>
              <w:t xml:space="preserve">s </w:t>
            </w:r>
            <w:r>
              <w:rPr>
                <w:sz w:val="18"/>
                <w:lang w:eastAsia="ja-JP"/>
              </w:rPr>
              <w:t xml:space="preserve">retail sites </w:t>
            </w:r>
            <w:r w:rsidR="00A803E9">
              <w:rPr>
                <w:sz w:val="18"/>
                <w:lang w:eastAsia="ja-JP"/>
              </w:rPr>
              <w:t>complete</w:t>
            </w:r>
          </w:p>
          <w:p w:rsidR="00016904" w:rsidRDefault="00016904" w:rsidP="00C47C0A">
            <w:pPr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Bunnings Trade/distribution sites in progress</w:t>
            </w:r>
          </w:p>
          <w:p w:rsidR="00A803E9" w:rsidRDefault="00016904" w:rsidP="00A803E9">
            <w:pPr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Coles general distribution centres complete</w:t>
            </w:r>
          </w:p>
          <w:p w:rsidR="00016904" w:rsidRDefault="00016904" w:rsidP="00A803E9">
            <w:pPr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Coles product specific distribution centres e.g. fresh produce in progress</w:t>
            </w:r>
          </w:p>
          <w:p w:rsidR="00A803E9" w:rsidRPr="00DC0A62" w:rsidRDefault="00016904" w:rsidP="00A803E9">
            <w:pPr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Woolworths</w:t>
            </w:r>
            <w:r w:rsidR="00A803E9">
              <w:rPr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Distribution Centres complete</w:t>
            </w:r>
          </w:p>
        </w:tc>
      </w:tr>
      <w:tr w:rsidR="00C47C0A" w:rsidTr="00DC0A62">
        <w:trPr>
          <w:trHeight w:val="284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:rsidR="00C47C0A" w:rsidRDefault="00C47C0A" w:rsidP="00C47C0A">
            <w:pPr>
              <w:spacing w:before="0"/>
              <w:jc w:val="right"/>
              <w:rPr>
                <w:lang w:eastAsia="ja-JP"/>
              </w:rPr>
            </w:pPr>
            <w:r>
              <w:rPr>
                <w:b/>
                <w:sz w:val="18"/>
                <w:lang w:eastAsia="ja-JP"/>
              </w:rPr>
              <w:t>Dataset / Metadata Document</w:t>
            </w:r>
          </w:p>
        </w:tc>
        <w:tc>
          <w:tcPr>
            <w:tcW w:w="5760" w:type="dxa"/>
            <w:vAlign w:val="center"/>
          </w:tcPr>
          <w:p w:rsidR="00C47C0A" w:rsidRDefault="00C47C0A" w:rsidP="00C47C0A">
            <w:pPr>
              <w:spacing w:before="0"/>
            </w:pPr>
          </w:p>
          <w:p w:rsidR="004F206C" w:rsidRDefault="00D87B18" w:rsidP="004F206C">
            <w:pPr>
              <w:spacing w:before="0"/>
              <w:rPr>
                <w:sz w:val="18"/>
                <w:lang w:eastAsia="ja-JP"/>
              </w:rPr>
            </w:pPr>
            <w:hyperlink r:id="rId9" w:history="1">
              <w:proofErr w:type="spellStart"/>
              <w:r w:rsidR="004F206C" w:rsidRPr="00033BB0">
                <w:rPr>
                  <w:rStyle w:val="Hyperlink"/>
                  <w:sz w:val="18"/>
                  <w:lang w:eastAsia="ja-JP"/>
                </w:rPr>
                <w:t>ColesDistributionCentresUniqueGPS.shp</w:t>
              </w:r>
              <w:proofErr w:type="spellEnd"/>
            </w:hyperlink>
          </w:p>
          <w:p w:rsidR="004F206C" w:rsidRDefault="00D87B18" w:rsidP="004F206C">
            <w:pPr>
              <w:spacing w:before="0"/>
              <w:rPr>
                <w:rStyle w:val="Hyperlink"/>
                <w:sz w:val="18"/>
                <w:lang w:eastAsia="ja-JP"/>
              </w:rPr>
            </w:pPr>
            <w:hyperlink r:id="rId10" w:history="1">
              <w:r w:rsidR="004F206C" w:rsidRPr="00033BB0">
                <w:rPr>
                  <w:rStyle w:val="Hyperlink"/>
                  <w:sz w:val="18"/>
                  <w:lang w:eastAsia="ja-JP"/>
                </w:rPr>
                <w:t>Coles – Australian Distribution Centres Metadat</w:t>
              </w:r>
              <w:r w:rsidR="004F206C">
                <w:rPr>
                  <w:rStyle w:val="Hyperlink"/>
                  <w:sz w:val="18"/>
                  <w:lang w:eastAsia="ja-JP"/>
                </w:rPr>
                <w:t>a.pdf</w:t>
              </w:r>
            </w:hyperlink>
          </w:p>
          <w:p w:rsidR="004F206C" w:rsidRPr="00DC0A62" w:rsidRDefault="004F206C" w:rsidP="008376D1">
            <w:pPr>
              <w:spacing w:before="0"/>
              <w:rPr>
                <w:sz w:val="18"/>
                <w:lang w:eastAsia="ja-JP"/>
              </w:rPr>
            </w:pPr>
          </w:p>
        </w:tc>
      </w:tr>
      <w:tr w:rsidR="00C47C0A" w:rsidTr="00DC0A62">
        <w:trPr>
          <w:trHeight w:val="284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:rsidR="00C47C0A" w:rsidRDefault="00C47C0A" w:rsidP="00C47C0A">
            <w:pPr>
              <w:spacing w:before="0"/>
              <w:jc w:val="right"/>
              <w:rPr>
                <w:b/>
                <w:sz w:val="18"/>
                <w:lang w:eastAsia="ja-JP"/>
              </w:rPr>
            </w:pPr>
            <w:r>
              <w:rPr>
                <w:b/>
                <w:sz w:val="18"/>
                <w:lang w:eastAsia="ja-JP"/>
              </w:rPr>
              <w:t>Dataset Use</w:t>
            </w:r>
          </w:p>
        </w:tc>
        <w:tc>
          <w:tcPr>
            <w:tcW w:w="5760" w:type="dxa"/>
            <w:vAlign w:val="center"/>
          </w:tcPr>
          <w:p w:rsidR="00C47C0A" w:rsidRPr="00DC0A62" w:rsidRDefault="00C47C0A" w:rsidP="00C47C0A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Surveillance Strategy and Design, Pathway risk analysis</w:t>
            </w:r>
          </w:p>
        </w:tc>
      </w:tr>
    </w:tbl>
    <w:p w:rsidR="007A5468" w:rsidRDefault="007A5468" w:rsidP="00905F94">
      <w:pPr>
        <w:rPr>
          <w:lang w:eastAsia="ja-JP"/>
        </w:rPr>
      </w:pPr>
    </w:p>
    <w:p w:rsidR="007A5468" w:rsidRPr="00AE4712" w:rsidRDefault="00AE4712" w:rsidP="00905F94">
      <w:pPr>
        <w:rPr>
          <w:b/>
          <w:u w:val="single"/>
          <w:lang w:eastAsia="ja-JP"/>
        </w:rPr>
      </w:pPr>
      <w:r>
        <w:rPr>
          <w:b/>
          <w:u w:val="single"/>
          <w:lang w:eastAsia="ja-JP"/>
        </w:rPr>
        <w:t>Background</w:t>
      </w:r>
    </w:p>
    <w:p w:rsidR="007A5468" w:rsidRDefault="00DE4831" w:rsidP="00905F94">
      <w:pPr>
        <w:rPr>
          <w:lang w:eastAsia="ja-JP"/>
        </w:rPr>
      </w:pPr>
      <w:r>
        <w:rPr>
          <w:lang w:eastAsia="ja-JP"/>
        </w:rPr>
        <w:t xml:space="preserve">A national point feature spatial dataset layer identifying </w:t>
      </w:r>
      <w:r w:rsidR="003A38B1">
        <w:rPr>
          <w:lang w:eastAsia="ja-JP"/>
        </w:rPr>
        <w:t xml:space="preserve">major </w:t>
      </w:r>
      <w:r w:rsidR="004603EA">
        <w:rPr>
          <w:lang w:eastAsia="ja-JP"/>
        </w:rPr>
        <w:t>distribution centres</w:t>
      </w:r>
      <w:r>
        <w:rPr>
          <w:lang w:eastAsia="ja-JP"/>
        </w:rPr>
        <w:t xml:space="preserve"> </w:t>
      </w:r>
      <w:r w:rsidR="003A38B1">
        <w:rPr>
          <w:lang w:eastAsia="ja-JP"/>
        </w:rPr>
        <w:t xml:space="preserve">for Bunnings, Coles and Woolworths </w:t>
      </w:r>
      <w:r w:rsidR="004603EA">
        <w:rPr>
          <w:lang w:eastAsia="ja-JP"/>
        </w:rPr>
        <w:t>is currently being</w:t>
      </w:r>
      <w:r>
        <w:rPr>
          <w:lang w:eastAsia="ja-JP"/>
        </w:rPr>
        <w:t xml:space="preserve"> developed utilising publicly available information </w:t>
      </w:r>
      <w:r w:rsidR="004603EA">
        <w:rPr>
          <w:lang w:eastAsia="ja-JP"/>
        </w:rPr>
        <w:t xml:space="preserve">from </w:t>
      </w:r>
      <w:r>
        <w:rPr>
          <w:lang w:eastAsia="ja-JP"/>
        </w:rPr>
        <w:t>Google Earth, Google Maps and associated search engine</w:t>
      </w:r>
      <w:r w:rsidR="00DC0A62">
        <w:rPr>
          <w:lang w:eastAsia="ja-JP"/>
        </w:rPr>
        <w:t>.</w:t>
      </w:r>
    </w:p>
    <w:p w:rsidR="00AE689E" w:rsidRDefault="00DE4831" w:rsidP="00905F94">
      <w:pPr>
        <w:rPr>
          <w:lang w:eastAsia="ja-JP"/>
        </w:rPr>
      </w:pPr>
      <w:r>
        <w:rPr>
          <w:lang w:eastAsia="ja-JP"/>
        </w:rPr>
        <w:t xml:space="preserve">The initial facilities </w:t>
      </w:r>
      <w:r w:rsidR="00AE689E">
        <w:rPr>
          <w:lang w:eastAsia="ja-JP"/>
        </w:rPr>
        <w:t xml:space="preserve">for these corporate entities were </w:t>
      </w:r>
      <w:r>
        <w:rPr>
          <w:lang w:eastAsia="ja-JP"/>
        </w:rPr>
        <w:t xml:space="preserve">identified </w:t>
      </w:r>
      <w:r w:rsidR="004603EA">
        <w:rPr>
          <w:lang w:eastAsia="ja-JP"/>
        </w:rPr>
        <w:t>from th</w:t>
      </w:r>
      <w:r w:rsidR="00AE689E">
        <w:rPr>
          <w:lang w:eastAsia="ja-JP"/>
        </w:rPr>
        <w:t xml:space="preserve">eir corporate websites. For Woolworths, an excel spreadsheet containing all their locations was procured from one of their contact page. </w:t>
      </w:r>
    </w:p>
    <w:p w:rsidR="00AE4712" w:rsidRPr="00AE4712" w:rsidRDefault="00B00312" w:rsidP="00905F94">
      <w:pPr>
        <w:rPr>
          <w:b/>
          <w:u w:val="single"/>
          <w:lang w:eastAsia="ja-JP"/>
        </w:rPr>
      </w:pPr>
      <w:r>
        <w:rPr>
          <w:b/>
          <w:u w:val="single"/>
          <w:lang w:eastAsia="ja-JP"/>
        </w:rPr>
        <w:t xml:space="preserve">Initial </w:t>
      </w:r>
      <w:r w:rsidR="00AE4712" w:rsidRPr="00AE4712">
        <w:rPr>
          <w:b/>
          <w:u w:val="single"/>
          <w:lang w:eastAsia="ja-JP"/>
        </w:rPr>
        <w:t>Dataset Procurement Process</w:t>
      </w:r>
    </w:p>
    <w:p w:rsidR="00AE4712" w:rsidRDefault="00DD26D5" w:rsidP="00AE4712">
      <w:pPr>
        <w:rPr>
          <w:lang w:eastAsia="ja-JP"/>
        </w:rPr>
      </w:pPr>
      <w:r>
        <w:rPr>
          <w:lang w:eastAsia="ja-JP"/>
        </w:rPr>
        <w:t>The dataset has been derived by a number of manual processes:</w:t>
      </w:r>
    </w:p>
    <w:p w:rsidR="001C185D" w:rsidRDefault="001C185D" w:rsidP="00DD26D5">
      <w:pPr>
        <w:pStyle w:val="ListParagraph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 xml:space="preserve">The list of </w:t>
      </w:r>
      <w:r w:rsidR="007514EA">
        <w:rPr>
          <w:lang w:eastAsia="ja-JP"/>
        </w:rPr>
        <w:t>Cole</w:t>
      </w:r>
      <w:r w:rsidR="00933334">
        <w:rPr>
          <w:lang w:eastAsia="ja-JP"/>
        </w:rPr>
        <w:t>s distribution centres</w:t>
      </w:r>
      <w:r>
        <w:rPr>
          <w:lang w:eastAsia="ja-JP"/>
        </w:rPr>
        <w:t xml:space="preserve"> for Australia was sourced from th</w:t>
      </w:r>
      <w:r w:rsidR="00933334">
        <w:rPr>
          <w:lang w:eastAsia="ja-JP"/>
        </w:rPr>
        <w:t>eir corporate website</w:t>
      </w:r>
      <w:r>
        <w:rPr>
          <w:lang w:eastAsia="ja-JP"/>
        </w:rPr>
        <w:t xml:space="preserve"> and manually geo-coded </w:t>
      </w:r>
      <w:r w:rsidR="007514EA">
        <w:rPr>
          <w:lang w:eastAsia="ja-JP"/>
        </w:rPr>
        <w:t xml:space="preserve">into the </w:t>
      </w:r>
      <w:hyperlink r:id="rId11" w:history="1">
        <w:r w:rsidR="007514EA" w:rsidRPr="007514EA">
          <w:rPr>
            <w:rStyle w:val="Hyperlink"/>
            <w:lang w:eastAsia="ja-JP"/>
          </w:rPr>
          <w:t>Australia – Coles Distribution Centres.xls</w:t>
        </w:r>
      </w:hyperlink>
      <w:r w:rsidR="007514EA">
        <w:rPr>
          <w:lang w:eastAsia="ja-JP"/>
        </w:rPr>
        <w:t xml:space="preserve"> excel spreadsheet </w:t>
      </w:r>
      <w:r>
        <w:rPr>
          <w:lang w:eastAsia="ja-JP"/>
        </w:rPr>
        <w:t xml:space="preserve">by extracting GPS coordinate values using Google </w:t>
      </w:r>
      <w:r w:rsidR="00933334">
        <w:rPr>
          <w:lang w:eastAsia="ja-JP"/>
        </w:rPr>
        <w:t xml:space="preserve">Maps </w:t>
      </w:r>
      <w:r w:rsidR="00812978">
        <w:rPr>
          <w:lang w:eastAsia="ja-JP"/>
        </w:rPr>
        <w:t>(Figure 1)</w:t>
      </w:r>
    </w:p>
    <w:p w:rsidR="001C185D" w:rsidRDefault="001C185D" w:rsidP="00DD26D5">
      <w:pPr>
        <w:pStyle w:val="ListParagraph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 xml:space="preserve">In the course of locating and visually confirming each site, </w:t>
      </w:r>
      <w:r w:rsidR="00B8786E">
        <w:rPr>
          <w:lang w:eastAsia="ja-JP"/>
        </w:rPr>
        <w:t>online documents containing information about product specific distribution centre locations were identified</w:t>
      </w:r>
    </w:p>
    <w:p w:rsidR="00B8786E" w:rsidRDefault="00B8786E" w:rsidP="00DD26D5">
      <w:pPr>
        <w:pStyle w:val="ListParagraph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These product specific distribution centres are categorised in groups such as “Fresh Produce”</w:t>
      </w:r>
    </w:p>
    <w:p w:rsidR="00B8786E" w:rsidRDefault="00B8786E" w:rsidP="00DD26D5">
      <w:pPr>
        <w:pStyle w:val="ListParagraph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Some sites were found to be mapped in groups against the same address</w:t>
      </w:r>
    </w:p>
    <w:p w:rsidR="00B8786E" w:rsidRDefault="00B8786E" w:rsidP="00B8786E">
      <w:pPr>
        <w:pStyle w:val="ListParagraph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Sites were filtered for Unique GPS coordinates and the remaining sites were imported into ESRI’s ArcMap and processed into a feature layer</w:t>
      </w:r>
    </w:p>
    <w:p w:rsidR="002643D9" w:rsidRDefault="002643D9" w:rsidP="00933334">
      <w:pPr>
        <w:rPr>
          <w:lang w:eastAsia="ja-JP"/>
        </w:rPr>
      </w:pPr>
    </w:p>
    <w:p w:rsidR="00933334" w:rsidRDefault="00933334" w:rsidP="00933334">
      <w:pPr>
        <w:rPr>
          <w:lang w:eastAsia="ja-JP"/>
        </w:rPr>
      </w:pPr>
    </w:p>
    <w:p w:rsidR="00933334" w:rsidRDefault="00933334" w:rsidP="00933334">
      <w:pPr>
        <w:rPr>
          <w:lang w:eastAsia="ja-JP"/>
        </w:rPr>
      </w:pPr>
    </w:p>
    <w:p w:rsidR="00933334" w:rsidRDefault="00933334" w:rsidP="00933334">
      <w:pPr>
        <w:rPr>
          <w:lang w:eastAsia="ja-JP"/>
        </w:rPr>
      </w:pPr>
    </w:p>
    <w:p w:rsidR="00E05FC0" w:rsidRPr="00605492" w:rsidRDefault="00E05FC0" w:rsidP="00E05FC0">
      <w:pPr>
        <w:pStyle w:val="TableHeading"/>
        <w:rPr>
          <w:sz w:val="14"/>
          <w:lang w:eastAsia="ja-JP"/>
        </w:rPr>
      </w:pPr>
      <w:r w:rsidRPr="00605492">
        <w:rPr>
          <w:sz w:val="14"/>
          <w:lang w:eastAsia="ja-JP"/>
        </w:rPr>
        <w:lastRenderedPageBreak/>
        <w:t xml:space="preserve">Figure 1. </w:t>
      </w:r>
      <w:r w:rsidR="007514EA">
        <w:rPr>
          <w:sz w:val="14"/>
          <w:lang w:eastAsia="ja-JP"/>
        </w:rPr>
        <w:t>Excel spreadsheet of Coles’</w:t>
      </w:r>
      <w:r w:rsidR="00812978">
        <w:rPr>
          <w:sz w:val="14"/>
          <w:lang w:eastAsia="ja-JP"/>
        </w:rPr>
        <w:t xml:space="preserve"> Distribution Centre</w:t>
      </w:r>
      <w:r w:rsidR="007514EA">
        <w:rPr>
          <w:sz w:val="14"/>
          <w:lang w:eastAsia="ja-JP"/>
        </w:rPr>
        <w:t>s</w:t>
      </w:r>
    </w:p>
    <w:p w:rsidR="002F29E5" w:rsidRDefault="007514EA" w:rsidP="00B00312">
      <w:pPr>
        <w:rPr>
          <w:b/>
          <w:u w:val="single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5731510" cy="367538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9E5" w:rsidRPr="00605492">
        <w:rPr>
          <w:sz w:val="14"/>
          <w:lang w:eastAsia="ja-JP"/>
        </w:rPr>
        <w:t xml:space="preserve"> </w:t>
      </w:r>
    </w:p>
    <w:p w:rsidR="00B00312" w:rsidRPr="00DA1A23" w:rsidRDefault="00B00312" w:rsidP="00B00312">
      <w:pPr>
        <w:rPr>
          <w:b/>
          <w:u w:val="single"/>
        </w:rPr>
      </w:pPr>
      <w:r>
        <w:rPr>
          <w:b/>
          <w:u w:val="single"/>
        </w:rPr>
        <w:t xml:space="preserve">In progress </w:t>
      </w:r>
      <w:r w:rsidR="003663DB">
        <w:rPr>
          <w:b/>
          <w:u w:val="single"/>
        </w:rPr>
        <w:t xml:space="preserve">Dataset Procurement </w:t>
      </w:r>
      <w:r w:rsidRPr="00DA1A23">
        <w:rPr>
          <w:b/>
          <w:u w:val="single"/>
        </w:rPr>
        <w:t>Processes</w:t>
      </w:r>
    </w:p>
    <w:p w:rsidR="00EA2456" w:rsidRDefault="00AD471F" w:rsidP="003141ED">
      <w:pPr>
        <w:rPr>
          <w:lang w:eastAsia="ja-JP"/>
        </w:rPr>
      </w:pPr>
      <w:r>
        <w:rPr>
          <w:lang w:eastAsia="ja-JP"/>
        </w:rPr>
        <w:t>Following th</w:t>
      </w:r>
      <w:r w:rsidR="00D87B18">
        <w:rPr>
          <w:lang w:eastAsia="ja-JP"/>
        </w:rPr>
        <w:t>is initial data compilation it was identified that</w:t>
      </w:r>
      <w:r w:rsidR="001366D3">
        <w:rPr>
          <w:lang w:eastAsia="ja-JP"/>
        </w:rPr>
        <w:t xml:space="preserve"> Coles had product specific centres such as fresh produce which did not show up in their initial general distribution list</w:t>
      </w:r>
      <w:r w:rsidR="00D87B18">
        <w:rPr>
          <w:lang w:eastAsia="ja-JP"/>
        </w:rPr>
        <w:t>.</w:t>
      </w:r>
    </w:p>
    <w:p w:rsidR="00AD471F" w:rsidRDefault="00AD471F" w:rsidP="003141ED">
      <w:pPr>
        <w:rPr>
          <w:lang w:eastAsia="ja-JP"/>
        </w:rPr>
      </w:pPr>
      <w:r>
        <w:rPr>
          <w:lang w:eastAsia="ja-JP"/>
        </w:rPr>
        <w:t>Therefore a similar approach can be adopted as per the points outlined in the initial data procurement section.</w:t>
      </w:r>
    </w:p>
    <w:p w:rsidR="00EA2456" w:rsidRDefault="00EA2456" w:rsidP="003141ED">
      <w:pPr>
        <w:rPr>
          <w:b/>
          <w:u w:val="single"/>
          <w:lang w:eastAsia="ja-JP"/>
        </w:rPr>
      </w:pPr>
      <w:r>
        <w:rPr>
          <w:b/>
          <w:u w:val="single"/>
          <w:lang w:eastAsia="ja-JP"/>
        </w:rPr>
        <w:t>Limitations</w:t>
      </w:r>
    </w:p>
    <w:p w:rsidR="005329CB" w:rsidRPr="005329CB" w:rsidRDefault="00AD471F" w:rsidP="005329CB">
      <w:pPr>
        <w:pStyle w:val="ListParagraph"/>
        <w:numPr>
          <w:ilvl w:val="0"/>
          <w:numId w:val="27"/>
        </w:numPr>
        <w:rPr>
          <w:lang w:eastAsia="ja-JP"/>
        </w:rPr>
      </w:pPr>
      <w:r>
        <w:rPr>
          <w:lang w:eastAsia="ja-JP"/>
        </w:rPr>
        <w:t>None considered at this stage of the procurement</w:t>
      </w:r>
    </w:p>
    <w:p w:rsidR="003141ED" w:rsidRPr="003141ED" w:rsidRDefault="003141ED" w:rsidP="003141ED">
      <w:pPr>
        <w:rPr>
          <w:b/>
          <w:u w:val="single"/>
          <w:lang w:eastAsia="ja-JP"/>
        </w:rPr>
      </w:pPr>
      <w:r w:rsidRPr="003141ED">
        <w:rPr>
          <w:b/>
          <w:u w:val="single"/>
          <w:lang w:eastAsia="ja-JP"/>
        </w:rPr>
        <w:t>Quality Check</w:t>
      </w:r>
    </w:p>
    <w:p w:rsidR="009A7D81" w:rsidRPr="00822085" w:rsidRDefault="00D87B18" w:rsidP="001366D3">
      <w:pPr>
        <w:pStyle w:val="ListParagraph"/>
        <w:numPr>
          <w:ilvl w:val="0"/>
          <w:numId w:val="27"/>
        </w:numPr>
        <w:rPr>
          <w:lang w:eastAsia="ja-JP"/>
        </w:rPr>
      </w:pPr>
      <w:r>
        <w:rPr>
          <w:lang w:eastAsia="ja-JP"/>
        </w:rPr>
        <w:t>The corporation</w:t>
      </w:r>
      <w:r w:rsidR="001366D3">
        <w:rPr>
          <w:lang w:eastAsia="ja-JP"/>
        </w:rPr>
        <w:t xml:space="preserve"> could be contacted to confirm operational status of these sites and for advi</w:t>
      </w:r>
      <w:r w:rsidR="00C276F3">
        <w:rPr>
          <w:lang w:eastAsia="ja-JP"/>
        </w:rPr>
        <w:t>c</w:t>
      </w:r>
      <w:r w:rsidR="001366D3">
        <w:rPr>
          <w:lang w:eastAsia="ja-JP"/>
        </w:rPr>
        <w:t>e on new locations under construction or to be constructed</w:t>
      </w:r>
    </w:p>
    <w:p w:rsidR="00385F43" w:rsidRDefault="00385F43" w:rsidP="00385F43">
      <w:pPr>
        <w:pStyle w:val="TableHeading"/>
        <w:rPr>
          <w:sz w:val="14"/>
          <w:lang w:eastAsia="ja-JP"/>
        </w:rPr>
      </w:pPr>
    </w:p>
    <w:p w:rsidR="003C2DF7" w:rsidRDefault="003C2DF7" w:rsidP="00385F43">
      <w:pPr>
        <w:pStyle w:val="TableHeading"/>
        <w:rPr>
          <w:sz w:val="14"/>
          <w:lang w:eastAsia="ja-JP"/>
        </w:rPr>
      </w:pPr>
    </w:p>
    <w:p w:rsidR="00385F43" w:rsidRDefault="00385F43" w:rsidP="00385F43">
      <w:pPr>
        <w:pStyle w:val="TableHeading"/>
        <w:rPr>
          <w:sz w:val="14"/>
          <w:lang w:eastAsia="ja-JP"/>
        </w:rPr>
      </w:pPr>
      <w:r w:rsidRPr="007F3ADE">
        <w:rPr>
          <w:sz w:val="14"/>
          <w:lang w:eastAsia="ja-JP"/>
        </w:rPr>
        <w:t xml:space="preserve">Table 1. </w:t>
      </w:r>
      <w:r>
        <w:rPr>
          <w:sz w:val="14"/>
          <w:lang w:eastAsia="ja-JP"/>
        </w:rPr>
        <w:t xml:space="preserve">Summary of </w:t>
      </w:r>
      <w:r w:rsidRPr="007F3ADE">
        <w:rPr>
          <w:sz w:val="14"/>
          <w:lang w:eastAsia="ja-JP"/>
        </w:rPr>
        <w:t>the datasets and their completion status to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43"/>
        <w:gridCol w:w="2235"/>
        <w:gridCol w:w="2513"/>
        <w:gridCol w:w="1770"/>
      </w:tblGrid>
      <w:tr w:rsidR="00822085" w:rsidTr="001366D3">
        <w:tc>
          <w:tcPr>
            <w:tcW w:w="1555" w:type="dxa"/>
            <w:shd w:val="clear" w:color="auto" w:fill="D9D9D9" w:themeFill="background1" w:themeFillShade="D9"/>
          </w:tcPr>
          <w:p w:rsidR="00385F43" w:rsidRDefault="00385F43" w:rsidP="00385F43">
            <w:pPr>
              <w:pStyle w:val="TableHeading"/>
              <w:rPr>
                <w:sz w:val="14"/>
                <w:lang w:eastAsia="ja-JP"/>
              </w:rPr>
            </w:pPr>
          </w:p>
        </w:tc>
        <w:tc>
          <w:tcPr>
            <w:tcW w:w="943" w:type="dxa"/>
            <w:shd w:val="clear" w:color="auto" w:fill="D9D9D9" w:themeFill="background1" w:themeFillShade="D9"/>
          </w:tcPr>
          <w:p w:rsidR="00385F43" w:rsidRPr="00385F43" w:rsidRDefault="009A7D81" w:rsidP="0082208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Initial feature Count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:rsidR="00385F43" w:rsidRPr="00385F43" w:rsidRDefault="009A7D81" w:rsidP="004042DD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Additional features detected </w:t>
            </w:r>
            <w:r w:rsidR="004042DD">
              <w:rPr>
                <w:b/>
                <w:sz w:val="18"/>
              </w:rPr>
              <w:t>using online sources</w:t>
            </w:r>
          </w:p>
        </w:tc>
        <w:tc>
          <w:tcPr>
            <w:tcW w:w="2513" w:type="dxa"/>
            <w:shd w:val="clear" w:color="auto" w:fill="D9D9D9" w:themeFill="background1" w:themeFillShade="D9"/>
          </w:tcPr>
          <w:p w:rsidR="00385F43" w:rsidRPr="00385F43" w:rsidRDefault="000D46E4" w:rsidP="000D46E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Estimated number of</w:t>
            </w:r>
            <w:r w:rsidR="00AD471F">
              <w:rPr>
                <w:b/>
                <w:sz w:val="18"/>
              </w:rPr>
              <w:t xml:space="preserve"> distribution centre </w:t>
            </w:r>
            <w:r w:rsidR="009A7D81">
              <w:rPr>
                <w:b/>
                <w:sz w:val="18"/>
              </w:rPr>
              <w:t xml:space="preserve">features to be captured 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:rsidR="00385F43" w:rsidRPr="00385F43" w:rsidRDefault="009A7D81" w:rsidP="00385F43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Estimated </w:t>
            </w:r>
            <w:r w:rsidR="001C691A">
              <w:rPr>
                <w:b/>
                <w:sz w:val="18"/>
              </w:rPr>
              <w:t>t</w:t>
            </w:r>
            <w:r>
              <w:rPr>
                <w:b/>
                <w:sz w:val="18"/>
              </w:rPr>
              <w:t>otal feature count of completed dataset</w:t>
            </w:r>
          </w:p>
        </w:tc>
      </w:tr>
      <w:tr w:rsidR="001366D3" w:rsidTr="001366D3">
        <w:tc>
          <w:tcPr>
            <w:tcW w:w="1555" w:type="dxa"/>
            <w:shd w:val="clear" w:color="auto" w:fill="FFFF00"/>
          </w:tcPr>
          <w:p w:rsidR="001366D3" w:rsidRDefault="001366D3" w:rsidP="001366D3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Coles Australia</w:t>
            </w:r>
          </w:p>
        </w:tc>
        <w:tc>
          <w:tcPr>
            <w:tcW w:w="943" w:type="dxa"/>
            <w:shd w:val="clear" w:color="auto" w:fill="FFFF00"/>
          </w:tcPr>
          <w:p w:rsidR="001366D3" w:rsidRDefault="000D46E4" w:rsidP="00686ECC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2235" w:type="dxa"/>
            <w:shd w:val="clear" w:color="auto" w:fill="FFFF00"/>
          </w:tcPr>
          <w:p w:rsidR="001366D3" w:rsidRDefault="000D46E4" w:rsidP="00686ECC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2513" w:type="dxa"/>
            <w:shd w:val="clear" w:color="auto" w:fill="FFFF00"/>
          </w:tcPr>
          <w:p w:rsidR="001366D3" w:rsidRDefault="000D46E4" w:rsidP="00AD471F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~25</w:t>
            </w:r>
          </w:p>
        </w:tc>
        <w:tc>
          <w:tcPr>
            <w:tcW w:w="1770" w:type="dxa"/>
            <w:shd w:val="clear" w:color="auto" w:fill="FFFF00"/>
          </w:tcPr>
          <w:p w:rsidR="001366D3" w:rsidRDefault="000D46E4" w:rsidP="00AD471F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~40</w:t>
            </w:r>
          </w:p>
        </w:tc>
      </w:tr>
    </w:tbl>
    <w:p w:rsidR="00D87B18" w:rsidRDefault="00D87B18" w:rsidP="00385F43">
      <w:pPr>
        <w:pStyle w:val="TableHeading"/>
        <w:rPr>
          <w:sz w:val="22"/>
          <w:u w:val="single"/>
          <w:lang w:eastAsia="ja-JP"/>
        </w:rPr>
      </w:pPr>
    </w:p>
    <w:p w:rsidR="00385F43" w:rsidRPr="00B2733E" w:rsidRDefault="0023471D" w:rsidP="00385F43">
      <w:pPr>
        <w:pStyle w:val="TableHeading"/>
        <w:rPr>
          <w:sz w:val="22"/>
          <w:u w:val="single"/>
          <w:lang w:eastAsia="ja-JP"/>
        </w:rPr>
      </w:pPr>
      <w:r w:rsidRPr="00B2733E">
        <w:rPr>
          <w:sz w:val="22"/>
          <w:u w:val="single"/>
          <w:lang w:eastAsia="ja-JP"/>
        </w:rPr>
        <w:t>Discussion and Future Work</w:t>
      </w:r>
    </w:p>
    <w:p w:rsidR="00656FE9" w:rsidRDefault="00197CE6" w:rsidP="00656FE9">
      <w:r>
        <w:t xml:space="preserve">Future work may include quality assurance </w:t>
      </w:r>
      <w:r w:rsidR="00B00312">
        <w:t xml:space="preserve">checks to confirm ownership details and </w:t>
      </w:r>
      <w:r>
        <w:t xml:space="preserve">ensure facilities identified are </w:t>
      </w:r>
      <w:r w:rsidR="00B00312">
        <w:t xml:space="preserve">still </w:t>
      </w:r>
      <w:r>
        <w:t>operating</w:t>
      </w:r>
      <w:r w:rsidR="00B00312">
        <w:t>.</w:t>
      </w:r>
    </w:p>
    <w:p w:rsidR="009A7D81" w:rsidRDefault="00DB4E87" w:rsidP="0081118D">
      <w:pPr>
        <w:rPr>
          <w:lang w:eastAsia="ja-JP"/>
        </w:rPr>
      </w:pPr>
      <w:r>
        <w:rPr>
          <w:lang w:eastAsia="ja-JP"/>
        </w:rPr>
        <w:t>Calculation of</w:t>
      </w:r>
      <w:r w:rsidR="009A7D81">
        <w:rPr>
          <w:lang w:eastAsia="ja-JP"/>
        </w:rPr>
        <w:t xml:space="preserve"> useful</w:t>
      </w:r>
      <w:r>
        <w:rPr>
          <w:lang w:eastAsia="ja-JP"/>
        </w:rPr>
        <w:t xml:space="preserve"> </w:t>
      </w:r>
      <w:r w:rsidR="009A7D81">
        <w:rPr>
          <w:lang w:eastAsia="ja-JP"/>
        </w:rPr>
        <w:t>featur</w:t>
      </w:r>
      <w:r w:rsidR="00B02741">
        <w:rPr>
          <w:lang w:eastAsia="ja-JP"/>
        </w:rPr>
        <w:t>e attributes such as</w:t>
      </w:r>
      <w:r w:rsidR="009A7D81">
        <w:rPr>
          <w:lang w:eastAsia="ja-JP"/>
        </w:rPr>
        <w:t>:</w:t>
      </w:r>
    </w:p>
    <w:p w:rsidR="00DD26D5" w:rsidRPr="009A7D81" w:rsidRDefault="00B02741" w:rsidP="00DE0A4D">
      <w:pPr>
        <w:pStyle w:val="ListParagraph"/>
        <w:numPr>
          <w:ilvl w:val="0"/>
          <w:numId w:val="28"/>
        </w:numPr>
        <w:rPr>
          <w:u w:val="single"/>
          <w:lang w:eastAsia="ja-JP"/>
        </w:rPr>
      </w:pPr>
      <w:r>
        <w:rPr>
          <w:lang w:eastAsia="ja-JP"/>
        </w:rPr>
        <w:t>Proximity in kilometres to major freight hubs, AA ports of entry and community gardens</w:t>
      </w:r>
    </w:p>
    <w:p w:rsidR="007415B6" w:rsidRPr="007415B6" w:rsidRDefault="007415B6" w:rsidP="0081118D">
      <w:pPr>
        <w:pStyle w:val="TableHeading"/>
        <w:rPr>
          <w:sz w:val="22"/>
          <w:u w:val="single"/>
          <w:lang w:eastAsia="ja-JP"/>
        </w:rPr>
      </w:pPr>
      <w:r w:rsidRPr="007415B6">
        <w:rPr>
          <w:sz w:val="22"/>
          <w:u w:val="single"/>
          <w:lang w:eastAsia="ja-JP"/>
        </w:rPr>
        <w:lastRenderedPageBreak/>
        <w:t>Project Resources Estimates</w:t>
      </w:r>
      <w:r w:rsidR="00A95C06">
        <w:rPr>
          <w:sz w:val="22"/>
          <w:u w:val="single"/>
          <w:lang w:eastAsia="ja-JP"/>
        </w:rPr>
        <w:t xml:space="preserve"> and Uses</w:t>
      </w:r>
    </w:p>
    <w:p w:rsidR="00A53BF4" w:rsidRDefault="00A53BF4" w:rsidP="0081118D">
      <w:pPr>
        <w:pStyle w:val="TableHeading"/>
        <w:rPr>
          <w:b w:val="0"/>
          <w:sz w:val="22"/>
          <w:lang w:eastAsia="ja-JP"/>
        </w:rPr>
      </w:pPr>
      <w:r>
        <w:rPr>
          <w:b w:val="0"/>
          <w:sz w:val="22"/>
          <w:lang w:eastAsia="ja-JP"/>
        </w:rPr>
        <w:t>An estimate of the timeframe</w:t>
      </w:r>
      <w:r w:rsidR="007415B6">
        <w:rPr>
          <w:b w:val="0"/>
          <w:sz w:val="22"/>
          <w:lang w:eastAsia="ja-JP"/>
        </w:rPr>
        <w:t>s and data procurement requirements</w:t>
      </w:r>
      <w:r>
        <w:rPr>
          <w:b w:val="0"/>
          <w:sz w:val="22"/>
          <w:lang w:eastAsia="ja-JP"/>
        </w:rPr>
        <w:t xml:space="preserve"> required to </w:t>
      </w:r>
      <w:r w:rsidR="009A7D81">
        <w:rPr>
          <w:b w:val="0"/>
          <w:sz w:val="22"/>
          <w:lang w:eastAsia="ja-JP"/>
        </w:rPr>
        <w:t>complete this dataset</w:t>
      </w:r>
      <w:r>
        <w:rPr>
          <w:b w:val="0"/>
          <w:sz w:val="22"/>
          <w:lang w:eastAsia="ja-JP"/>
        </w:rPr>
        <w:t xml:space="preserve"> </w:t>
      </w:r>
      <w:r w:rsidR="009A7D81">
        <w:rPr>
          <w:b w:val="0"/>
          <w:sz w:val="22"/>
          <w:lang w:eastAsia="ja-JP"/>
        </w:rPr>
        <w:t>is</w:t>
      </w:r>
      <w:r w:rsidR="007415B6">
        <w:rPr>
          <w:b w:val="0"/>
          <w:sz w:val="22"/>
          <w:lang w:eastAsia="ja-JP"/>
        </w:rPr>
        <w:t xml:space="preserve"> summarised in Table 2.</w:t>
      </w:r>
    </w:p>
    <w:p w:rsidR="007415B6" w:rsidRDefault="007415B6" w:rsidP="0081118D">
      <w:pPr>
        <w:pStyle w:val="TableHeading"/>
        <w:rPr>
          <w:b w:val="0"/>
          <w:sz w:val="22"/>
          <w:lang w:eastAsia="ja-JP"/>
        </w:rPr>
      </w:pPr>
      <w:r>
        <w:rPr>
          <w:b w:val="0"/>
          <w:sz w:val="22"/>
          <w:lang w:eastAsia="ja-JP"/>
        </w:rPr>
        <w:t xml:space="preserve">The end result will be a dataset </w:t>
      </w:r>
      <w:r w:rsidR="00AA5163">
        <w:rPr>
          <w:b w:val="0"/>
          <w:sz w:val="22"/>
          <w:lang w:eastAsia="ja-JP"/>
        </w:rPr>
        <w:t xml:space="preserve">product </w:t>
      </w:r>
      <w:r>
        <w:rPr>
          <w:b w:val="0"/>
          <w:sz w:val="22"/>
          <w:lang w:eastAsia="ja-JP"/>
        </w:rPr>
        <w:t xml:space="preserve">which is </w:t>
      </w:r>
      <w:r w:rsidR="00AA5163">
        <w:rPr>
          <w:b w:val="0"/>
          <w:sz w:val="22"/>
          <w:lang w:eastAsia="ja-JP"/>
        </w:rPr>
        <w:t>of a High to Authoritative quality</w:t>
      </w:r>
      <w:r>
        <w:rPr>
          <w:b w:val="0"/>
          <w:sz w:val="22"/>
          <w:lang w:eastAsia="ja-JP"/>
        </w:rPr>
        <w:t xml:space="preserve"> and can be referenced as a point of truth data source for input into projects such as surveillance strategy and design. </w:t>
      </w:r>
    </w:p>
    <w:p w:rsidR="007415B6" w:rsidRDefault="007415B6" w:rsidP="0081118D">
      <w:pPr>
        <w:pStyle w:val="TableHeading"/>
        <w:rPr>
          <w:b w:val="0"/>
          <w:sz w:val="22"/>
          <w:lang w:eastAsia="ja-JP"/>
        </w:rPr>
      </w:pPr>
      <w:r>
        <w:rPr>
          <w:b w:val="0"/>
          <w:sz w:val="22"/>
          <w:lang w:eastAsia="ja-JP"/>
        </w:rPr>
        <w:t xml:space="preserve">This dataset </w:t>
      </w:r>
      <w:r w:rsidR="006A29BB">
        <w:rPr>
          <w:b w:val="0"/>
          <w:sz w:val="22"/>
          <w:lang w:eastAsia="ja-JP"/>
        </w:rPr>
        <w:t>will</w:t>
      </w:r>
      <w:r>
        <w:rPr>
          <w:b w:val="0"/>
          <w:sz w:val="22"/>
          <w:lang w:eastAsia="ja-JP"/>
        </w:rPr>
        <w:t xml:space="preserve"> provide accurate and useful information such as:</w:t>
      </w:r>
    </w:p>
    <w:p w:rsidR="007415B6" w:rsidRDefault="00D87B18" w:rsidP="007415B6">
      <w:pPr>
        <w:pStyle w:val="TableHeading"/>
        <w:numPr>
          <w:ilvl w:val="0"/>
          <w:numId w:val="23"/>
        </w:numPr>
        <w:rPr>
          <w:b w:val="0"/>
          <w:sz w:val="22"/>
          <w:lang w:eastAsia="ja-JP"/>
        </w:rPr>
      </w:pPr>
      <w:r>
        <w:rPr>
          <w:b w:val="0"/>
          <w:sz w:val="22"/>
          <w:lang w:eastAsia="ja-JP"/>
        </w:rPr>
        <w:t xml:space="preserve">Coles </w:t>
      </w:r>
      <w:proofErr w:type="spellStart"/>
      <w:r>
        <w:rPr>
          <w:b w:val="0"/>
          <w:sz w:val="22"/>
          <w:lang w:eastAsia="ja-JP"/>
        </w:rPr>
        <w:t>and</w:t>
      </w:r>
      <w:r w:rsidR="002416EC">
        <w:rPr>
          <w:b w:val="0"/>
          <w:sz w:val="22"/>
          <w:lang w:eastAsia="ja-JP"/>
        </w:rPr>
        <w:t>major</w:t>
      </w:r>
      <w:proofErr w:type="spellEnd"/>
      <w:r w:rsidR="002416EC">
        <w:rPr>
          <w:b w:val="0"/>
          <w:sz w:val="22"/>
          <w:lang w:eastAsia="ja-JP"/>
        </w:rPr>
        <w:t xml:space="preserve"> distribution centres</w:t>
      </w:r>
    </w:p>
    <w:p w:rsidR="00AA5163" w:rsidRDefault="00AA5163" w:rsidP="007415B6">
      <w:pPr>
        <w:pStyle w:val="TableHeading"/>
        <w:numPr>
          <w:ilvl w:val="0"/>
          <w:numId w:val="23"/>
        </w:numPr>
        <w:rPr>
          <w:b w:val="0"/>
          <w:sz w:val="22"/>
          <w:lang w:eastAsia="ja-JP"/>
        </w:rPr>
      </w:pPr>
      <w:r>
        <w:rPr>
          <w:b w:val="0"/>
          <w:sz w:val="22"/>
          <w:lang w:eastAsia="ja-JP"/>
        </w:rPr>
        <w:t>Ownership and Contact information</w:t>
      </w:r>
    </w:p>
    <w:p w:rsidR="007415B6" w:rsidRDefault="007415B6" w:rsidP="007415B6">
      <w:pPr>
        <w:pStyle w:val="TableHeading"/>
        <w:numPr>
          <w:ilvl w:val="0"/>
          <w:numId w:val="23"/>
        </w:numPr>
        <w:rPr>
          <w:b w:val="0"/>
          <w:sz w:val="22"/>
          <w:lang w:eastAsia="ja-JP"/>
        </w:rPr>
      </w:pPr>
      <w:r>
        <w:rPr>
          <w:b w:val="0"/>
          <w:sz w:val="22"/>
          <w:lang w:eastAsia="ja-JP"/>
        </w:rPr>
        <w:t xml:space="preserve">Area sizes </w:t>
      </w:r>
    </w:p>
    <w:p w:rsidR="006A29BB" w:rsidRDefault="006A29BB" w:rsidP="007415B6">
      <w:pPr>
        <w:pStyle w:val="TableHeading"/>
        <w:rPr>
          <w:b w:val="0"/>
          <w:sz w:val="22"/>
          <w:lang w:eastAsia="ja-JP"/>
        </w:rPr>
      </w:pPr>
    </w:p>
    <w:p w:rsidR="007415B6" w:rsidRDefault="007415B6" w:rsidP="007415B6">
      <w:pPr>
        <w:pStyle w:val="TableHeading"/>
        <w:rPr>
          <w:b w:val="0"/>
          <w:sz w:val="22"/>
          <w:lang w:eastAsia="ja-JP"/>
        </w:rPr>
      </w:pPr>
      <w:r>
        <w:rPr>
          <w:b w:val="0"/>
          <w:sz w:val="22"/>
          <w:lang w:eastAsia="ja-JP"/>
        </w:rPr>
        <w:t>And will assist in:</w:t>
      </w:r>
    </w:p>
    <w:p w:rsidR="00543253" w:rsidRDefault="007415B6" w:rsidP="007415B6">
      <w:pPr>
        <w:pStyle w:val="TableHeading"/>
        <w:numPr>
          <w:ilvl w:val="0"/>
          <w:numId w:val="23"/>
        </w:numPr>
        <w:rPr>
          <w:b w:val="0"/>
          <w:sz w:val="22"/>
          <w:lang w:eastAsia="ja-JP"/>
        </w:rPr>
      </w:pPr>
      <w:r>
        <w:rPr>
          <w:b w:val="0"/>
          <w:sz w:val="22"/>
          <w:lang w:eastAsia="ja-JP"/>
        </w:rPr>
        <w:t>Serving as an input in estimating labour and capital resources for conducting surveys for pests such as those in the National Priority Plant Pests (NPPP) target groups</w:t>
      </w:r>
      <w:r w:rsidR="009A7D81">
        <w:rPr>
          <w:b w:val="0"/>
          <w:sz w:val="22"/>
          <w:lang w:eastAsia="ja-JP"/>
        </w:rPr>
        <w:t xml:space="preserve">, e.g. number of field officers required to inspect a given quantity of </w:t>
      </w:r>
      <w:r w:rsidR="000D46E4">
        <w:rPr>
          <w:b w:val="0"/>
          <w:sz w:val="22"/>
          <w:lang w:eastAsia="ja-JP"/>
        </w:rPr>
        <w:t>plant seedlings</w:t>
      </w:r>
      <w:r w:rsidR="009A7D81">
        <w:rPr>
          <w:b w:val="0"/>
          <w:sz w:val="22"/>
          <w:lang w:eastAsia="ja-JP"/>
        </w:rPr>
        <w:t xml:space="preserve"> over a specified amount of time</w:t>
      </w:r>
    </w:p>
    <w:p w:rsidR="007415B6" w:rsidRDefault="00543253" w:rsidP="007415B6">
      <w:pPr>
        <w:pStyle w:val="TableHeading"/>
        <w:numPr>
          <w:ilvl w:val="0"/>
          <w:numId w:val="23"/>
        </w:numPr>
        <w:rPr>
          <w:b w:val="0"/>
          <w:sz w:val="22"/>
          <w:lang w:eastAsia="ja-JP"/>
        </w:rPr>
      </w:pPr>
      <w:r>
        <w:rPr>
          <w:b w:val="0"/>
          <w:sz w:val="22"/>
          <w:lang w:eastAsia="ja-JP"/>
        </w:rPr>
        <w:t>Mapping requirements f</w:t>
      </w:r>
      <w:r w:rsidR="007415B6">
        <w:rPr>
          <w:b w:val="0"/>
          <w:sz w:val="22"/>
          <w:lang w:eastAsia="ja-JP"/>
        </w:rPr>
        <w:t xml:space="preserve">or </w:t>
      </w:r>
      <w:r>
        <w:rPr>
          <w:b w:val="0"/>
          <w:sz w:val="22"/>
          <w:lang w:eastAsia="ja-JP"/>
        </w:rPr>
        <w:t xml:space="preserve">national/state </w:t>
      </w:r>
      <w:r w:rsidR="007415B6">
        <w:rPr>
          <w:b w:val="0"/>
          <w:sz w:val="22"/>
          <w:lang w:eastAsia="ja-JP"/>
        </w:rPr>
        <w:t xml:space="preserve">emergency response programs </w:t>
      </w:r>
      <w:r>
        <w:rPr>
          <w:b w:val="0"/>
          <w:sz w:val="22"/>
          <w:lang w:eastAsia="ja-JP"/>
        </w:rPr>
        <w:t xml:space="preserve">that are </w:t>
      </w:r>
      <w:r w:rsidR="007415B6">
        <w:rPr>
          <w:b w:val="0"/>
          <w:sz w:val="22"/>
          <w:lang w:eastAsia="ja-JP"/>
        </w:rPr>
        <w:t xml:space="preserve">deployed when </w:t>
      </w:r>
      <w:r w:rsidR="00AA5163">
        <w:rPr>
          <w:b w:val="0"/>
          <w:sz w:val="22"/>
          <w:lang w:eastAsia="ja-JP"/>
        </w:rPr>
        <w:t>these pest incursions occur</w:t>
      </w:r>
    </w:p>
    <w:p w:rsidR="00AA5163" w:rsidRDefault="00AA5163" w:rsidP="007415B6">
      <w:pPr>
        <w:pStyle w:val="TableHeading"/>
        <w:numPr>
          <w:ilvl w:val="0"/>
          <w:numId w:val="23"/>
        </w:numPr>
        <w:rPr>
          <w:b w:val="0"/>
          <w:sz w:val="22"/>
          <w:lang w:eastAsia="ja-JP"/>
        </w:rPr>
      </w:pPr>
      <w:r>
        <w:rPr>
          <w:b w:val="0"/>
          <w:sz w:val="22"/>
          <w:lang w:eastAsia="ja-JP"/>
        </w:rPr>
        <w:t>Providing a feed-in data layer alongside the national road network for determining distribution pathways and the risk levels of these pathways</w:t>
      </w:r>
    </w:p>
    <w:p w:rsidR="007415B6" w:rsidRPr="00A53BF4" w:rsidRDefault="007415B6" w:rsidP="0081118D">
      <w:pPr>
        <w:pStyle w:val="TableHeading"/>
        <w:rPr>
          <w:b w:val="0"/>
          <w:sz w:val="22"/>
          <w:lang w:eastAsia="ja-JP"/>
        </w:rPr>
      </w:pPr>
    </w:p>
    <w:p w:rsidR="0081118D" w:rsidRDefault="0081118D" w:rsidP="0081118D">
      <w:pPr>
        <w:pStyle w:val="TableHeading"/>
        <w:rPr>
          <w:sz w:val="14"/>
          <w:lang w:eastAsia="ja-JP"/>
        </w:rPr>
      </w:pPr>
      <w:r>
        <w:rPr>
          <w:sz w:val="14"/>
          <w:lang w:eastAsia="ja-JP"/>
        </w:rPr>
        <w:t xml:space="preserve">Table 2. </w:t>
      </w:r>
      <w:r w:rsidR="006E2048">
        <w:rPr>
          <w:sz w:val="14"/>
          <w:lang w:eastAsia="ja-JP"/>
        </w:rPr>
        <w:t>Comparison of process methods and output dataset quality expectations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683"/>
        <w:gridCol w:w="2096"/>
        <w:gridCol w:w="2103"/>
        <w:gridCol w:w="2190"/>
      </w:tblGrid>
      <w:tr w:rsidR="0081118D" w:rsidTr="000D46E4">
        <w:tc>
          <w:tcPr>
            <w:tcW w:w="944" w:type="dxa"/>
            <w:shd w:val="clear" w:color="auto" w:fill="D9D9D9" w:themeFill="background1" w:themeFillShade="D9"/>
          </w:tcPr>
          <w:p w:rsidR="0081118D" w:rsidRPr="006E2048" w:rsidRDefault="0081118D" w:rsidP="006E2048">
            <w:pPr>
              <w:jc w:val="center"/>
              <w:rPr>
                <w:b/>
                <w:sz w:val="18"/>
                <w:lang w:eastAsia="ja-JP"/>
              </w:rPr>
            </w:pPr>
            <w:r w:rsidRPr="006E2048">
              <w:rPr>
                <w:b/>
                <w:sz w:val="18"/>
                <w:lang w:eastAsia="ja-JP"/>
              </w:rPr>
              <w:t>Process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81118D" w:rsidRPr="006E2048" w:rsidRDefault="0081118D" w:rsidP="006E2048">
            <w:pPr>
              <w:jc w:val="center"/>
              <w:rPr>
                <w:b/>
                <w:sz w:val="18"/>
                <w:lang w:eastAsia="ja-JP"/>
              </w:rPr>
            </w:pPr>
            <w:r w:rsidRPr="006E2048">
              <w:rPr>
                <w:b/>
                <w:sz w:val="18"/>
                <w:lang w:eastAsia="ja-JP"/>
              </w:rPr>
              <w:t>Requires Industry Assistance</w:t>
            </w:r>
          </w:p>
        </w:tc>
        <w:tc>
          <w:tcPr>
            <w:tcW w:w="2096" w:type="dxa"/>
            <w:shd w:val="clear" w:color="auto" w:fill="D9D9D9" w:themeFill="background1" w:themeFillShade="D9"/>
          </w:tcPr>
          <w:p w:rsidR="0081118D" w:rsidRPr="006E2048" w:rsidRDefault="0081118D" w:rsidP="006E2048">
            <w:pPr>
              <w:jc w:val="center"/>
              <w:rPr>
                <w:b/>
                <w:sz w:val="18"/>
                <w:lang w:eastAsia="ja-JP"/>
              </w:rPr>
            </w:pPr>
            <w:r w:rsidRPr="006E2048">
              <w:rPr>
                <w:b/>
                <w:sz w:val="18"/>
                <w:lang w:eastAsia="ja-JP"/>
              </w:rPr>
              <w:t xml:space="preserve">Requires </w:t>
            </w:r>
            <w:r w:rsidR="006E2048">
              <w:rPr>
                <w:b/>
                <w:sz w:val="18"/>
                <w:lang w:eastAsia="ja-JP"/>
              </w:rPr>
              <w:t xml:space="preserve">                     </w:t>
            </w:r>
            <w:r w:rsidRPr="006E2048">
              <w:rPr>
                <w:b/>
                <w:sz w:val="18"/>
                <w:lang w:eastAsia="ja-JP"/>
              </w:rPr>
              <w:t>State Government Assistance</w:t>
            </w:r>
          </w:p>
        </w:tc>
        <w:tc>
          <w:tcPr>
            <w:tcW w:w="2103" w:type="dxa"/>
            <w:shd w:val="clear" w:color="auto" w:fill="D9D9D9" w:themeFill="background1" w:themeFillShade="D9"/>
          </w:tcPr>
          <w:p w:rsidR="0081118D" w:rsidRPr="006E2048" w:rsidRDefault="0081118D" w:rsidP="006E2048">
            <w:pPr>
              <w:jc w:val="center"/>
              <w:rPr>
                <w:b/>
                <w:sz w:val="18"/>
                <w:lang w:eastAsia="ja-JP"/>
              </w:rPr>
            </w:pPr>
            <w:r w:rsidRPr="006E2048">
              <w:rPr>
                <w:b/>
                <w:sz w:val="18"/>
                <w:lang w:eastAsia="ja-JP"/>
              </w:rPr>
              <w:t>Estimated time to complete</w:t>
            </w:r>
          </w:p>
        </w:tc>
        <w:tc>
          <w:tcPr>
            <w:tcW w:w="2190" w:type="dxa"/>
            <w:shd w:val="clear" w:color="auto" w:fill="D9D9D9" w:themeFill="background1" w:themeFillShade="D9"/>
          </w:tcPr>
          <w:p w:rsidR="0081118D" w:rsidRPr="006E2048" w:rsidRDefault="00DF1CE2" w:rsidP="00DF1CE2">
            <w:pPr>
              <w:jc w:val="center"/>
              <w:rPr>
                <w:b/>
                <w:sz w:val="18"/>
                <w:lang w:eastAsia="ja-JP"/>
              </w:rPr>
            </w:pPr>
            <w:r>
              <w:rPr>
                <w:b/>
                <w:sz w:val="18"/>
                <w:lang w:eastAsia="ja-JP"/>
              </w:rPr>
              <w:t xml:space="preserve">Expected </w:t>
            </w:r>
            <w:r w:rsidR="0081118D" w:rsidRPr="006E2048">
              <w:rPr>
                <w:b/>
                <w:sz w:val="18"/>
                <w:lang w:eastAsia="ja-JP"/>
              </w:rPr>
              <w:t>Data</w:t>
            </w:r>
            <w:r>
              <w:rPr>
                <w:b/>
                <w:sz w:val="18"/>
                <w:lang w:eastAsia="ja-JP"/>
              </w:rPr>
              <w:t>set</w:t>
            </w:r>
            <w:r w:rsidR="0081118D" w:rsidRPr="006E2048">
              <w:rPr>
                <w:b/>
                <w:sz w:val="18"/>
                <w:lang w:eastAsia="ja-JP"/>
              </w:rPr>
              <w:t xml:space="preserve"> Quality Level </w:t>
            </w:r>
          </w:p>
        </w:tc>
      </w:tr>
      <w:tr w:rsidR="000D46E4" w:rsidTr="000D46E4">
        <w:tc>
          <w:tcPr>
            <w:tcW w:w="944" w:type="dxa"/>
          </w:tcPr>
          <w:p w:rsidR="000D46E4" w:rsidRPr="0081118D" w:rsidRDefault="000D46E4" w:rsidP="000D46E4">
            <w:pPr>
              <w:jc w:val="center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Coles</w:t>
            </w:r>
          </w:p>
        </w:tc>
        <w:tc>
          <w:tcPr>
            <w:tcW w:w="1683" w:type="dxa"/>
          </w:tcPr>
          <w:p w:rsidR="000D46E4" w:rsidRPr="0081118D" w:rsidRDefault="000D46E4" w:rsidP="000D46E4">
            <w:pPr>
              <w:jc w:val="center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Possibly – for quality checking operational status and ownership details of identified facilities</w:t>
            </w:r>
          </w:p>
        </w:tc>
        <w:tc>
          <w:tcPr>
            <w:tcW w:w="2096" w:type="dxa"/>
          </w:tcPr>
          <w:p w:rsidR="000D46E4" w:rsidRPr="0081118D" w:rsidRDefault="000D46E4" w:rsidP="000D46E4">
            <w:pPr>
              <w:jc w:val="center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No</w:t>
            </w:r>
          </w:p>
        </w:tc>
        <w:tc>
          <w:tcPr>
            <w:tcW w:w="2103" w:type="dxa"/>
          </w:tcPr>
          <w:p w:rsidR="000D46E4" w:rsidRPr="0081118D" w:rsidRDefault="000D46E4" w:rsidP="000D46E4">
            <w:pPr>
              <w:jc w:val="center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~ 2 weeks</w:t>
            </w:r>
          </w:p>
        </w:tc>
        <w:tc>
          <w:tcPr>
            <w:tcW w:w="2190" w:type="dxa"/>
          </w:tcPr>
          <w:p w:rsidR="000D46E4" w:rsidRPr="0081118D" w:rsidRDefault="000D46E4" w:rsidP="000D46E4">
            <w:pPr>
              <w:jc w:val="center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High to Authoritative</w:t>
            </w:r>
          </w:p>
        </w:tc>
      </w:tr>
    </w:tbl>
    <w:p w:rsidR="0081118D" w:rsidRPr="0081118D" w:rsidRDefault="0081118D" w:rsidP="0081118D">
      <w:pPr>
        <w:jc w:val="right"/>
        <w:rPr>
          <w:lang w:eastAsia="ja-JP"/>
        </w:rPr>
      </w:pPr>
      <w:bookmarkStart w:id="0" w:name="_GoBack"/>
      <w:bookmarkEnd w:id="0"/>
    </w:p>
    <w:sectPr w:rsidR="0081118D" w:rsidRPr="0081118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101" w:rsidRDefault="00A31101">
      <w:r>
        <w:separator/>
      </w:r>
    </w:p>
  </w:endnote>
  <w:endnote w:type="continuationSeparator" w:id="0">
    <w:p w:rsidR="00A31101" w:rsidRDefault="00A31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2626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1101" w:rsidRDefault="00A31101" w:rsidP="00C6669A">
        <w:pPr>
          <w:pStyle w:val="Footer"/>
          <w:jc w:val="right"/>
        </w:pPr>
        <w:r>
          <w:t>Department of Agriculture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7B1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101" w:rsidRDefault="00A31101">
      <w:r>
        <w:separator/>
      </w:r>
    </w:p>
  </w:footnote>
  <w:footnote w:type="continuationSeparator" w:id="0">
    <w:p w:rsidR="00A31101" w:rsidRDefault="00A311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01" w:rsidRDefault="00A31101">
    <w:pPr>
      <w:pStyle w:val="Header"/>
    </w:pPr>
    <w:r>
      <w:t>Plant Health Surveillance Information Objectives – Datasets Progress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DD2EA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7858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57C460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94B4434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A668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1FD6931"/>
    <w:multiLevelType w:val="hybridMultilevel"/>
    <w:tmpl w:val="92C2CA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CF66B4"/>
    <w:multiLevelType w:val="hybridMultilevel"/>
    <w:tmpl w:val="9AEAB1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C15CA8"/>
    <w:multiLevelType w:val="hybridMultilevel"/>
    <w:tmpl w:val="D3AE4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3457F"/>
    <w:multiLevelType w:val="hybridMultilevel"/>
    <w:tmpl w:val="ED7E91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001F3"/>
    <w:multiLevelType w:val="hybridMultilevel"/>
    <w:tmpl w:val="10389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F0F83"/>
    <w:multiLevelType w:val="hybridMultilevel"/>
    <w:tmpl w:val="C25E4B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6B606F"/>
    <w:multiLevelType w:val="hybridMultilevel"/>
    <w:tmpl w:val="E0560262"/>
    <w:lvl w:ilvl="0" w:tplc="A9884604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92584"/>
    <w:multiLevelType w:val="multilevel"/>
    <w:tmpl w:val="02AA8FA0"/>
    <w:styleLink w:val="ListBullets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ind w:left="794" w:hanging="369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794"/>
        </w:tabs>
        <w:ind w:left="1219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5"/>
        </w:tabs>
        <w:ind w:left="4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25"/>
        </w:tabs>
        <w:ind w:left="425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1D1E32C3"/>
    <w:multiLevelType w:val="hybridMultilevel"/>
    <w:tmpl w:val="5FF802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B0CC7"/>
    <w:multiLevelType w:val="hybridMultilevel"/>
    <w:tmpl w:val="DC2C3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36237"/>
    <w:multiLevelType w:val="multilevel"/>
    <w:tmpl w:val="20F2356A"/>
    <w:styleLink w:val="Appendix"/>
    <w:lvl w:ilvl="0">
      <w:start w:val="1"/>
      <w:numFmt w:val="upperLetter"/>
      <w:pStyle w:val="AppendixHeading1"/>
      <w:lvlText w:val="Appendix 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Appendix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16" w15:restartNumberingAfterBreak="0">
    <w:nsid w:val="2A913599"/>
    <w:multiLevelType w:val="multilevel"/>
    <w:tmpl w:val="02AA8FA0"/>
    <w:numStyleLink w:val="ListBullets"/>
  </w:abstractNum>
  <w:abstractNum w:abstractNumId="17" w15:restartNumberingAfterBreak="0">
    <w:nsid w:val="2F2425AB"/>
    <w:multiLevelType w:val="multilevel"/>
    <w:tmpl w:val="BC8603C0"/>
    <w:numStyleLink w:val="ListNumbers"/>
  </w:abstractNum>
  <w:abstractNum w:abstractNumId="18" w15:restartNumberingAfterBreak="0">
    <w:nsid w:val="46DD5C12"/>
    <w:multiLevelType w:val="multilevel"/>
    <w:tmpl w:val="20F2356A"/>
    <w:numStyleLink w:val="Appendix"/>
  </w:abstractNum>
  <w:abstractNum w:abstractNumId="19" w15:restartNumberingAfterBreak="0">
    <w:nsid w:val="48DE2E4A"/>
    <w:multiLevelType w:val="hybridMultilevel"/>
    <w:tmpl w:val="B7086130"/>
    <w:lvl w:ilvl="0" w:tplc="AAB465F0">
      <w:start w:val="1"/>
      <w:numFmt w:val="bullet"/>
      <w:pStyle w:val="Box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12966"/>
    <w:multiLevelType w:val="multilevel"/>
    <w:tmpl w:val="DA322B0E"/>
    <w:styleLink w:val="List1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5BF51EC7"/>
    <w:multiLevelType w:val="multilevel"/>
    <w:tmpl w:val="23E2163A"/>
    <w:styleLink w:val="Headings"/>
    <w:lvl w:ilvl="0">
      <w:start w:val="1"/>
      <w:numFmt w:val="decimal"/>
      <w:pStyle w:val="Heading2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22" w15:restartNumberingAfterBreak="0">
    <w:nsid w:val="5D722183"/>
    <w:multiLevelType w:val="hybridMultilevel"/>
    <w:tmpl w:val="882EC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41D99"/>
    <w:multiLevelType w:val="hybridMultilevel"/>
    <w:tmpl w:val="393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171CBC"/>
    <w:multiLevelType w:val="hybridMultilevel"/>
    <w:tmpl w:val="22102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C122A0"/>
    <w:multiLevelType w:val="multilevel"/>
    <w:tmpl w:val="BC8603C0"/>
    <w:styleLink w:val="ListNumbers"/>
    <w:lvl w:ilvl="0">
      <w:start w:val="1"/>
      <w:numFmt w:val="decimal"/>
      <w:pStyle w:val="ListNumber"/>
      <w:lvlText w:val="%1)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lowerLetter"/>
      <w:pStyle w:val="ListNumber2"/>
      <w:lvlText w:val="%2)"/>
      <w:lvlJc w:val="left"/>
      <w:pPr>
        <w:ind w:left="794" w:hanging="369"/>
      </w:pPr>
      <w:rPr>
        <w:rFonts w:hint="default"/>
      </w:rPr>
    </w:lvl>
    <w:lvl w:ilvl="2">
      <w:start w:val="1"/>
      <w:numFmt w:val="lowerRoman"/>
      <w:pStyle w:val="ListNumber3"/>
      <w:lvlText w:val="%3)"/>
      <w:lvlJc w:val="right"/>
      <w:pPr>
        <w:ind w:left="1077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1C67AA2"/>
    <w:multiLevelType w:val="hybridMultilevel"/>
    <w:tmpl w:val="D6CE34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1"/>
  </w:num>
  <w:num w:numId="4">
    <w:abstractNumId w:val="12"/>
  </w:num>
  <w:num w:numId="5">
    <w:abstractNumId w:val="3"/>
  </w:num>
  <w:num w:numId="6">
    <w:abstractNumId w:val="16"/>
  </w:num>
  <w:num w:numId="7">
    <w:abstractNumId w:val="25"/>
  </w:num>
  <w:num w:numId="8">
    <w:abstractNumId w:val="17"/>
  </w:num>
  <w:num w:numId="9">
    <w:abstractNumId w:val="21"/>
  </w:num>
  <w:num w:numId="10">
    <w:abstractNumId w:val="15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22"/>
  </w:num>
  <w:num w:numId="14">
    <w:abstractNumId w:val="2"/>
  </w:num>
  <w:num w:numId="15">
    <w:abstractNumId w:val="1"/>
  </w:num>
  <w:num w:numId="16">
    <w:abstractNumId w:val="0"/>
  </w:num>
  <w:num w:numId="17">
    <w:abstractNumId w:val="4"/>
  </w:num>
  <w:num w:numId="18">
    <w:abstractNumId w:val="23"/>
  </w:num>
  <w:num w:numId="19">
    <w:abstractNumId w:val="13"/>
  </w:num>
  <w:num w:numId="20">
    <w:abstractNumId w:val="24"/>
  </w:num>
  <w:num w:numId="21">
    <w:abstractNumId w:val="5"/>
  </w:num>
  <w:num w:numId="22">
    <w:abstractNumId w:val="10"/>
  </w:num>
  <w:num w:numId="23">
    <w:abstractNumId w:val="14"/>
  </w:num>
  <w:num w:numId="24">
    <w:abstractNumId w:val="26"/>
  </w:num>
  <w:num w:numId="25">
    <w:abstractNumId w:val="7"/>
  </w:num>
  <w:num w:numId="26">
    <w:abstractNumId w:val="6"/>
  </w:num>
  <w:num w:numId="27">
    <w:abstractNumId w:val="8"/>
  </w:num>
  <w:num w:numId="28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67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08"/>
    <w:rsid w:val="0000249D"/>
    <w:rsid w:val="00016904"/>
    <w:rsid w:val="00033BB0"/>
    <w:rsid w:val="000424DA"/>
    <w:rsid w:val="00044076"/>
    <w:rsid w:val="00056ED1"/>
    <w:rsid w:val="00060562"/>
    <w:rsid w:val="00080EB4"/>
    <w:rsid w:val="00082917"/>
    <w:rsid w:val="000D46E4"/>
    <w:rsid w:val="000D67BB"/>
    <w:rsid w:val="00125C66"/>
    <w:rsid w:val="00126F06"/>
    <w:rsid w:val="001366D3"/>
    <w:rsid w:val="00141B90"/>
    <w:rsid w:val="001554D3"/>
    <w:rsid w:val="001836F9"/>
    <w:rsid w:val="00193299"/>
    <w:rsid w:val="00197CE6"/>
    <w:rsid w:val="001A53E0"/>
    <w:rsid w:val="001B2CEE"/>
    <w:rsid w:val="001C185D"/>
    <w:rsid w:val="001C691A"/>
    <w:rsid w:val="001E28D5"/>
    <w:rsid w:val="00211B7E"/>
    <w:rsid w:val="002268AF"/>
    <w:rsid w:val="0023471D"/>
    <w:rsid w:val="00237A3E"/>
    <w:rsid w:val="002416EC"/>
    <w:rsid w:val="002643D9"/>
    <w:rsid w:val="00280551"/>
    <w:rsid w:val="002C1150"/>
    <w:rsid w:val="002C5082"/>
    <w:rsid w:val="002E470C"/>
    <w:rsid w:val="002F29E5"/>
    <w:rsid w:val="00300718"/>
    <w:rsid w:val="003141ED"/>
    <w:rsid w:val="00345C4A"/>
    <w:rsid w:val="003663DB"/>
    <w:rsid w:val="00385F43"/>
    <w:rsid w:val="003938C8"/>
    <w:rsid w:val="003A38B1"/>
    <w:rsid w:val="003C2DF7"/>
    <w:rsid w:val="003D6714"/>
    <w:rsid w:val="003F3708"/>
    <w:rsid w:val="004042DD"/>
    <w:rsid w:val="00404A91"/>
    <w:rsid w:val="00440DF4"/>
    <w:rsid w:val="004603EA"/>
    <w:rsid w:val="00461807"/>
    <w:rsid w:val="004D69F5"/>
    <w:rsid w:val="004F2054"/>
    <w:rsid w:val="004F206C"/>
    <w:rsid w:val="0051426D"/>
    <w:rsid w:val="005329CB"/>
    <w:rsid w:val="0053344F"/>
    <w:rsid w:val="00543197"/>
    <w:rsid w:val="00543253"/>
    <w:rsid w:val="0054747E"/>
    <w:rsid w:val="005828CA"/>
    <w:rsid w:val="00592299"/>
    <w:rsid w:val="005C6870"/>
    <w:rsid w:val="005D0FB5"/>
    <w:rsid w:val="005F1376"/>
    <w:rsid w:val="00605492"/>
    <w:rsid w:val="0061130A"/>
    <w:rsid w:val="00626E31"/>
    <w:rsid w:val="00651486"/>
    <w:rsid w:val="00656FE9"/>
    <w:rsid w:val="00686ECC"/>
    <w:rsid w:val="006A29BB"/>
    <w:rsid w:val="006A5E41"/>
    <w:rsid w:val="006E2048"/>
    <w:rsid w:val="006E5B57"/>
    <w:rsid w:val="00722CF6"/>
    <w:rsid w:val="0073542E"/>
    <w:rsid w:val="007408AD"/>
    <w:rsid w:val="00740CAC"/>
    <w:rsid w:val="007415B6"/>
    <w:rsid w:val="007514EA"/>
    <w:rsid w:val="00770829"/>
    <w:rsid w:val="00775D94"/>
    <w:rsid w:val="00793D59"/>
    <w:rsid w:val="007A5468"/>
    <w:rsid w:val="007F3ADE"/>
    <w:rsid w:val="007F49D3"/>
    <w:rsid w:val="008008FD"/>
    <w:rsid w:val="0081118D"/>
    <w:rsid w:val="00812978"/>
    <w:rsid w:val="00822085"/>
    <w:rsid w:val="008376D1"/>
    <w:rsid w:val="00842D8D"/>
    <w:rsid w:val="00846313"/>
    <w:rsid w:val="0088368A"/>
    <w:rsid w:val="008A27D2"/>
    <w:rsid w:val="008B30CA"/>
    <w:rsid w:val="008C2E70"/>
    <w:rsid w:val="008E2B37"/>
    <w:rsid w:val="008E4F1B"/>
    <w:rsid w:val="00905F94"/>
    <w:rsid w:val="00933334"/>
    <w:rsid w:val="009444E6"/>
    <w:rsid w:val="00947540"/>
    <w:rsid w:val="009658DA"/>
    <w:rsid w:val="009A7D81"/>
    <w:rsid w:val="009B2C25"/>
    <w:rsid w:val="009E5482"/>
    <w:rsid w:val="009F3EBC"/>
    <w:rsid w:val="00A12F2D"/>
    <w:rsid w:val="00A22E95"/>
    <w:rsid w:val="00A31101"/>
    <w:rsid w:val="00A31BF1"/>
    <w:rsid w:val="00A53BF4"/>
    <w:rsid w:val="00A55686"/>
    <w:rsid w:val="00A76227"/>
    <w:rsid w:val="00A77C5B"/>
    <w:rsid w:val="00A803E9"/>
    <w:rsid w:val="00A82556"/>
    <w:rsid w:val="00A8402F"/>
    <w:rsid w:val="00A85A1E"/>
    <w:rsid w:val="00A9054F"/>
    <w:rsid w:val="00A95C06"/>
    <w:rsid w:val="00AA4B88"/>
    <w:rsid w:val="00AA5163"/>
    <w:rsid w:val="00AA5406"/>
    <w:rsid w:val="00AB13AE"/>
    <w:rsid w:val="00AD471F"/>
    <w:rsid w:val="00AE4712"/>
    <w:rsid w:val="00AE689E"/>
    <w:rsid w:val="00B00312"/>
    <w:rsid w:val="00B02741"/>
    <w:rsid w:val="00B2733E"/>
    <w:rsid w:val="00B30503"/>
    <w:rsid w:val="00B56BF2"/>
    <w:rsid w:val="00B57188"/>
    <w:rsid w:val="00B64035"/>
    <w:rsid w:val="00B86E2E"/>
    <w:rsid w:val="00B8786E"/>
    <w:rsid w:val="00BA5A1F"/>
    <w:rsid w:val="00C26117"/>
    <w:rsid w:val="00C276F3"/>
    <w:rsid w:val="00C47C0A"/>
    <w:rsid w:val="00C6669A"/>
    <w:rsid w:val="00C7046A"/>
    <w:rsid w:val="00CA74F0"/>
    <w:rsid w:val="00CC0982"/>
    <w:rsid w:val="00CC593E"/>
    <w:rsid w:val="00D06867"/>
    <w:rsid w:val="00D32304"/>
    <w:rsid w:val="00D5001F"/>
    <w:rsid w:val="00D87B18"/>
    <w:rsid w:val="00D963DD"/>
    <w:rsid w:val="00DA1A23"/>
    <w:rsid w:val="00DA2FE3"/>
    <w:rsid w:val="00DB049C"/>
    <w:rsid w:val="00DB4E87"/>
    <w:rsid w:val="00DC0A62"/>
    <w:rsid w:val="00DD26D5"/>
    <w:rsid w:val="00DE16F6"/>
    <w:rsid w:val="00DE36C9"/>
    <w:rsid w:val="00DE4831"/>
    <w:rsid w:val="00DF1CE2"/>
    <w:rsid w:val="00DF5A6B"/>
    <w:rsid w:val="00E0393B"/>
    <w:rsid w:val="00E05FC0"/>
    <w:rsid w:val="00E260C8"/>
    <w:rsid w:val="00E3214D"/>
    <w:rsid w:val="00E35468"/>
    <w:rsid w:val="00EA2456"/>
    <w:rsid w:val="00EA744F"/>
    <w:rsid w:val="00EF042A"/>
    <w:rsid w:val="00EF74AD"/>
    <w:rsid w:val="00F46E24"/>
    <w:rsid w:val="00FA106C"/>
    <w:rsid w:val="00FB710A"/>
    <w:rsid w:val="00FC0AB8"/>
    <w:rsid w:val="00FE209A"/>
    <w:rsid w:val="00F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chartTrackingRefBased/>
  <w15:docId w15:val="{38C5A6A4-C4C7-4312-BE8B-CE67A18A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libri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9" w:unhideWhenUsed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1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iPriority="1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8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1"/>
    <w:qFormat/>
    <w:pPr>
      <w:keepNext/>
      <w:keepLines/>
      <w:spacing w:before="720" w:after="240"/>
      <w:outlineLvl w:val="0"/>
    </w:pPr>
    <w:rPr>
      <w:rFonts w:ascii="Calibri" w:eastAsiaTheme="minorEastAsia" w:hAnsi="Calibri" w:cstheme="minorBidi"/>
      <w:b/>
      <w:bCs/>
      <w:color w:val="000000"/>
      <w:sz w:val="56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3"/>
    <w:qFormat/>
    <w:pPr>
      <w:pageBreakBefore/>
      <w:numPr>
        <w:numId w:val="9"/>
      </w:numPr>
      <w:outlineLvl w:val="1"/>
    </w:pPr>
    <w:rPr>
      <w:rFonts w:ascii="Calibri" w:eastAsia="Times New Roman" w:hAnsi="Calibri"/>
      <w:bCs/>
      <w:color w:val="000000"/>
      <w:sz w:val="56"/>
      <w:szCs w:val="28"/>
      <w:lang w:eastAsia="ja-JP"/>
    </w:rPr>
  </w:style>
  <w:style w:type="paragraph" w:styleId="Heading3">
    <w:name w:val="heading 3"/>
    <w:next w:val="Normal"/>
    <w:link w:val="Heading3Char"/>
    <w:uiPriority w:val="4"/>
    <w:qFormat/>
    <w:pPr>
      <w:keepNext/>
      <w:keepLines/>
      <w:numPr>
        <w:ilvl w:val="1"/>
        <w:numId w:val="9"/>
      </w:numPr>
      <w:spacing w:before="360" w:after="120"/>
      <w:outlineLvl w:val="2"/>
    </w:pPr>
    <w:rPr>
      <w:rFonts w:asciiTheme="minorHAnsi" w:eastAsia="Times New Roman" w:hAnsiTheme="minorHAnsi"/>
      <w:b/>
      <w:bCs/>
      <w:sz w:val="32"/>
      <w:szCs w:val="24"/>
      <w:lang w:eastAsia="en-US"/>
    </w:rPr>
  </w:style>
  <w:style w:type="paragraph" w:styleId="Heading4">
    <w:name w:val="heading 4"/>
    <w:basedOn w:val="Heading5"/>
    <w:next w:val="Normal"/>
    <w:link w:val="Heading4Char"/>
    <w:uiPriority w:val="5"/>
    <w:qFormat/>
    <w:pPr>
      <w:spacing w:before="120"/>
      <w:outlineLvl w:val="3"/>
    </w:pPr>
    <w:rPr>
      <w:rFonts w:eastAsiaTheme="minorEastAsia" w:cstheme="minorBidi"/>
      <w:i w:val="0"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pPr>
      <w:keepNext/>
      <w:keepLines/>
      <w:spacing w:before="200"/>
      <w:outlineLvl w:val="4"/>
    </w:pPr>
    <w:rPr>
      <w:rFonts w:eastAsiaTheme="majorEastAsia" w:cstheme="majorBidi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1">
    <w:name w:val="List1"/>
    <w:basedOn w:val="NoList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="Calibri" w:eastAsiaTheme="minorEastAsia" w:hAnsi="Calibri" w:cstheme="minorBidi"/>
      <w:b/>
      <w:bCs/>
      <w:color w:val="000000"/>
      <w:sz w:val="56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="Calibri" w:eastAsia="Times New Roman" w:hAnsi="Calibri"/>
      <w:bCs/>
      <w:color w:val="000000"/>
      <w:sz w:val="56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inorHAnsi" w:eastAsia="Times New Roman" w:hAnsiTheme="minorHAnsi"/>
      <w:b/>
      <w:bCs/>
      <w:sz w:val="32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5"/>
    <w:rPr>
      <w:rFonts w:eastAsiaTheme="minorEastAsia" w:cstheme="minorBidi"/>
      <w:b/>
      <w:sz w:val="28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b/>
      <w:i/>
      <w:sz w:val="24"/>
      <w:szCs w:val="22"/>
      <w:lang w:eastAsia="en-US"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left" w:pos="426"/>
        <w:tab w:val="right" w:leader="dot" w:pos="9072"/>
      </w:tabs>
      <w:spacing w:after="120"/>
    </w:pPr>
    <w:rPr>
      <w:b/>
      <w:noProof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9060"/>
      </w:tabs>
      <w:spacing w:after="120"/>
      <w:ind w:firstLine="425"/>
    </w:pPr>
    <w:rPr>
      <w:noProof/>
    </w:rPr>
  </w:style>
  <w:style w:type="paragraph" w:styleId="TOC3">
    <w:name w:val="toc 3"/>
    <w:basedOn w:val="Normal"/>
    <w:next w:val="Normal"/>
    <w:uiPriority w:val="39"/>
    <w:unhideWhenUsed/>
    <w:qFormat/>
    <w:pPr>
      <w:tabs>
        <w:tab w:val="right" w:leader="dot" w:pos="9072"/>
      </w:tabs>
      <w:spacing w:after="120"/>
      <w:ind w:firstLine="851"/>
    </w:pPr>
    <w:rPr>
      <w:noProof/>
    </w:rPr>
  </w:style>
  <w:style w:type="paragraph" w:styleId="Caption">
    <w:name w:val="caption"/>
    <w:basedOn w:val="Normal"/>
    <w:next w:val="Normal"/>
    <w:uiPriority w:val="12"/>
    <w:qFormat/>
    <w:pPr>
      <w:keepNext/>
      <w:spacing w:before="360" w:after="120"/>
    </w:pPr>
    <w:rPr>
      <w:b/>
      <w:bCs/>
      <w:sz w:val="24"/>
      <w:szCs w:val="18"/>
    </w:rPr>
  </w:style>
  <w:style w:type="paragraph" w:styleId="ListBullet">
    <w:name w:val="List Bullet"/>
    <w:basedOn w:val="Normal"/>
    <w:uiPriority w:val="7"/>
    <w:qFormat/>
    <w:pPr>
      <w:numPr>
        <w:numId w:val="6"/>
      </w:numPr>
      <w:spacing w:after="120"/>
    </w:pPr>
  </w:style>
  <w:style w:type="paragraph" w:styleId="ListNumber">
    <w:name w:val="List Number"/>
    <w:basedOn w:val="Normal"/>
    <w:uiPriority w:val="9"/>
    <w:qFormat/>
    <w:pPr>
      <w:numPr>
        <w:numId w:val="8"/>
      </w:numPr>
      <w:spacing w:after="120"/>
    </w:pPr>
  </w:style>
  <w:style w:type="paragraph" w:styleId="ListBullet2">
    <w:name w:val="List Bullet 2"/>
    <w:basedOn w:val="Normal"/>
    <w:uiPriority w:val="8"/>
    <w:qFormat/>
    <w:pPr>
      <w:numPr>
        <w:ilvl w:val="1"/>
        <w:numId w:val="6"/>
      </w:numPr>
      <w:spacing w:after="120"/>
      <w:contextualSpacing/>
    </w:pPr>
  </w:style>
  <w:style w:type="paragraph" w:styleId="ListNumber2">
    <w:name w:val="List Number 2"/>
    <w:uiPriority w:val="10"/>
    <w:qFormat/>
    <w:pPr>
      <w:numPr>
        <w:ilvl w:val="1"/>
        <w:numId w:val="8"/>
      </w:numPr>
      <w:spacing w:before="120" w:after="120" w:line="264" w:lineRule="auto"/>
    </w:pPr>
    <w:rPr>
      <w:rFonts w:eastAsia="Times New Roman"/>
      <w:sz w:val="22"/>
      <w:szCs w:val="24"/>
      <w:lang w:eastAsia="en-US"/>
    </w:rPr>
  </w:style>
  <w:style w:type="paragraph" w:styleId="ListNumber3">
    <w:name w:val="List Number 3"/>
    <w:uiPriority w:val="11"/>
    <w:qFormat/>
    <w:pPr>
      <w:numPr>
        <w:ilvl w:val="2"/>
        <w:numId w:val="8"/>
      </w:numPr>
      <w:spacing w:before="120" w:after="120" w:line="264" w:lineRule="auto"/>
    </w:pPr>
    <w:rPr>
      <w:rFonts w:eastAsia="Times New Roman"/>
      <w:sz w:val="22"/>
      <w:szCs w:val="24"/>
      <w:lang w:eastAsia="en-US"/>
    </w:rPr>
  </w:style>
  <w:style w:type="paragraph" w:customStyle="1" w:styleId="DisseminationLimitingMarker">
    <w:name w:val="Dissemination Limiting Marker"/>
    <w:next w:val="Normal"/>
    <w:uiPriority w:val="27"/>
    <w:pPr>
      <w:tabs>
        <w:tab w:val="center" w:pos="4820"/>
      </w:tabs>
      <w:jc w:val="center"/>
    </w:pPr>
    <w:rPr>
      <w:rFonts w:ascii="Calibri" w:hAnsi="Calibri"/>
      <w:b/>
      <w:color w:val="FF0000"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qFormat/>
    <w:rPr>
      <w:color w:val="165788"/>
      <w:u w:val="single"/>
    </w:rPr>
  </w:style>
  <w:style w:type="character" w:styleId="Strong">
    <w:name w:val="Strong"/>
    <w:basedOn w:val="DefaultParagraphFont"/>
    <w:uiPriority w:val="99"/>
    <w:qFormat/>
    <w:rPr>
      <w:b/>
      <w:bCs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18"/>
    <w:qFormat/>
    <w:pPr>
      <w:ind w:left="709" w:right="567"/>
    </w:pPr>
    <w:rPr>
      <w:rFonts w:eastAsia="Times New Roman"/>
      <w:iCs/>
      <w:color w:val="000000"/>
      <w:sz w:val="20"/>
      <w:szCs w:val="24"/>
    </w:rPr>
  </w:style>
  <w:style w:type="character" w:customStyle="1" w:styleId="QuoteChar">
    <w:name w:val="Quote Char"/>
    <w:basedOn w:val="DefaultParagraphFont"/>
    <w:link w:val="Quote"/>
    <w:uiPriority w:val="18"/>
    <w:rPr>
      <w:rFonts w:eastAsia="Times New Roman"/>
      <w:iCs/>
      <w:color w:val="000000"/>
      <w:szCs w:val="24"/>
      <w:lang w:eastAsia="en-US"/>
    </w:rPr>
  </w:style>
  <w:style w:type="paragraph" w:styleId="TOCHeading">
    <w:name w:val="TOC Heading"/>
    <w:next w:val="Normal"/>
    <w:uiPriority w:val="39"/>
    <w:qFormat/>
    <w:pPr>
      <w:pageBreakBefore/>
      <w:spacing w:before="480" w:line="276" w:lineRule="auto"/>
    </w:pPr>
    <w:rPr>
      <w:rFonts w:ascii="Calibri" w:eastAsiaTheme="minorEastAsia" w:hAnsi="Calibri" w:cstheme="minorBidi"/>
      <w:bCs/>
      <w:color w:val="000000"/>
      <w:sz w:val="56"/>
      <w:szCs w:val="28"/>
      <w:lang w:eastAsia="ja-JP"/>
    </w:rPr>
  </w:style>
  <w:style w:type="paragraph" w:customStyle="1" w:styleId="Footeraddress">
    <w:name w:val="Footer address"/>
    <w:basedOn w:val="Normal"/>
    <w:next w:val="ListBullet2"/>
    <w:semiHidden/>
    <w:qFormat/>
    <w:pPr>
      <w:tabs>
        <w:tab w:val="center" w:pos="4536"/>
      </w:tabs>
      <w:spacing w:after="120"/>
      <w:jc w:val="center"/>
    </w:pPr>
    <w:rPr>
      <w:sz w:val="16"/>
    </w:rPr>
  </w:style>
  <w:style w:type="paragraph" w:styleId="Footer">
    <w:name w:val="footer"/>
    <w:next w:val="Footeraddress"/>
    <w:link w:val="FooterChar"/>
    <w:uiPriority w:val="99"/>
    <w:unhideWhenUsed/>
    <w:pPr>
      <w:tabs>
        <w:tab w:val="right" w:pos="9026"/>
      </w:tabs>
    </w:pPr>
    <w:rPr>
      <w:rFonts w:ascii="Calibri" w:eastAsiaTheme="minorHAnsi" w:hAnsi="Calibr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hAnsi="Calibri"/>
    </w:rPr>
  </w:style>
  <w:style w:type="paragraph" w:customStyle="1" w:styleId="BoxText">
    <w:name w:val="Box Text"/>
    <w:basedOn w:val="Normal"/>
    <w:uiPriority w:val="19"/>
    <w:qFormat/>
    <w:pPr>
      <w:pBdr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Bdr>
      <w:spacing w:after="120"/>
    </w:pPr>
    <w:rPr>
      <w:sz w:val="20"/>
    </w:rPr>
  </w:style>
  <w:style w:type="paragraph" w:customStyle="1" w:styleId="FigureTableNoteSource">
    <w:name w:val="Figure/Table Note/Source"/>
    <w:basedOn w:val="Normal"/>
    <w:next w:val="Normal"/>
    <w:uiPriority w:val="16"/>
    <w:qFormat/>
    <w:pPr>
      <w:spacing w:line="264" w:lineRule="auto"/>
      <w:contextualSpacing/>
    </w:pPr>
    <w:rPr>
      <w:sz w:val="18"/>
    </w:rPr>
  </w:style>
  <w:style w:type="paragraph" w:customStyle="1" w:styleId="BasicParagraph">
    <w:name w:val="[Basic Paragraph]"/>
    <w:basedOn w:val="Normal"/>
    <w:uiPriority w:val="99"/>
    <w:pPr>
      <w:widowControl w:val="0"/>
      <w:autoSpaceDE w:val="0"/>
      <w:autoSpaceDN w:val="0"/>
      <w:adjustRightInd w:val="0"/>
      <w:spacing w:before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  <w:lang w:val="en-US"/>
    </w:rPr>
  </w:style>
  <w:style w:type="paragraph" w:customStyle="1" w:styleId="TableText">
    <w:name w:val="Table Text"/>
    <w:basedOn w:val="Normal"/>
    <w:uiPriority w:val="13"/>
    <w:qFormat/>
    <w:pPr>
      <w:spacing w:before="60" w:after="60"/>
    </w:pPr>
    <w:rPr>
      <w:sz w:val="18"/>
    </w:rPr>
  </w:style>
  <w:style w:type="paragraph" w:customStyle="1" w:styleId="TableHeading">
    <w:name w:val="Table Heading"/>
    <w:basedOn w:val="TableText"/>
    <w:uiPriority w:val="14"/>
    <w:qFormat/>
    <w:pPr>
      <w:keepNext/>
    </w:pPr>
    <w:rPr>
      <w:b/>
    </w:rPr>
  </w:style>
  <w:style w:type="numbering" w:customStyle="1" w:styleId="Headings">
    <w:name w:val="Headings"/>
    <w:uiPriority w:val="99"/>
    <w:pPr>
      <w:numPr>
        <w:numId w:val="9"/>
      </w:numPr>
    </w:pPr>
  </w:style>
  <w:style w:type="paragraph" w:customStyle="1" w:styleId="Preliminarycontentheading">
    <w:name w:val="Preliminary content heading"/>
    <w:link w:val="PreliminarycontentheadingChar"/>
    <w:uiPriority w:val="28"/>
    <w:qFormat/>
    <w:rsid w:val="00905F94"/>
    <w:pPr>
      <w:pageBreakBefore/>
    </w:pPr>
    <w:rPr>
      <w:rFonts w:ascii="Calibri" w:eastAsia="Times New Roman" w:hAnsi="Calibri"/>
      <w:bCs/>
      <w:color w:val="000000"/>
      <w:sz w:val="56"/>
      <w:szCs w:val="28"/>
      <w:lang w:eastAsia="ja-JP"/>
    </w:rPr>
  </w:style>
  <w:style w:type="character" w:customStyle="1" w:styleId="PreliminarycontentheadingChar">
    <w:name w:val="Preliminary content heading Char"/>
    <w:basedOn w:val="DefaultParagraphFont"/>
    <w:link w:val="Preliminarycontentheading"/>
    <w:uiPriority w:val="28"/>
    <w:rsid w:val="00905F94"/>
    <w:rPr>
      <w:rFonts w:ascii="Calibri" w:eastAsia="Times New Roman" w:hAnsi="Calibri"/>
      <w:bCs/>
      <w:color w:val="000000"/>
      <w:sz w:val="56"/>
      <w:szCs w:val="28"/>
      <w:lang w:eastAsia="ja-JP"/>
    </w:rPr>
  </w:style>
  <w:style w:type="paragraph" w:customStyle="1" w:styleId="BoxTextBullet">
    <w:name w:val="Box Text Bullet"/>
    <w:basedOn w:val="BoxText"/>
    <w:uiPriority w:val="21"/>
    <w:qFormat/>
    <w:pPr>
      <w:numPr>
        <w:numId w:val="2"/>
      </w:numPr>
      <w:tabs>
        <w:tab w:val="left" w:pos="227"/>
      </w:tabs>
      <w:ind w:left="0" w:firstLine="0"/>
    </w:pPr>
  </w:style>
  <w:style w:type="paragraph" w:customStyle="1" w:styleId="TableBullet">
    <w:name w:val="Table Bullet"/>
    <w:basedOn w:val="TableText"/>
    <w:uiPriority w:val="15"/>
    <w:qFormat/>
    <w:pPr>
      <w:numPr>
        <w:numId w:val="3"/>
      </w:numPr>
    </w:pPr>
  </w:style>
  <w:style w:type="paragraph" w:customStyle="1" w:styleId="BoxHeading">
    <w:name w:val="Box Heading"/>
    <w:basedOn w:val="BoxText"/>
    <w:uiPriority w:val="20"/>
    <w:qFormat/>
    <w:rPr>
      <w:b/>
    </w:rPr>
  </w:style>
  <w:style w:type="paragraph" w:customStyle="1" w:styleId="Securityclassification">
    <w:name w:val="Security classification"/>
    <w:basedOn w:val="Normal"/>
    <w:uiPriority w:val="26"/>
    <w:qFormat/>
    <w:pPr>
      <w:tabs>
        <w:tab w:val="center" w:pos="4820"/>
      </w:tabs>
      <w:jc w:val="center"/>
    </w:pPr>
    <w:rPr>
      <w:b/>
      <w:caps/>
      <w:color w:val="FF0000"/>
      <w:sz w:val="36"/>
      <w:szCs w:val="36"/>
    </w:rPr>
  </w:style>
  <w:style w:type="paragraph" w:styleId="Header">
    <w:name w:val="header"/>
    <w:link w:val="HeaderChar"/>
    <w:unhideWhenUsed/>
    <w:pPr>
      <w:tabs>
        <w:tab w:val="right" w:pos="9026"/>
      </w:tabs>
    </w:pPr>
    <w:rPr>
      <w:rFonts w:ascii="Calibri" w:eastAsiaTheme="minorHAnsi" w:hAnsi="Calibri"/>
    </w:rPr>
  </w:style>
  <w:style w:type="character" w:customStyle="1" w:styleId="HeaderChar">
    <w:name w:val="Header Char"/>
    <w:basedOn w:val="DefaultParagraphFont"/>
    <w:link w:val="Header"/>
    <w:rPr>
      <w:rFonts w:ascii="Calibri" w:hAnsi="Calibri"/>
    </w:rPr>
  </w:style>
  <w:style w:type="paragraph" w:customStyle="1" w:styleId="BoxSource">
    <w:name w:val="Box Source"/>
    <w:basedOn w:val="FigureTableNoteSource"/>
    <w:uiPriority w:val="22"/>
    <w:qFormat/>
    <w:pPr>
      <w:pBdr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Bdr>
    </w:pPr>
  </w:style>
  <w:style w:type="paragraph" w:customStyle="1" w:styleId="AppendixHeading1">
    <w:name w:val="Appendix Heading 1"/>
    <w:qFormat/>
    <w:pPr>
      <w:pageBreakBefore/>
      <w:numPr>
        <w:numId w:val="12"/>
      </w:numPr>
      <w:spacing w:after="240"/>
    </w:pPr>
    <w:rPr>
      <w:rFonts w:asciiTheme="minorHAnsi" w:eastAsia="Times New Roman" w:hAnsiTheme="minorHAnsi"/>
      <w:b/>
      <w:bCs/>
      <w:sz w:val="56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</w:style>
  <w:style w:type="numbering" w:customStyle="1" w:styleId="Appendix">
    <w:name w:val="Appendix"/>
    <w:uiPriority w:val="99"/>
    <w:pPr>
      <w:numPr>
        <w:numId w:val="10"/>
      </w:numPr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="Calibr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Calibri"/>
      <w:b/>
      <w:bCs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numbering" w:customStyle="1" w:styleId="ListBullets">
    <w:name w:val="ListBullets"/>
    <w:uiPriority w:val="99"/>
    <w:pPr>
      <w:numPr>
        <w:numId w:val="4"/>
      </w:numPr>
    </w:pPr>
  </w:style>
  <w:style w:type="paragraph" w:styleId="ListBullet4">
    <w:name w:val="List Bullet 4"/>
    <w:basedOn w:val="Normal"/>
    <w:uiPriority w:val="99"/>
    <w:unhideWhenUsed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ilvl w:val="2"/>
        <w:numId w:val="6"/>
      </w:numPr>
      <w:contextualSpacing/>
    </w:pPr>
  </w:style>
  <w:style w:type="numbering" w:customStyle="1" w:styleId="ListNumbers">
    <w:name w:val="ListNumbers"/>
    <w:uiPriority w:val="99"/>
    <w:pPr>
      <w:numPr>
        <w:numId w:val="7"/>
      </w:numPr>
    </w:pPr>
  </w:style>
  <w:style w:type="paragraph" w:customStyle="1" w:styleId="Picture">
    <w:name w:val="Picture"/>
    <w:qFormat/>
    <w:rPr>
      <w:rFonts w:ascii="Calibri" w:eastAsiaTheme="minorEastAsia" w:hAnsi="Calibri" w:cstheme="minorBidi"/>
      <w:bCs/>
      <w:color w:val="000000"/>
      <w:sz w:val="22"/>
      <w:szCs w:val="28"/>
      <w:lang w:eastAsia="ja-JP"/>
    </w:rPr>
  </w:style>
  <w:style w:type="paragraph" w:styleId="Subtitle">
    <w:name w:val="Subtitle"/>
    <w:basedOn w:val="Normal"/>
    <w:next w:val="Normal"/>
    <w:link w:val="SubtitleChar"/>
    <w:uiPriority w:val="23"/>
    <w:qFormat/>
    <w:pPr>
      <w:ind w:left="1701"/>
    </w:pPr>
    <w:rPr>
      <w:sz w:val="40"/>
      <w:szCs w:val="40"/>
      <w:lang w:eastAsia="ja-JP"/>
    </w:rPr>
  </w:style>
  <w:style w:type="character" w:customStyle="1" w:styleId="SubtitleChar">
    <w:name w:val="Subtitle Char"/>
    <w:basedOn w:val="DefaultParagraphFont"/>
    <w:link w:val="Subtitle"/>
    <w:uiPriority w:val="23"/>
    <w:rPr>
      <w:rFonts w:eastAsia="Calibri"/>
      <w:sz w:val="40"/>
      <w:szCs w:val="40"/>
      <w:lang w:eastAsia="ja-JP"/>
    </w:rPr>
  </w:style>
  <w:style w:type="paragraph" w:styleId="Date">
    <w:name w:val="Date"/>
    <w:basedOn w:val="Normal"/>
    <w:next w:val="Normal"/>
    <w:link w:val="DateChar"/>
    <w:uiPriority w:val="99"/>
    <w:unhideWhenUsed/>
    <w:pPr>
      <w:pBdr>
        <w:top w:val="single" w:sz="4" w:space="1" w:color="auto"/>
      </w:pBdr>
      <w:ind w:left="1701"/>
      <w:jc w:val="right"/>
    </w:pPr>
    <w:rPr>
      <w:sz w:val="28"/>
      <w:szCs w:val="28"/>
    </w:rPr>
  </w:style>
  <w:style w:type="character" w:customStyle="1" w:styleId="DateChar">
    <w:name w:val="Date Char"/>
    <w:basedOn w:val="DefaultParagraphFont"/>
    <w:link w:val="Date"/>
    <w:uiPriority w:val="99"/>
    <w:rPr>
      <w:rFonts w:eastAsia="Calibri"/>
      <w:sz w:val="28"/>
      <w:szCs w:val="28"/>
      <w:lang w:eastAsia="en-US"/>
    </w:rPr>
  </w:style>
  <w:style w:type="paragraph" w:customStyle="1" w:styleId="AppendixHeading2">
    <w:name w:val="Appendix Heading 2"/>
    <w:qFormat/>
    <w:pPr>
      <w:numPr>
        <w:ilvl w:val="1"/>
        <w:numId w:val="12"/>
      </w:numPr>
    </w:pPr>
    <w:rPr>
      <w:rFonts w:asciiTheme="minorHAnsi" w:eastAsia="Times New Roman" w:hAnsiTheme="minorHAnsi"/>
      <w:b/>
      <w:bCs/>
      <w:sz w:val="32"/>
      <w:szCs w:val="24"/>
      <w:lang w:eastAsia="en-US"/>
    </w:rPr>
  </w:style>
  <w:style w:type="paragraph" w:customStyle="1" w:styleId="AppendixHeading3">
    <w:name w:val="Appendix Heading 3"/>
    <w:qFormat/>
    <w:pPr>
      <w:keepNext/>
      <w:tabs>
        <w:tab w:val="num" w:pos="1077"/>
      </w:tabs>
      <w:spacing w:before="240"/>
      <w:ind w:left="1077" w:hanging="1077"/>
    </w:pPr>
    <w:rPr>
      <w:rFonts w:eastAsia="Times New Roman"/>
      <w:b/>
      <w:sz w:val="24"/>
      <w:szCs w:val="24"/>
      <w:lang w:val="en-US" w:eastAsia="en-US" w:bidi="en-US"/>
    </w:rPr>
  </w:style>
  <w:style w:type="paragraph" w:customStyle="1" w:styleId="AppendixHeading4">
    <w:name w:val="Appendix Heading 4"/>
    <w:qFormat/>
    <w:pPr>
      <w:keepNext/>
      <w:tabs>
        <w:tab w:val="num" w:pos="1077"/>
      </w:tabs>
      <w:spacing w:after="120"/>
      <w:ind w:left="1077" w:hanging="1077"/>
    </w:pPr>
    <w:rPr>
      <w:rFonts w:ascii="Calibri" w:eastAsia="Times New Roman" w:hAnsi="Calibri"/>
      <w:b/>
      <w:sz w:val="22"/>
      <w:szCs w:val="24"/>
      <w:lang w:val="en-US" w:eastAsia="en-US" w:bidi="en-US"/>
    </w:rPr>
  </w:style>
  <w:style w:type="paragraph" w:customStyle="1" w:styleId="Endmattercontentheading">
    <w:name w:val="Endmatter content heading"/>
    <w:basedOn w:val="Preliminarycontentheading"/>
    <w:qFormat/>
  </w:style>
  <w:style w:type="paragraph" w:styleId="Revision">
    <w:name w:val="Revision"/>
    <w:hidden/>
    <w:uiPriority w:val="99"/>
    <w:semiHidden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C66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pplierportal.coles.com.au/csp/wps/wcm/connect/1a58c1004dc735daae99ffa55e9e2fc0/FP+DC+Contacts.pdf?MOD=AJPERES&amp;CACHEID=1a58c1004dc735daae99ffa55e9e2fc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QLD003FP01\AQISData$\NAQS\GIS\Pathways\Data\MapData\Information%20Objectives\Roads%20and%20Transport%20hubs\Coles%20Distribution%20Centres\Datase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\\QLD003FP01\AQISData$\NAQS\GIS\Pathways\Data\MapData\Information%20Objectives\Roads%20and%20Transport%20hubs\Coles%20Distribution%20Centres\Dataset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QLD003FP01\AQISData$\NAQS\GIS\Pathways\Data\MapData\Information%20Objectives\Roads%20and%20Transport%20hubs\Coles%20Distribution%20Centres\Dataset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2BEB5C-2A4C-4184-B503-D5919B668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Word template</vt:lpstr>
    </vt:vector>
  </TitlesOfParts>
  <Company>Department of Agriculture</Company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Word template</dc:title>
  <dc:subject/>
  <dc:creator>El-Hayek, Joe</dc:creator>
  <cp:keywords/>
  <dc:description/>
  <cp:lastModifiedBy>El-Hayek, Joe</cp:lastModifiedBy>
  <cp:revision>59</cp:revision>
  <cp:lastPrinted>2015-08-14T05:36:00Z</cp:lastPrinted>
  <dcterms:created xsi:type="dcterms:W3CDTF">2018-06-18T05:44:00Z</dcterms:created>
  <dcterms:modified xsi:type="dcterms:W3CDTF">2018-06-20T23:22:00Z</dcterms:modified>
</cp:coreProperties>
</file>