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A5468" w:rsidRPr="007F49D3" w:rsidRDefault="005F1376" w:rsidP="009444E6">
      <w:pPr>
        <w:spacing w:before="0"/>
        <w:rPr>
          <w:b/>
          <w:color w:val="943634" w:themeColor="accent2" w:themeShade="BF"/>
          <w:sz w:val="24"/>
          <w:lang w:eastAsia="ja-JP"/>
        </w:rPr>
      </w:pPr>
      <w:r w:rsidRPr="007F49D3">
        <w:rPr>
          <w:b/>
          <w:color w:val="943634" w:themeColor="accent2" w:themeShade="BF"/>
          <w:sz w:val="24"/>
          <w:lang w:eastAsia="ja-JP"/>
        </w:rPr>
        <w:t xml:space="preserve">Detailed </w:t>
      </w:r>
      <w:r w:rsidR="004D69F5">
        <w:rPr>
          <w:b/>
          <w:color w:val="943634" w:themeColor="accent2" w:themeShade="BF"/>
          <w:sz w:val="24"/>
          <w:lang w:eastAsia="ja-JP"/>
        </w:rPr>
        <w:t>d</w:t>
      </w:r>
      <w:r w:rsidRPr="007F49D3">
        <w:rPr>
          <w:b/>
          <w:color w:val="943634" w:themeColor="accent2" w:themeShade="BF"/>
          <w:sz w:val="24"/>
          <w:lang w:eastAsia="ja-JP"/>
        </w:rPr>
        <w:t xml:space="preserve">ataset </w:t>
      </w:r>
      <w:r w:rsidR="004D69F5">
        <w:rPr>
          <w:b/>
          <w:color w:val="943634" w:themeColor="accent2" w:themeShade="BF"/>
          <w:sz w:val="24"/>
          <w:lang w:eastAsia="ja-JP"/>
        </w:rPr>
        <w:t xml:space="preserve">information </w:t>
      </w:r>
      <w:r w:rsidR="00775D94">
        <w:rPr>
          <w:b/>
          <w:color w:val="943634" w:themeColor="accent2" w:themeShade="BF"/>
          <w:sz w:val="24"/>
          <w:lang w:eastAsia="ja-JP"/>
        </w:rPr>
        <w:t>sheet</w:t>
      </w:r>
      <w:r w:rsidR="004D69F5">
        <w:rPr>
          <w:b/>
          <w:color w:val="943634" w:themeColor="accent2" w:themeShade="BF"/>
          <w:sz w:val="24"/>
          <w:lang w:eastAsia="ja-JP"/>
        </w:rPr>
        <w:t xml:space="preserve"> </w:t>
      </w:r>
    </w:p>
    <w:p w:rsidR="007A5468" w:rsidRDefault="007A5468" w:rsidP="009444E6">
      <w:pPr>
        <w:spacing w:before="0"/>
        <w:rPr>
          <w:lang w:eastAsia="ja-JP"/>
        </w:rPr>
      </w:pPr>
    </w:p>
    <w:tbl>
      <w:tblPr>
        <w:tblStyle w:val="TableGrid"/>
        <w:tblW w:w="0" w:type="auto"/>
        <w:tblLook w:val="04A0" w:firstRow="1" w:lastRow="0" w:firstColumn="1" w:lastColumn="0" w:noHBand="0" w:noVBand="1"/>
      </w:tblPr>
      <w:tblGrid>
        <w:gridCol w:w="3256"/>
        <w:gridCol w:w="5760"/>
      </w:tblGrid>
      <w:tr w:rsidR="005F1376" w:rsidTr="00DC0A62">
        <w:trPr>
          <w:trHeight w:val="284"/>
        </w:trPr>
        <w:tc>
          <w:tcPr>
            <w:tcW w:w="3256" w:type="dxa"/>
            <w:shd w:val="clear" w:color="auto" w:fill="D9D9D9" w:themeFill="background1" w:themeFillShade="D9"/>
            <w:vAlign w:val="center"/>
          </w:tcPr>
          <w:p w:rsidR="005F1376" w:rsidRDefault="005F1376" w:rsidP="005F1376">
            <w:pPr>
              <w:spacing w:before="0"/>
              <w:jc w:val="right"/>
              <w:rPr>
                <w:lang w:eastAsia="ja-JP"/>
              </w:rPr>
            </w:pPr>
            <w:r w:rsidRPr="00543197">
              <w:rPr>
                <w:b/>
                <w:sz w:val="18"/>
                <w:lang w:eastAsia="ja-JP"/>
              </w:rPr>
              <w:t>Information</w:t>
            </w:r>
            <w:r>
              <w:rPr>
                <w:b/>
                <w:sz w:val="18"/>
                <w:lang w:eastAsia="ja-JP"/>
              </w:rPr>
              <w:t xml:space="preserve"> </w:t>
            </w:r>
            <w:r w:rsidRPr="00543197">
              <w:rPr>
                <w:b/>
                <w:sz w:val="18"/>
                <w:lang w:eastAsia="ja-JP"/>
              </w:rPr>
              <w:t>Objective</w:t>
            </w:r>
          </w:p>
        </w:tc>
        <w:tc>
          <w:tcPr>
            <w:tcW w:w="5760" w:type="dxa"/>
            <w:vAlign w:val="center"/>
          </w:tcPr>
          <w:p w:rsidR="00C47C0A" w:rsidRPr="00DC0A62" w:rsidRDefault="00C47C0A" w:rsidP="00DC0A62">
            <w:pPr>
              <w:spacing w:before="0"/>
              <w:rPr>
                <w:sz w:val="18"/>
                <w:lang w:eastAsia="ja-JP"/>
              </w:rPr>
            </w:pPr>
            <w:r>
              <w:rPr>
                <w:sz w:val="18"/>
                <w:lang w:eastAsia="ja-JP"/>
              </w:rPr>
              <w:t>Roads and Transport Hubs</w:t>
            </w:r>
          </w:p>
        </w:tc>
      </w:tr>
      <w:tr w:rsidR="005F1376" w:rsidTr="00DC0A62">
        <w:trPr>
          <w:trHeight w:val="284"/>
        </w:trPr>
        <w:tc>
          <w:tcPr>
            <w:tcW w:w="3256" w:type="dxa"/>
            <w:shd w:val="clear" w:color="auto" w:fill="D9D9D9" w:themeFill="background1" w:themeFillShade="D9"/>
            <w:vAlign w:val="center"/>
          </w:tcPr>
          <w:p w:rsidR="005F1376" w:rsidRDefault="005F1376" w:rsidP="005F1376">
            <w:pPr>
              <w:spacing w:before="0"/>
              <w:jc w:val="right"/>
              <w:rPr>
                <w:lang w:eastAsia="ja-JP"/>
              </w:rPr>
            </w:pPr>
            <w:r w:rsidRPr="00543197">
              <w:rPr>
                <w:b/>
                <w:sz w:val="18"/>
                <w:lang w:eastAsia="ja-JP"/>
              </w:rPr>
              <w:t>Data Products</w:t>
            </w:r>
          </w:p>
        </w:tc>
        <w:tc>
          <w:tcPr>
            <w:tcW w:w="5760" w:type="dxa"/>
            <w:vAlign w:val="center"/>
          </w:tcPr>
          <w:p w:rsidR="00C47C0A" w:rsidRPr="00DC0A62" w:rsidRDefault="00E57E3D" w:rsidP="00DC0A62">
            <w:pPr>
              <w:spacing w:before="0"/>
              <w:rPr>
                <w:sz w:val="18"/>
                <w:lang w:eastAsia="ja-JP"/>
              </w:rPr>
            </w:pPr>
            <w:r>
              <w:rPr>
                <w:sz w:val="18"/>
                <w:lang w:eastAsia="ja-JP"/>
              </w:rPr>
              <w:t>National Road Network</w:t>
            </w:r>
          </w:p>
        </w:tc>
      </w:tr>
      <w:tr w:rsidR="005F1376" w:rsidTr="00DC0A62">
        <w:trPr>
          <w:trHeight w:val="284"/>
        </w:trPr>
        <w:tc>
          <w:tcPr>
            <w:tcW w:w="3256" w:type="dxa"/>
            <w:shd w:val="clear" w:color="auto" w:fill="D9D9D9" w:themeFill="background1" w:themeFillShade="D9"/>
            <w:vAlign w:val="center"/>
          </w:tcPr>
          <w:p w:rsidR="005F1376" w:rsidRDefault="005F1376" w:rsidP="005F1376">
            <w:pPr>
              <w:spacing w:before="0"/>
              <w:jc w:val="right"/>
              <w:rPr>
                <w:lang w:eastAsia="ja-JP"/>
              </w:rPr>
            </w:pPr>
            <w:r w:rsidRPr="00543197">
              <w:rPr>
                <w:b/>
                <w:sz w:val="18"/>
                <w:lang w:eastAsia="ja-JP"/>
              </w:rPr>
              <w:t>Information</w:t>
            </w:r>
            <w:r>
              <w:rPr>
                <w:b/>
                <w:sz w:val="18"/>
                <w:lang w:eastAsia="ja-JP"/>
              </w:rPr>
              <w:t xml:space="preserve"> </w:t>
            </w:r>
            <w:r w:rsidRPr="00543197">
              <w:rPr>
                <w:b/>
                <w:sz w:val="18"/>
                <w:lang w:eastAsia="ja-JP"/>
              </w:rPr>
              <w:t>Source / Model Product</w:t>
            </w:r>
          </w:p>
        </w:tc>
        <w:tc>
          <w:tcPr>
            <w:tcW w:w="5760" w:type="dxa"/>
            <w:vAlign w:val="center"/>
          </w:tcPr>
          <w:p w:rsidR="005F1376" w:rsidRPr="00DC0A62" w:rsidRDefault="00E57E3D" w:rsidP="00DC0A62">
            <w:pPr>
              <w:spacing w:before="0"/>
              <w:rPr>
                <w:sz w:val="18"/>
                <w:lang w:eastAsia="ja-JP"/>
              </w:rPr>
            </w:pPr>
            <w:r>
              <w:rPr>
                <w:sz w:val="18"/>
                <w:lang w:eastAsia="ja-JP"/>
              </w:rPr>
              <w:t>State Departments</w:t>
            </w:r>
          </w:p>
        </w:tc>
      </w:tr>
      <w:tr w:rsidR="00C47C0A" w:rsidTr="00DC0A62">
        <w:trPr>
          <w:trHeight w:val="284"/>
        </w:trPr>
        <w:tc>
          <w:tcPr>
            <w:tcW w:w="3256" w:type="dxa"/>
            <w:shd w:val="clear" w:color="auto" w:fill="D9D9D9" w:themeFill="background1" w:themeFillShade="D9"/>
          </w:tcPr>
          <w:p w:rsidR="00C47C0A" w:rsidRDefault="00C47C0A" w:rsidP="00C47C0A">
            <w:pPr>
              <w:jc w:val="right"/>
              <w:rPr>
                <w:lang w:eastAsia="ja-JP"/>
              </w:rPr>
            </w:pPr>
            <w:r>
              <w:rPr>
                <w:b/>
                <w:sz w:val="18"/>
                <w:lang w:eastAsia="ja-JP"/>
              </w:rPr>
              <w:t>Product Completion Progress</w:t>
            </w:r>
          </w:p>
        </w:tc>
        <w:tc>
          <w:tcPr>
            <w:tcW w:w="5760" w:type="dxa"/>
            <w:vAlign w:val="center"/>
          </w:tcPr>
          <w:p w:rsidR="00C47C0A" w:rsidRDefault="00E57E3D" w:rsidP="00C47C0A">
            <w:pPr>
              <w:rPr>
                <w:sz w:val="18"/>
                <w:lang w:eastAsia="ja-JP"/>
              </w:rPr>
            </w:pPr>
            <w:r>
              <w:rPr>
                <w:sz w:val="18"/>
                <w:lang w:eastAsia="ja-JP"/>
              </w:rPr>
              <w:t>Procurement stage</w:t>
            </w:r>
          </w:p>
          <w:p w:rsidR="00E57E3D" w:rsidRPr="00DC0A62" w:rsidRDefault="00E57E3D" w:rsidP="00C47C0A">
            <w:pPr>
              <w:rPr>
                <w:sz w:val="18"/>
                <w:lang w:eastAsia="ja-JP"/>
              </w:rPr>
            </w:pPr>
            <w:r>
              <w:rPr>
                <w:sz w:val="18"/>
                <w:lang w:eastAsia="ja-JP"/>
              </w:rPr>
              <w:t>Awaiting Northern Territory dataset</w:t>
            </w:r>
          </w:p>
        </w:tc>
      </w:tr>
      <w:tr w:rsidR="00C47C0A" w:rsidTr="00DC0A62">
        <w:trPr>
          <w:trHeight w:val="284"/>
        </w:trPr>
        <w:tc>
          <w:tcPr>
            <w:tcW w:w="3256" w:type="dxa"/>
            <w:shd w:val="clear" w:color="auto" w:fill="D9D9D9" w:themeFill="background1" w:themeFillShade="D9"/>
            <w:vAlign w:val="center"/>
          </w:tcPr>
          <w:p w:rsidR="00C47C0A" w:rsidRDefault="00C47C0A" w:rsidP="00C47C0A">
            <w:pPr>
              <w:spacing w:before="0"/>
              <w:jc w:val="right"/>
              <w:rPr>
                <w:lang w:eastAsia="ja-JP"/>
              </w:rPr>
            </w:pPr>
            <w:r>
              <w:rPr>
                <w:b/>
                <w:sz w:val="18"/>
                <w:lang w:eastAsia="ja-JP"/>
              </w:rPr>
              <w:t>Dataset / Metadata Document</w:t>
            </w:r>
          </w:p>
        </w:tc>
        <w:tc>
          <w:tcPr>
            <w:tcW w:w="5760" w:type="dxa"/>
            <w:vAlign w:val="center"/>
          </w:tcPr>
          <w:p w:rsidR="00C47C0A" w:rsidRPr="00DC0A62" w:rsidRDefault="00E57E3D" w:rsidP="00E57E3D">
            <w:pPr>
              <w:spacing w:before="0"/>
              <w:rPr>
                <w:sz w:val="18"/>
                <w:lang w:eastAsia="ja-JP"/>
              </w:rPr>
            </w:pPr>
            <w:hyperlink r:id="rId8" w:history="1">
              <w:r w:rsidRPr="00FC0AB8">
                <w:rPr>
                  <w:rStyle w:val="Hyperlink"/>
                  <w:sz w:val="18"/>
                  <w:lang w:eastAsia="ja-JP"/>
                </w:rPr>
                <w:t>Raw data is stored under individual State/Territory folders</w:t>
              </w:r>
            </w:hyperlink>
          </w:p>
        </w:tc>
      </w:tr>
      <w:tr w:rsidR="00C47C0A" w:rsidTr="00DC0A62">
        <w:trPr>
          <w:trHeight w:val="284"/>
        </w:trPr>
        <w:tc>
          <w:tcPr>
            <w:tcW w:w="3256" w:type="dxa"/>
            <w:shd w:val="clear" w:color="auto" w:fill="D9D9D9" w:themeFill="background1" w:themeFillShade="D9"/>
            <w:vAlign w:val="center"/>
          </w:tcPr>
          <w:p w:rsidR="00C47C0A" w:rsidRDefault="00C47C0A" w:rsidP="00C47C0A">
            <w:pPr>
              <w:spacing w:before="0"/>
              <w:jc w:val="right"/>
              <w:rPr>
                <w:b/>
                <w:sz w:val="18"/>
                <w:lang w:eastAsia="ja-JP"/>
              </w:rPr>
            </w:pPr>
            <w:r>
              <w:rPr>
                <w:b/>
                <w:sz w:val="18"/>
                <w:lang w:eastAsia="ja-JP"/>
              </w:rPr>
              <w:t>Dataset Use</w:t>
            </w:r>
          </w:p>
        </w:tc>
        <w:tc>
          <w:tcPr>
            <w:tcW w:w="5760" w:type="dxa"/>
            <w:vAlign w:val="center"/>
          </w:tcPr>
          <w:p w:rsidR="00C47C0A" w:rsidRPr="00DC0A62" w:rsidRDefault="00C47C0A" w:rsidP="00C47C0A">
            <w:pPr>
              <w:spacing w:before="0"/>
              <w:rPr>
                <w:sz w:val="18"/>
                <w:lang w:eastAsia="ja-JP"/>
              </w:rPr>
            </w:pPr>
            <w:r>
              <w:rPr>
                <w:sz w:val="18"/>
                <w:lang w:eastAsia="ja-JP"/>
              </w:rPr>
              <w:t>Surveillance Strategy and Design, Pathway risk analysis</w:t>
            </w:r>
          </w:p>
        </w:tc>
      </w:tr>
    </w:tbl>
    <w:p w:rsidR="007A5468" w:rsidRDefault="007A5468" w:rsidP="00905F94">
      <w:pPr>
        <w:rPr>
          <w:lang w:eastAsia="ja-JP"/>
        </w:rPr>
      </w:pPr>
    </w:p>
    <w:p w:rsidR="007A5468" w:rsidRPr="00AE4712" w:rsidRDefault="00AE4712" w:rsidP="00905F94">
      <w:pPr>
        <w:rPr>
          <w:b/>
          <w:u w:val="single"/>
          <w:lang w:eastAsia="ja-JP"/>
        </w:rPr>
      </w:pPr>
      <w:r>
        <w:rPr>
          <w:b/>
          <w:u w:val="single"/>
          <w:lang w:eastAsia="ja-JP"/>
        </w:rPr>
        <w:t>Background</w:t>
      </w:r>
    </w:p>
    <w:p w:rsidR="007A5468" w:rsidRDefault="00DE4831" w:rsidP="00905F94">
      <w:pPr>
        <w:rPr>
          <w:lang w:eastAsia="ja-JP"/>
        </w:rPr>
      </w:pPr>
      <w:r>
        <w:rPr>
          <w:lang w:eastAsia="ja-JP"/>
        </w:rPr>
        <w:t xml:space="preserve">A national </w:t>
      </w:r>
      <w:r w:rsidR="00B92248">
        <w:rPr>
          <w:lang w:eastAsia="ja-JP"/>
        </w:rPr>
        <w:t>line feature spatial dataset layer</w:t>
      </w:r>
      <w:r>
        <w:rPr>
          <w:lang w:eastAsia="ja-JP"/>
        </w:rPr>
        <w:t xml:space="preserve"> identifying </w:t>
      </w:r>
      <w:r w:rsidR="00B92248">
        <w:rPr>
          <w:lang w:eastAsia="ja-JP"/>
        </w:rPr>
        <w:t>road centreline features is being developed from publicly downloadable or sourced with assistance from state level spatial departments</w:t>
      </w:r>
      <w:r w:rsidR="00DC0A62">
        <w:rPr>
          <w:lang w:eastAsia="ja-JP"/>
        </w:rPr>
        <w:t>.</w:t>
      </w:r>
    </w:p>
    <w:p w:rsidR="00AE4712" w:rsidRDefault="00B92248" w:rsidP="00905F94">
      <w:pPr>
        <w:rPr>
          <w:lang w:eastAsia="ja-JP"/>
        </w:rPr>
      </w:pPr>
      <w:r>
        <w:rPr>
          <w:lang w:eastAsia="ja-JP"/>
        </w:rPr>
        <w:t>The uses of this dataset will be broader than those initially envisaged within the Plant Health Policy unit.</w:t>
      </w:r>
    </w:p>
    <w:p w:rsidR="00B92248" w:rsidRDefault="00B92248" w:rsidP="00905F94">
      <w:pPr>
        <w:rPr>
          <w:lang w:eastAsia="ja-JP"/>
        </w:rPr>
      </w:pPr>
      <w:r>
        <w:rPr>
          <w:lang w:eastAsia="ja-JP"/>
        </w:rPr>
        <w:t>The individual state level datasets have a varying range of attribute field information and this will need to be harmonised in future work on this dataset.</w:t>
      </w:r>
    </w:p>
    <w:p w:rsidR="00764B6C" w:rsidRDefault="00764B6C" w:rsidP="00905F94">
      <w:pPr>
        <w:rPr>
          <w:lang w:eastAsia="ja-JP"/>
        </w:rPr>
      </w:pPr>
      <w:r>
        <w:rPr>
          <w:lang w:eastAsia="ja-JP"/>
        </w:rPr>
        <w:t>Currently all states have contributed their road centreline datasets in an ESRI shapefile format. The only dataset that is yet to be sourced from the NT is in process of being procured.</w:t>
      </w:r>
    </w:p>
    <w:p w:rsidR="00AE4712" w:rsidRPr="00AE4712" w:rsidRDefault="00B00312" w:rsidP="00905F94">
      <w:pPr>
        <w:rPr>
          <w:b/>
          <w:u w:val="single"/>
          <w:lang w:eastAsia="ja-JP"/>
        </w:rPr>
      </w:pPr>
      <w:r>
        <w:rPr>
          <w:b/>
          <w:u w:val="single"/>
          <w:lang w:eastAsia="ja-JP"/>
        </w:rPr>
        <w:t xml:space="preserve">Initial </w:t>
      </w:r>
      <w:r w:rsidR="00AE4712" w:rsidRPr="00AE4712">
        <w:rPr>
          <w:b/>
          <w:u w:val="single"/>
          <w:lang w:eastAsia="ja-JP"/>
        </w:rPr>
        <w:t>Dataset Procurement Process</w:t>
      </w:r>
    </w:p>
    <w:p w:rsidR="002643D9" w:rsidRDefault="00764B6C" w:rsidP="00764B6C">
      <w:pPr>
        <w:rPr>
          <w:lang w:eastAsia="ja-JP"/>
        </w:rPr>
      </w:pPr>
      <w:r>
        <w:rPr>
          <w:lang w:eastAsia="ja-JP"/>
        </w:rPr>
        <w:t>The datasets has been imported into ArcMap a</w:t>
      </w:r>
      <w:r w:rsidR="00AA7E36">
        <w:rPr>
          <w:lang w:eastAsia="ja-JP"/>
        </w:rPr>
        <w:t>nd the progress of processing each dataset is detailed in Table 1.</w:t>
      </w:r>
    </w:p>
    <w:p w:rsidR="00AA7E36" w:rsidRDefault="00AA7E36" w:rsidP="00764B6C">
      <w:pPr>
        <w:rPr>
          <w:lang w:eastAsia="ja-JP"/>
        </w:rPr>
      </w:pPr>
      <w:r>
        <w:rPr>
          <w:lang w:eastAsia="ja-JP"/>
        </w:rPr>
        <w:t>A national overview of the current state level datasets in ArcMap view is shown in Figure 1.</w:t>
      </w:r>
    </w:p>
    <w:p w:rsidR="00E05FC0" w:rsidRDefault="00E05FC0" w:rsidP="00E05FC0">
      <w:pPr>
        <w:pStyle w:val="TableHeading"/>
        <w:rPr>
          <w:lang w:eastAsia="ja-JP"/>
        </w:rPr>
      </w:pPr>
    </w:p>
    <w:p w:rsidR="00E05FC0" w:rsidRPr="00605492" w:rsidRDefault="00E05FC0" w:rsidP="00E05FC0">
      <w:pPr>
        <w:pStyle w:val="TableHeading"/>
        <w:rPr>
          <w:sz w:val="14"/>
          <w:lang w:eastAsia="ja-JP"/>
        </w:rPr>
      </w:pPr>
      <w:r w:rsidRPr="00605492">
        <w:rPr>
          <w:sz w:val="14"/>
          <w:lang w:eastAsia="ja-JP"/>
        </w:rPr>
        <w:t xml:space="preserve">Figure 1. </w:t>
      </w:r>
      <w:r w:rsidR="00AA7E36">
        <w:rPr>
          <w:sz w:val="14"/>
          <w:lang w:eastAsia="ja-JP"/>
        </w:rPr>
        <w:t>ArcMap</w:t>
      </w:r>
      <w:r w:rsidR="00605492" w:rsidRPr="00605492">
        <w:rPr>
          <w:sz w:val="14"/>
          <w:lang w:eastAsia="ja-JP"/>
        </w:rPr>
        <w:t xml:space="preserve"> </w:t>
      </w:r>
      <w:r w:rsidR="00AA7E36">
        <w:rPr>
          <w:sz w:val="14"/>
          <w:lang w:eastAsia="ja-JP"/>
        </w:rPr>
        <w:t>over</w:t>
      </w:r>
      <w:r w:rsidR="00605492" w:rsidRPr="00605492">
        <w:rPr>
          <w:sz w:val="14"/>
          <w:lang w:eastAsia="ja-JP"/>
        </w:rPr>
        <w:t xml:space="preserve">view of </w:t>
      </w:r>
      <w:r w:rsidR="00AA7E36">
        <w:rPr>
          <w:sz w:val="14"/>
          <w:lang w:eastAsia="ja-JP"/>
        </w:rPr>
        <w:t>state level road centreline datasets</w:t>
      </w:r>
    </w:p>
    <w:p w:rsidR="00B00312" w:rsidRDefault="00AA7E36" w:rsidP="00B00312">
      <w:pPr>
        <w:rPr>
          <w:b/>
          <w:u w:val="single"/>
        </w:rPr>
      </w:pPr>
      <w:r>
        <w:rPr>
          <w:noProof/>
          <w:lang w:eastAsia="en-AU"/>
        </w:rPr>
        <w:drawing>
          <wp:anchor distT="0" distB="0" distL="114300" distR="114300" simplePos="0" relativeHeight="251658240" behindDoc="0" locked="0" layoutInCell="1" allowOverlap="1">
            <wp:simplePos x="0" y="0"/>
            <wp:positionH relativeFrom="column">
              <wp:posOffset>0</wp:posOffset>
            </wp:positionH>
            <wp:positionV relativeFrom="paragraph">
              <wp:posOffset>36805</wp:posOffset>
            </wp:positionV>
            <wp:extent cx="5731510" cy="404558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045585"/>
                    </a:xfrm>
                    <a:prstGeom prst="rect">
                      <a:avLst/>
                    </a:prstGeom>
                  </pic:spPr>
                </pic:pic>
              </a:graphicData>
            </a:graphic>
            <wp14:sizeRelH relativeFrom="page">
              <wp14:pctWidth>0</wp14:pctWidth>
            </wp14:sizeRelH>
            <wp14:sizeRelV relativeFrom="page">
              <wp14:pctHeight>0</wp14:pctHeight>
            </wp14:sizeRelV>
          </wp:anchor>
        </w:drawing>
      </w:r>
    </w:p>
    <w:p w:rsidR="00EA2456" w:rsidRDefault="00EA2456" w:rsidP="003141ED">
      <w:pPr>
        <w:rPr>
          <w:b/>
          <w:u w:val="single"/>
          <w:lang w:eastAsia="ja-JP"/>
        </w:rPr>
      </w:pPr>
      <w:r>
        <w:rPr>
          <w:b/>
          <w:u w:val="single"/>
          <w:lang w:eastAsia="ja-JP"/>
        </w:rPr>
        <w:t>Limitations</w:t>
      </w:r>
    </w:p>
    <w:p w:rsidR="005329CB" w:rsidRPr="005329CB" w:rsidRDefault="00764B6C" w:rsidP="005329CB">
      <w:pPr>
        <w:pStyle w:val="ListParagraph"/>
        <w:numPr>
          <w:ilvl w:val="0"/>
          <w:numId w:val="27"/>
        </w:numPr>
        <w:rPr>
          <w:lang w:eastAsia="ja-JP"/>
        </w:rPr>
      </w:pPr>
      <w:r>
        <w:rPr>
          <w:lang w:eastAsia="ja-JP"/>
        </w:rPr>
        <w:t>None considered at this stage of the procurement</w:t>
      </w:r>
    </w:p>
    <w:p w:rsidR="003141ED" w:rsidRPr="003141ED" w:rsidRDefault="003141ED" w:rsidP="003141ED">
      <w:pPr>
        <w:rPr>
          <w:b/>
          <w:u w:val="single"/>
          <w:lang w:eastAsia="ja-JP"/>
        </w:rPr>
      </w:pPr>
      <w:r w:rsidRPr="003141ED">
        <w:rPr>
          <w:b/>
          <w:u w:val="single"/>
          <w:lang w:eastAsia="ja-JP"/>
        </w:rPr>
        <w:t>Quality Check</w:t>
      </w:r>
    </w:p>
    <w:p w:rsidR="009A7D81" w:rsidRDefault="00764B6C" w:rsidP="00764B6C">
      <w:pPr>
        <w:pStyle w:val="ListParagraph"/>
        <w:numPr>
          <w:ilvl w:val="0"/>
          <w:numId w:val="27"/>
        </w:numPr>
        <w:rPr>
          <w:lang w:eastAsia="ja-JP"/>
        </w:rPr>
      </w:pPr>
      <w:r>
        <w:rPr>
          <w:lang w:eastAsia="ja-JP"/>
        </w:rPr>
        <w:t>Nil conducted at this stage of the procurement</w:t>
      </w:r>
    </w:p>
    <w:p w:rsidR="00BD341A" w:rsidRPr="00822085" w:rsidRDefault="00BD341A" w:rsidP="00764B6C">
      <w:pPr>
        <w:pStyle w:val="ListParagraph"/>
        <w:numPr>
          <w:ilvl w:val="0"/>
          <w:numId w:val="27"/>
        </w:numPr>
        <w:rPr>
          <w:lang w:eastAsia="ja-JP"/>
        </w:rPr>
      </w:pPr>
      <w:r>
        <w:rPr>
          <w:lang w:eastAsia="ja-JP"/>
        </w:rPr>
        <w:t>Road contiguity along state borders will need to assessed and fixed if erroneous</w:t>
      </w:r>
      <w:r w:rsidR="009A480C">
        <w:rPr>
          <w:lang w:eastAsia="ja-JP"/>
        </w:rPr>
        <w:t>, for example the South Australia and Queensland borders</w:t>
      </w:r>
    </w:p>
    <w:p w:rsidR="00385F43" w:rsidRDefault="00385F43" w:rsidP="00385F43">
      <w:pPr>
        <w:pStyle w:val="TableHeading"/>
        <w:rPr>
          <w:sz w:val="14"/>
          <w:lang w:eastAsia="ja-JP"/>
        </w:rPr>
      </w:pPr>
    </w:p>
    <w:p w:rsidR="00385F43" w:rsidRDefault="00385F43" w:rsidP="00385F43">
      <w:pPr>
        <w:pStyle w:val="TableHeading"/>
        <w:rPr>
          <w:sz w:val="14"/>
          <w:lang w:eastAsia="ja-JP"/>
        </w:rPr>
      </w:pPr>
      <w:r w:rsidRPr="007F3ADE">
        <w:rPr>
          <w:sz w:val="14"/>
          <w:lang w:eastAsia="ja-JP"/>
        </w:rPr>
        <w:t xml:space="preserve">Table 1. </w:t>
      </w:r>
      <w:r>
        <w:rPr>
          <w:sz w:val="14"/>
          <w:lang w:eastAsia="ja-JP"/>
        </w:rPr>
        <w:t xml:space="preserve">Summary of </w:t>
      </w:r>
      <w:r w:rsidRPr="007F3ADE">
        <w:rPr>
          <w:sz w:val="14"/>
          <w:lang w:eastAsia="ja-JP"/>
        </w:rPr>
        <w:t>the datasets and their completion status to date</w:t>
      </w:r>
    </w:p>
    <w:tbl>
      <w:tblPr>
        <w:tblStyle w:val="TableGrid"/>
        <w:tblW w:w="0" w:type="auto"/>
        <w:tblLook w:val="04A0" w:firstRow="1" w:lastRow="0" w:firstColumn="1" w:lastColumn="0" w:noHBand="0" w:noVBand="1"/>
      </w:tblPr>
      <w:tblGrid>
        <w:gridCol w:w="1696"/>
        <w:gridCol w:w="1560"/>
        <w:gridCol w:w="1701"/>
        <w:gridCol w:w="2268"/>
        <w:gridCol w:w="1791"/>
      </w:tblGrid>
      <w:tr w:rsidR="002931E2" w:rsidTr="00E61927">
        <w:tc>
          <w:tcPr>
            <w:tcW w:w="1696" w:type="dxa"/>
            <w:shd w:val="clear" w:color="auto" w:fill="D9D9D9" w:themeFill="background1" w:themeFillShade="D9"/>
          </w:tcPr>
          <w:p w:rsidR="002931E2" w:rsidRDefault="002931E2" w:rsidP="00E61927">
            <w:pPr>
              <w:pStyle w:val="TableHeading"/>
              <w:rPr>
                <w:sz w:val="14"/>
                <w:lang w:eastAsia="ja-JP"/>
              </w:rPr>
            </w:pPr>
          </w:p>
        </w:tc>
        <w:tc>
          <w:tcPr>
            <w:tcW w:w="1560" w:type="dxa"/>
            <w:shd w:val="clear" w:color="auto" w:fill="D9D9D9" w:themeFill="background1" w:themeFillShade="D9"/>
          </w:tcPr>
          <w:p w:rsidR="002931E2" w:rsidRPr="00385F43" w:rsidRDefault="002931E2" w:rsidP="00E61927">
            <w:pPr>
              <w:rPr>
                <w:b/>
                <w:sz w:val="18"/>
              </w:rPr>
            </w:pPr>
            <w:r>
              <w:rPr>
                <w:b/>
                <w:sz w:val="18"/>
              </w:rPr>
              <w:t>Dataset procured</w:t>
            </w:r>
          </w:p>
        </w:tc>
        <w:tc>
          <w:tcPr>
            <w:tcW w:w="1701" w:type="dxa"/>
            <w:shd w:val="clear" w:color="auto" w:fill="D9D9D9" w:themeFill="background1" w:themeFillShade="D9"/>
          </w:tcPr>
          <w:p w:rsidR="002931E2" w:rsidRPr="00385F43" w:rsidRDefault="002931E2" w:rsidP="00E61927">
            <w:pPr>
              <w:rPr>
                <w:b/>
                <w:sz w:val="18"/>
              </w:rPr>
            </w:pPr>
            <w:r>
              <w:rPr>
                <w:b/>
                <w:sz w:val="18"/>
              </w:rPr>
              <w:t>Dataset reprojected to national grid</w:t>
            </w:r>
          </w:p>
        </w:tc>
        <w:tc>
          <w:tcPr>
            <w:tcW w:w="2268" w:type="dxa"/>
            <w:shd w:val="clear" w:color="auto" w:fill="D9D9D9" w:themeFill="background1" w:themeFillShade="D9"/>
          </w:tcPr>
          <w:p w:rsidR="002931E2" w:rsidRPr="00385F43" w:rsidRDefault="002931E2" w:rsidP="00E61927">
            <w:pPr>
              <w:rPr>
                <w:b/>
                <w:sz w:val="18"/>
              </w:rPr>
            </w:pPr>
            <w:r>
              <w:rPr>
                <w:b/>
                <w:sz w:val="18"/>
              </w:rPr>
              <w:t>Dataset Quality checked for contiguity at state borders</w:t>
            </w:r>
          </w:p>
        </w:tc>
        <w:tc>
          <w:tcPr>
            <w:tcW w:w="1791" w:type="dxa"/>
            <w:shd w:val="clear" w:color="auto" w:fill="D9D9D9" w:themeFill="background1" w:themeFillShade="D9"/>
          </w:tcPr>
          <w:p w:rsidR="002931E2" w:rsidRPr="00385F43" w:rsidRDefault="002931E2" w:rsidP="00E61927">
            <w:pPr>
              <w:rPr>
                <w:b/>
                <w:sz w:val="18"/>
              </w:rPr>
            </w:pPr>
            <w:r>
              <w:rPr>
                <w:b/>
                <w:sz w:val="18"/>
              </w:rPr>
              <w:t>Dataset Processing completed</w:t>
            </w:r>
          </w:p>
        </w:tc>
      </w:tr>
      <w:tr w:rsidR="002931E2" w:rsidTr="00E61927">
        <w:tc>
          <w:tcPr>
            <w:tcW w:w="1696" w:type="dxa"/>
            <w:shd w:val="clear" w:color="auto" w:fill="FFFF00"/>
          </w:tcPr>
          <w:p w:rsidR="002931E2" w:rsidRPr="00686ECC" w:rsidRDefault="002931E2" w:rsidP="002931E2">
            <w:pPr>
              <w:rPr>
                <w:b/>
                <w:sz w:val="18"/>
              </w:rPr>
            </w:pPr>
            <w:r>
              <w:rPr>
                <w:b/>
                <w:sz w:val="18"/>
              </w:rPr>
              <w:t>Australia</w:t>
            </w:r>
          </w:p>
        </w:tc>
        <w:tc>
          <w:tcPr>
            <w:tcW w:w="1560" w:type="dxa"/>
            <w:shd w:val="clear" w:color="auto" w:fill="FFFF00"/>
          </w:tcPr>
          <w:p w:rsidR="002931E2" w:rsidRPr="00686ECC" w:rsidRDefault="002931E2" w:rsidP="002931E2">
            <w:pPr>
              <w:jc w:val="center"/>
              <w:rPr>
                <w:b/>
                <w:sz w:val="18"/>
              </w:rPr>
            </w:pPr>
            <w:r>
              <w:rPr>
                <w:b/>
                <w:sz w:val="18"/>
              </w:rPr>
              <w:t>No</w:t>
            </w:r>
          </w:p>
        </w:tc>
        <w:tc>
          <w:tcPr>
            <w:tcW w:w="1701" w:type="dxa"/>
            <w:shd w:val="clear" w:color="auto" w:fill="FFFF00"/>
          </w:tcPr>
          <w:p w:rsidR="002931E2" w:rsidRPr="00686ECC" w:rsidRDefault="002931E2" w:rsidP="002931E2">
            <w:pPr>
              <w:jc w:val="center"/>
              <w:rPr>
                <w:b/>
                <w:sz w:val="18"/>
              </w:rPr>
            </w:pPr>
            <w:r>
              <w:rPr>
                <w:b/>
                <w:sz w:val="18"/>
              </w:rPr>
              <w:t>No</w:t>
            </w:r>
          </w:p>
        </w:tc>
        <w:tc>
          <w:tcPr>
            <w:tcW w:w="2268" w:type="dxa"/>
            <w:shd w:val="clear" w:color="auto" w:fill="FFFF00"/>
          </w:tcPr>
          <w:p w:rsidR="002931E2" w:rsidRPr="00686ECC" w:rsidRDefault="002931E2" w:rsidP="002931E2">
            <w:pPr>
              <w:jc w:val="center"/>
              <w:rPr>
                <w:b/>
                <w:sz w:val="18"/>
              </w:rPr>
            </w:pPr>
            <w:r>
              <w:rPr>
                <w:b/>
                <w:sz w:val="18"/>
              </w:rPr>
              <w:t>No</w:t>
            </w:r>
          </w:p>
        </w:tc>
        <w:tc>
          <w:tcPr>
            <w:tcW w:w="1791" w:type="dxa"/>
            <w:shd w:val="clear" w:color="auto" w:fill="FFFF00"/>
          </w:tcPr>
          <w:p w:rsidR="002931E2" w:rsidRPr="00686ECC" w:rsidRDefault="002931E2" w:rsidP="002931E2">
            <w:pPr>
              <w:jc w:val="center"/>
              <w:rPr>
                <w:b/>
                <w:sz w:val="18"/>
              </w:rPr>
            </w:pPr>
            <w:r>
              <w:rPr>
                <w:b/>
                <w:sz w:val="18"/>
              </w:rPr>
              <w:t>No</w:t>
            </w:r>
          </w:p>
        </w:tc>
      </w:tr>
      <w:tr w:rsidR="002931E2" w:rsidTr="00E61927">
        <w:tc>
          <w:tcPr>
            <w:tcW w:w="1696" w:type="dxa"/>
          </w:tcPr>
          <w:p w:rsidR="002931E2" w:rsidRPr="00385F43" w:rsidRDefault="002931E2" w:rsidP="002931E2">
            <w:pPr>
              <w:rPr>
                <w:sz w:val="18"/>
              </w:rPr>
            </w:pPr>
            <w:r>
              <w:rPr>
                <w:sz w:val="18"/>
              </w:rPr>
              <w:t>Queensland</w:t>
            </w:r>
          </w:p>
        </w:tc>
        <w:tc>
          <w:tcPr>
            <w:tcW w:w="1560" w:type="dxa"/>
          </w:tcPr>
          <w:p w:rsidR="002931E2" w:rsidRPr="00385F43" w:rsidRDefault="002931E2" w:rsidP="002931E2">
            <w:pPr>
              <w:jc w:val="center"/>
              <w:rPr>
                <w:sz w:val="18"/>
              </w:rPr>
            </w:pPr>
            <w:r>
              <w:rPr>
                <w:sz w:val="18"/>
              </w:rPr>
              <w:t>Yes</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r w:rsidR="002931E2" w:rsidTr="00E61927">
        <w:tc>
          <w:tcPr>
            <w:tcW w:w="1696" w:type="dxa"/>
          </w:tcPr>
          <w:p w:rsidR="002931E2" w:rsidRPr="00385F43" w:rsidRDefault="002931E2" w:rsidP="002931E2">
            <w:pPr>
              <w:rPr>
                <w:sz w:val="18"/>
              </w:rPr>
            </w:pPr>
            <w:r>
              <w:rPr>
                <w:sz w:val="18"/>
              </w:rPr>
              <w:t>Victoria</w:t>
            </w:r>
          </w:p>
        </w:tc>
        <w:tc>
          <w:tcPr>
            <w:tcW w:w="1560" w:type="dxa"/>
          </w:tcPr>
          <w:p w:rsidR="002931E2" w:rsidRDefault="002931E2" w:rsidP="002931E2">
            <w:pPr>
              <w:jc w:val="center"/>
            </w:pPr>
            <w:r w:rsidRPr="000C1A7E">
              <w:rPr>
                <w:sz w:val="18"/>
              </w:rPr>
              <w:t>Yes</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r w:rsidR="002931E2" w:rsidTr="00E61927">
        <w:tc>
          <w:tcPr>
            <w:tcW w:w="1696" w:type="dxa"/>
          </w:tcPr>
          <w:p w:rsidR="002931E2" w:rsidRPr="00385F43" w:rsidRDefault="002931E2" w:rsidP="002931E2">
            <w:pPr>
              <w:rPr>
                <w:sz w:val="18"/>
              </w:rPr>
            </w:pPr>
            <w:r>
              <w:rPr>
                <w:sz w:val="18"/>
              </w:rPr>
              <w:t>New South Wales</w:t>
            </w:r>
          </w:p>
        </w:tc>
        <w:tc>
          <w:tcPr>
            <w:tcW w:w="1560" w:type="dxa"/>
          </w:tcPr>
          <w:p w:rsidR="002931E2" w:rsidRDefault="002931E2" w:rsidP="002931E2">
            <w:pPr>
              <w:jc w:val="center"/>
            </w:pPr>
            <w:r w:rsidRPr="000C1A7E">
              <w:rPr>
                <w:sz w:val="18"/>
              </w:rPr>
              <w:t>Yes</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r w:rsidR="002931E2" w:rsidTr="00E61927">
        <w:tc>
          <w:tcPr>
            <w:tcW w:w="1696" w:type="dxa"/>
          </w:tcPr>
          <w:p w:rsidR="002931E2" w:rsidRPr="00385F43" w:rsidRDefault="002931E2" w:rsidP="002931E2">
            <w:pPr>
              <w:rPr>
                <w:sz w:val="18"/>
              </w:rPr>
            </w:pPr>
            <w:r>
              <w:rPr>
                <w:sz w:val="18"/>
              </w:rPr>
              <w:t>South Australia</w:t>
            </w:r>
          </w:p>
        </w:tc>
        <w:tc>
          <w:tcPr>
            <w:tcW w:w="1560" w:type="dxa"/>
          </w:tcPr>
          <w:p w:rsidR="002931E2" w:rsidRDefault="002931E2" w:rsidP="002931E2">
            <w:pPr>
              <w:jc w:val="center"/>
            </w:pPr>
            <w:r w:rsidRPr="000C1A7E">
              <w:rPr>
                <w:sz w:val="18"/>
              </w:rPr>
              <w:t>Yes</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r w:rsidR="002931E2" w:rsidTr="00E61927">
        <w:tc>
          <w:tcPr>
            <w:tcW w:w="1696" w:type="dxa"/>
          </w:tcPr>
          <w:p w:rsidR="002931E2" w:rsidRPr="00385F43" w:rsidRDefault="002931E2" w:rsidP="002931E2">
            <w:pPr>
              <w:rPr>
                <w:sz w:val="18"/>
              </w:rPr>
            </w:pPr>
            <w:r>
              <w:rPr>
                <w:sz w:val="18"/>
              </w:rPr>
              <w:t>Western Australia</w:t>
            </w:r>
          </w:p>
        </w:tc>
        <w:tc>
          <w:tcPr>
            <w:tcW w:w="1560" w:type="dxa"/>
          </w:tcPr>
          <w:p w:rsidR="002931E2" w:rsidRDefault="002931E2" w:rsidP="002931E2">
            <w:pPr>
              <w:jc w:val="center"/>
            </w:pPr>
            <w:r w:rsidRPr="000C1A7E">
              <w:rPr>
                <w:sz w:val="18"/>
              </w:rPr>
              <w:t>Yes</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r w:rsidR="002931E2" w:rsidTr="00E61927">
        <w:tc>
          <w:tcPr>
            <w:tcW w:w="1696" w:type="dxa"/>
          </w:tcPr>
          <w:p w:rsidR="002931E2" w:rsidRPr="00385F43" w:rsidRDefault="002931E2" w:rsidP="002931E2">
            <w:pPr>
              <w:rPr>
                <w:sz w:val="18"/>
              </w:rPr>
            </w:pPr>
            <w:r>
              <w:rPr>
                <w:sz w:val="18"/>
              </w:rPr>
              <w:t>Tasmania</w:t>
            </w:r>
          </w:p>
        </w:tc>
        <w:tc>
          <w:tcPr>
            <w:tcW w:w="1560" w:type="dxa"/>
          </w:tcPr>
          <w:p w:rsidR="002931E2" w:rsidRDefault="002931E2" w:rsidP="002931E2">
            <w:pPr>
              <w:jc w:val="center"/>
            </w:pPr>
            <w:r w:rsidRPr="000C1A7E">
              <w:rPr>
                <w:sz w:val="18"/>
              </w:rPr>
              <w:t>Yes</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r w:rsidR="002931E2" w:rsidTr="00E61927">
        <w:tc>
          <w:tcPr>
            <w:tcW w:w="1696" w:type="dxa"/>
          </w:tcPr>
          <w:p w:rsidR="002931E2" w:rsidRPr="00385F43" w:rsidRDefault="002931E2" w:rsidP="002931E2">
            <w:pPr>
              <w:rPr>
                <w:sz w:val="18"/>
              </w:rPr>
            </w:pPr>
            <w:r>
              <w:rPr>
                <w:sz w:val="18"/>
              </w:rPr>
              <w:t>Northern territory</w:t>
            </w:r>
          </w:p>
        </w:tc>
        <w:tc>
          <w:tcPr>
            <w:tcW w:w="1560" w:type="dxa"/>
          </w:tcPr>
          <w:p w:rsidR="002931E2" w:rsidRDefault="002931E2" w:rsidP="002931E2">
            <w:pPr>
              <w:jc w:val="center"/>
            </w:pPr>
            <w:r>
              <w:rPr>
                <w:sz w:val="18"/>
              </w:rPr>
              <w:t>No</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r w:rsidR="002931E2" w:rsidTr="00E61927">
        <w:tc>
          <w:tcPr>
            <w:tcW w:w="1696" w:type="dxa"/>
          </w:tcPr>
          <w:p w:rsidR="002931E2" w:rsidRPr="00385F43" w:rsidRDefault="002931E2" w:rsidP="002931E2">
            <w:pPr>
              <w:rPr>
                <w:sz w:val="18"/>
              </w:rPr>
            </w:pPr>
            <w:r>
              <w:rPr>
                <w:sz w:val="18"/>
              </w:rPr>
              <w:t>Australian Capital Territory</w:t>
            </w:r>
          </w:p>
        </w:tc>
        <w:tc>
          <w:tcPr>
            <w:tcW w:w="1560" w:type="dxa"/>
          </w:tcPr>
          <w:p w:rsidR="002931E2" w:rsidRDefault="002931E2" w:rsidP="002931E2">
            <w:pPr>
              <w:jc w:val="center"/>
            </w:pPr>
            <w:r w:rsidRPr="000C1A7E">
              <w:rPr>
                <w:sz w:val="18"/>
              </w:rPr>
              <w:t>Yes</w:t>
            </w:r>
          </w:p>
        </w:tc>
        <w:tc>
          <w:tcPr>
            <w:tcW w:w="1701" w:type="dxa"/>
          </w:tcPr>
          <w:p w:rsidR="002931E2" w:rsidRDefault="002931E2" w:rsidP="002931E2">
            <w:pPr>
              <w:jc w:val="center"/>
            </w:pPr>
            <w:r w:rsidRPr="004D0CE5">
              <w:rPr>
                <w:sz w:val="18"/>
              </w:rPr>
              <w:t>No</w:t>
            </w:r>
          </w:p>
        </w:tc>
        <w:tc>
          <w:tcPr>
            <w:tcW w:w="2268" w:type="dxa"/>
          </w:tcPr>
          <w:p w:rsidR="002931E2" w:rsidRDefault="002931E2" w:rsidP="002931E2">
            <w:pPr>
              <w:jc w:val="center"/>
            </w:pPr>
            <w:r w:rsidRPr="004D0CE5">
              <w:rPr>
                <w:sz w:val="18"/>
              </w:rPr>
              <w:t>No</w:t>
            </w:r>
          </w:p>
        </w:tc>
        <w:tc>
          <w:tcPr>
            <w:tcW w:w="1791" w:type="dxa"/>
          </w:tcPr>
          <w:p w:rsidR="002931E2" w:rsidRDefault="002931E2" w:rsidP="002931E2">
            <w:pPr>
              <w:jc w:val="center"/>
            </w:pPr>
            <w:r w:rsidRPr="004D0CE5">
              <w:rPr>
                <w:sz w:val="18"/>
              </w:rPr>
              <w:t>No</w:t>
            </w:r>
          </w:p>
        </w:tc>
      </w:tr>
    </w:tbl>
    <w:p w:rsidR="00385F43" w:rsidRPr="00B2733E" w:rsidRDefault="0023471D" w:rsidP="00385F43">
      <w:pPr>
        <w:pStyle w:val="TableHeading"/>
        <w:rPr>
          <w:sz w:val="22"/>
          <w:u w:val="single"/>
          <w:lang w:eastAsia="ja-JP"/>
        </w:rPr>
      </w:pPr>
      <w:r w:rsidRPr="00B2733E">
        <w:rPr>
          <w:sz w:val="22"/>
          <w:u w:val="single"/>
          <w:lang w:eastAsia="ja-JP"/>
        </w:rPr>
        <w:lastRenderedPageBreak/>
        <w:t>Discussion and Future Work</w:t>
      </w:r>
    </w:p>
    <w:p w:rsidR="00DD26D5" w:rsidRDefault="00BD341A" w:rsidP="00E15A82">
      <w:r>
        <w:t>Once the Northern Territory dataset is received the individual datasets will need to be projected to a uniform national grid and datum.</w:t>
      </w:r>
    </w:p>
    <w:p w:rsidR="00BD341A" w:rsidRDefault="00BD341A" w:rsidP="00E15A82">
      <w:r>
        <w:t>This will be followed up by a quality check of the road line contiguity along state borders and harmonisation of the attribute data fields to ensure naming conventions and descriptions are consistent.</w:t>
      </w:r>
    </w:p>
    <w:p w:rsidR="00BD341A" w:rsidRDefault="00BD341A" w:rsidP="00E15A82">
      <w:r>
        <w:t>There also appears to be some overlap across some states for the same road, for example along the Victoria and New South Wales borders. This will required further investigation.</w:t>
      </w:r>
    </w:p>
    <w:p w:rsidR="00BD341A" w:rsidRDefault="00BD341A" w:rsidP="00E15A82">
      <w:r>
        <w:t>Finally the datasets will then need to be merged into a national layer.</w:t>
      </w:r>
    </w:p>
    <w:p w:rsidR="00BD341A" w:rsidRPr="009A7D81" w:rsidRDefault="00BD341A" w:rsidP="00E15A82">
      <w:pPr>
        <w:rPr>
          <w:u w:val="single"/>
          <w:lang w:eastAsia="ja-JP"/>
        </w:rPr>
      </w:pPr>
    </w:p>
    <w:p w:rsidR="007415B6" w:rsidRPr="007415B6" w:rsidRDefault="007415B6" w:rsidP="0081118D">
      <w:pPr>
        <w:pStyle w:val="TableHeading"/>
        <w:rPr>
          <w:sz w:val="22"/>
          <w:u w:val="single"/>
          <w:lang w:eastAsia="ja-JP"/>
        </w:rPr>
      </w:pPr>
      <w:r w:rsidRPr="007415B6">
        <w:rPr>
          <w:sz w:val="22"/>
          <w:u w:val="single"/>
          <w:lang w:eastAsia="ja-JP"/>
        </w:rPr>
        <w:t>Project Resources Estimates</w:t>
      </w:r>
      <w:r w:rsidR="00A95C06">
        <w:rPr>
          <w:sz w:val="22"/>
          <w:u w:val="single"/>
          <w:lang w:eastAsia="ja-JP"/>
        </w:rPr>
        <w:t xml:space="preserve"> and Uses</w:t>
      </w:r>
    </w:p>
    <w:p w:rsidR="00A53BF4" w:rsidRDefault="00A53BF4" w:rsidP="0081118D">
      <w:pPr>
        <w:pStyle w:val="TableHeading"/>
        <w:rPr>
          <w:b w:val="0"/>
          <w:sz w:val="22"/>
          <w:lang w:eastAsia="ja-JP"/>
        </w:rPr>
      </w:pPr>
      <w:r>
        <w:rPr>
          <w:b w:val="0"/>
          <w:sz w:val="22"/>
          <w:lang w:eastAsia="ja-JP"/>
        </w:rPr>
        <w:t>An estimate of the timeframe</w:t>
      </w:r>
      <w:r w:rsidR="007415B6">
        <w:rPr>
          <w:b w:val="0"/>
          <w:sz w:val="22"/>
          <w:lang w:eastAsia="ja-JP"/>
        </w:rPr>
        <w:t>s and data procurement requirements</w:t>
      </w:r>
      <w:r>
        <w:rPr>
          <w:b w:val="0"/>
          <w:sz w:val="22"/>
          <w:lang w:eastAsia="ja-JP"/>
        </w:rPr>
        <w:t xml:space="preserve"> required to </w:t>
      </w:r>
      <w:r w:rsidR="009A7D81">
        <w:rPr>
          <w:b w:val="0"/>
          <w:sz w:val="22"/>
          <w:lang w:eastAsia="ja-JP"/>
        </w:rPr>
        <w:t>complete this dataset</w:t>
      </w:r>
      <w:r>
        <w:rPr>
          <w:b w:val="0"/>
          <w:sz w:val="22"/>
          <w:lang w:eastAsia="ja-JP"/>
        </w:rPr>
        <w:t xml:space="preserve"> </w:t>
      </w:r>
      <w:r w:rsidR="009A7D81">
        <w:rPr>
          <w:b w:val="0"/>
          <w:sz w:val="22"/>
          <w:lang w:eastAsia="ja-JP"/>
        </w:rPr>
        <w:t>is</w:t>
      </w:r>
      <w:r w:rsidR="007415B6">
        <w:rPr>
          <w:b w:val="0"/>
          <w:sz w:val="22"/>
          <w:lang w:eastAsia="ja-JP"/>
        </w:rPr>
        <w:t xml:space="preserve"> summarised in Table 2.</w:t>
      </w:r>
    </w:p>
    <w:p w:rsidR="007415B6" w:rsidRDefault="007415B6" w:rsidP="0081118D">
      <w:pPr>
        <w:pStyle w:val="TableHeading"/>
        <w:rPr>
          <w:b w:val="0"/>
          <w:sz w:val="22"/>
          <w:lang w:eastAsia="ja-JP"/>
        </w:rPr>
      </w:pPr>
      <w:r>
        <w:rPr>
          <w:b w:val="0"/>
          <w:sz w:val="22"/>
          <w:lang w:eastAsia="ja-JP"/>
        </w:rPr>
        <w:t xml:space="preserve">The end result will be a dataset </w:t>
      </w:r>
      <w:r w:rsidR="00AA5163">
        <w:rPr>
          <w:b w:val="0"/>
          <w:sz w:val="22"/>
          <w:lang w:eastAsia="ja-JP"/>
        </w:rPr>
        <w:t xml:space="preserve">product </w:t>
      </w:r>
      <w:r>
        <w:rPr>
          <w:b w:val="0"/>
          <w:sz w:val="22"/>
          <w:lang w:eastAsia="ja-JP"/>
        </w:rPr>
        <w:t xml:space="preserve">which is </w:t>
      </w:r>
      <w:r w:rsidR="00AA5163">
        <w:rPr>
          <w:b w:val="0"/>
          <w:sz w:val="22"/>
          <w:lang w:eastAsia="ja-JP"/>
        </w:rPr>
        <w:t xml:space="preserve">of </w:t>
      </w:r>
      <w:r w:rsidR="00BD341A">
        <w:rPr>
          <w:b w:val="0"/>
          <w:sz w:val="22"/>
          <w:lang w:eastAsia="ja-JP"/>
        </w:rPr>
        <w:t>an</w:t>
      </w:r>
      <w:r w:rsidR="00AA5163">
        <w:rPr>
          <w:b w:val="0"/>
          <w:sz w:val="22"/>
          <w:lang w:eastAsia="ja-JP"/>
        </w:rPr>
        <w:t xml:space="preserve"> Authoritative quality</w:t>
      </w:r>
      <w:r>
        <w:rPr>
          <w:b w:val="0"/>
          <w:sz w:val="22"/>
          <w:lang w:eastAsia="ja-JP"/>
        </w:rPr>
        <w:t xml:space="preserve"> and can be referenced as a point of truth data source for input into projects such as surveillance strategy and design. </w:t>
      </w:r>
    </w:p>
    <w:p w:rsidR="007415B6" w:rsidRDefault="007415B6" w:rsidP="0081118D">
      <w:pPr>
        <w:pStyle w:val="TableHeading"/>
        <w:rPr>
          <w:b w:val="0"/>
          <w:sz w:val="22"/>
          <w:lang w:eastAsia="ja-JP"/>
        </w:rPr>
      </w:pPr>
      <w:r>
        <w:rPr>
          <w:b w:val="0"/>
          <w:sz w:val="22"/>
          <w:lang w:eastAsia="ja-JP"/>
        </w:rPr>
        <w:t xml:space="preserve">This dataset </w:t>
      </w:r>
      <w:r w:rsidR="006A29BB">
        <w:rPr>
          <w:b w:val="0"/>
          <w:sz w:val="22"/>
          <w:lang w:eastAsia="ja-JP"/>
        </w:rPr>
        <w:t>will</w:t>
      </w:r>
      <w:r>
        <w:rPr>
          <w:b w:val="0"/>
          <w:sz w:val="22"/>
          <w:lang w:eastAsia="ja-JP"/>
        </w:rPr>
        <w:t xml:space="preserve"> provide accurate and useful information such as:</w:t>
      </w:r>
    </w:p>
    <w:p w:rsidR="007415B6" w:rsidRDefault="00BD341A" w:rsidP="007415B6">
      <w:pPr>
        <w:pStyle w:val="TableHeading"/>
        <w:numPr>
          <w:ilvl w:val="0"/>
          <w:numId w:val="23"/>
        </w:numPr>
        <w:rPr>
          <w:b w:val="0"/>
          <w:sz w:val="22"/>
          <w:lang w:eastAsia="ja-JP"/>
        </w:rPr>
      </w:pPr>
      <w:r>
        <w:rPr>
          <w:b w:val="0"/>
          <w:sz w:val="22"/>
          <w:lang w:eastAsia="ja-JP"/>
        </w:rPr>
        <w:t>Road Type</w:t>
      </w:r>
    </w:p>
    <w:p w:rsidR="00AA5163" w:rsidRDefault="00AA5163" w:rsidP="007415B6">
      <w:pPr>
        <w:pStyle w:val="TableHeading"/>
        <w:numPr>
          <w:ilvl w:val="0"/>
          <w:numId w:val="23"/>
        </w:numPr>
        <w:rPr>
          <w:b w:val="0"/>
          <w:sz w:val="22"/>
          <w:lang w:eastAsia="ja-JP"/>
        </w:rPr>
      </w:pPr>
      <w:r>
        <w:rPr>
          <w:b w:val="0"/>
          <w:sz w:val="22"/>
          <w:lang w:eastAsia="ja-JP"/>
        </w:rPr>
        <w:t>Ownership and Contact information</w:t>
      </w:r>
    </w:p>
    <w:p w:rsidR="007415B6" w:rsidRDefault="00BD341A" w:rsidP="007415B6">
      <w:pPr>
        <w:pStyle w:val="TableHeading"/>
        <w:numPr>
          <w:ilvl w:val="0"/>
          <w:numId w:val="23"/>
        </w:numPr>
        <w:rPr>
          <w:b w:val="0"/>
          <w:sz w:val="22"/>
          <w:lang w:eastAsia="ja-JP"/>
        </w:rPr>
      </w:pPr>
      <w:r>
        <w:rPr>
          <w:b w:val="0"/>
          <w:sz w:val="22"/>
          <w:lang w:eastAsia="ja-JP"/>
        </w:rPr>
        <w:t>Length in kilometres</w:t>
      </w:r>
    </w:p>
    <w:p w:rsidR="009A7D81" w:rsidRDefault="00BD341A" w:rsidP="007415B6">
      <w:pPr>
        <w:pStyle w:val="TableHeading"/>
        <w:numPr>
          <w:ilvl w:val="0"/>
          <w:numId w:val="23"/>
        </w:numPr>
        <w:rPr>
          <w:b w:val="0"/>
          <w:sz w:val="22"/>
          <w:lang w:eastAsia="ja-JP"/>
        </w:rPr>
      </w:pPr>
      <w:r>
        <w:rPr>
          <w:b w:val="0"/>
          <w:sz w:val="22"/>
          <w:lang w:eastAsia="ja-JP"/>
        </w:rPr>
        <w:t>Proximity to features in other transport hub datasets such as freight facilities and c</w:t>
      </w:r>
      <w:r w:rsidR="009A7D81">
        <w:rPr>
          <w:b w:val="0"/>
          <w:sz w:val="22"/>
          <w:lang w:eastAsia="ja-JP"/>
        </w:rPr>
        <w:t xml:space="preserve">ontainer, </w:t>
      </w:r>
      <w:r>
        <w:rPr>
          <w:b w:val="0"/>
          <w:sz w:val="22"/>
          <w:lang w:eastAsia="ja-JP"/>
        </w:rPr>
        <w:t>c</w:t>
      </w:r>
      <w:r w:rsidR="009A7D81">
        <w:rPr>
          <w:b w:val="0"/>
          <w:sz w:val="22"/>
          <w:lang w:eastAsia="ja-JP"/>
        </w:rPr>
        <w:t xml:space="preserve">ar and </w:t>
      </w:r>
      <w:r>
        <w:rPr>
          <w:b w:val="0"/>
          <w:sz w:val="22"/>
          <w:lang w:eastAsia="ja-JP"/>
        </w:rPr>
        <w:t>p</w:t>
      </w:r>
      <w:r w:rsidR="009A7D81">
        <w:rPr>
          <w:b w:val="0"/>
          <w:sz w:val="22"/>
          <w:lang w:eastAsia="ja-JP"/>
        </w:rPr>
        <w:t>a</w:t>
      </w:r>
      <w:r>
        <w:rPr>
          <w:b w:val="0"/>
          <w:sz w:val="22"/>
          <w:lang w:eastAsia="ja-JP"/>
        </w:rPr>
        <w:t>llet storage yards.</w:t>
      </w:r>
    </w:p>
    <w:p w:rsidR="006A29BB" w:rsidRDefault="006A29BB" w:rsidP="007415B6">
      <w:pPr>
        <w:pStyle w:val="TableHeading"/>
        <w:rPr>
          <w:b w:val="0"/>
          <w:sz w:val="22"/>
          <w:lang w:eastAsia="ja-JP"/>
        </w:rPr>
      </w:pPr>
    </w:p>
    <w:p w:rsidR="007415B6" w:rsidRDefault="007415B6" w:rsidP="007415B6">
      <w:pPr>
        <w:pStyle w:val="TableHeading"/>
        <w:rPr>
          <w:b w:val="0"/>
          <w:sz w:val="22"/>
          <w:lang w:eastAsia="ja-JP"/>
        </w:rPr>
      </w:pPr>
      <w:r>
        <w:rPr>
          <w:b w:val="0"/>
          <w:sz w:val="22"/>
          <w:lang w:eastAsia="ja-JP"/>
        </w:rPr>
        <w:t>And will assist in:</w:t>
      </w:r>
    </w:p>
    <w:p w:rsidR="007415B6" w:rsidRDefault="00543253" w:rsidP="007415B6">
      <w:pPr>
        <w:pStyle w:val="TableHeading"/>
        <w:numPr>
          <w:ilvl w:val="0"/>
          <w:numId w:val="23"/>
        </w:numPr>
        <w:rPr>
          <w:b w:val="0"/>
          <w:sz w:val="22"/>
          <w:lang w:eastAsia="ja-JP"/>
        </w:rPr>
      </w:pPr>
      <w:r>
        <w:rPr>
          <w:b w:val="0"/>
          <w:sz w:val="22"/>
          <w:lang w:eastAsia="ja-JP"/>
        </w:rPr>
        <w:t>Mapping requirements f</w:t>
      </w:r>
      <w:r w:rsidR="007415B6">
        <w:rPr>
          <w:b w:val="0"/>
          <w:sz w:val="22"/>
          <w:lang w:eastAsia="ja-JP"/>
        </w:rPr>
        <w:t xml:space="preserve">or </w:t>
      </w:r>
      <w:r>
        <w:rPr>
          <w:b w:val="0"/>
          <w:sz w:val="22"/>
          <w:lang w:eastAsia="ja-JP"/>
        </w:rPr>
        <w:t xml:space="preserve">national/state </w:t>
      </w:r>
      <w:r w:rsidR="007415B6">
        <w:rPr>
          <w:b w:val="0"/>
          <w:sz w:val="22"/>
          <w:lang w:eastAsia="ja-JP"/>
        </w:rPr>
        <w:t xml:space="preserve">emergency response programs </w:t>
      </w:r>
      <w:r>
        <w:rPr>
          <w:b w:val="0"/>
          <w:sz w:val="22"/>
          <w:lang w:eastAsia="ja-JP"/>
        </w:rPr>
        <w:t xml:space="preserve">that are </w:t>
      </w:r>
      <w:r w:rsidR="007415B6">
        <w:rPr>
          <w:b w:val="0"/>
          <w:sz w:val="22"/>
          <w:lang w:eastAsia="ja-JP"/>
        </w:rPr>
        <w:t xml:space="preserve">deployed when </w:t>
      </w:r>
      <w:r w:rsidR="00AA5163">
        <w:rPr>
          <w:b w:val="0"/>
          <w:sz w:val="22"/>
          <w:lang w:eastAsia="ja-JP"/>
        </w:rPr>
        <w:t>pest incursions occur</w:t>
      </w:r>
    </w:p>
    <w:p w:rsidR="00AA5163" w:rsidRDefault="00AA5163" w:rsidP="007415B6">
      <w:pPr>
        <w:pStyle w:val="TableHeading"/>
        <w:numPr>
          <w:ilvl w:val="0"/>
          <w:numId w:val="23"/>
        </w:numPr>
        <w:rPr>
          <w:b w:val="0"/>
          <w:sz w:val="22"/>
          <w:lang w:eastAsia="ja-JP"/>
        </w:rPr>
      </w:pPr>
      <w:r>
        <w:rPr>
          <w:b w:val="0"/>
          <w:sz w:val="22"/>
          <w:lang w:eastAsia="ja-JP"/>
        </w:rPr>
        <w:t xml:space="preserve">Providing a feed-in data layer alongside the </w:t>
      </w:r>
      <w:r w:rsidR="00BD341A">
        <w:rPr>
          <w:b w:val="0"/>
          <w:sz w:val="22"/>
          <w:lang w:eastAsia="ja-JP"/>
        </w:rPr>
        <w:t>other transport hub datasets</w:t>
      </w:r>
      <w:r>
        <w:rPr>
          <w:b w:val="0"/>
          <w:sz w:val="22"/>
          <w:lang w:eastAsia="ja-JP"/>
        </w:rPr>
        <w:t xml:space="preserve"> for determining distribution pathways and the risk levels of these pathways</w:t>
      </w:r>
    </w:p>
    <w:p w:rsidR="007415B6" w:rsidRPr="00A53BF4" w:rsidRDefault="007415B6" w:rsidP="0081118D">
      <w:pPr>
        <w:pStyle w:val="TableHeading"/>
        <w:rPr>
          <w:b w:val="0"/>
          <w:sz w:val="22"/>
          <w:lang w:eastAsia="ja-JP"/>
        </w:rPr>
      </w:pPr>
    </w:p>
    <w:p w:rsidR="0081118D" w:rsidRDefault="0081118D" w:rsidP="0081118D">
      <w:pPr>
        <w:pStyle w:val="TableHeading"/>
        <w:rPr>
          <w:sz w:val="14"/>
          <w:lang w:eastAsia="ja-JP"/>
        </w:rPr>
      </w:pPr>
      <w:r>
        <w:rPr>
          <w:sz w:val="14"/>
          <w:lang w:eastAsia="ja-JP"/>
        </w:rPr>
        <w:t xml:space="preserve">Table 2. </w:t>
      </w:r>
      <w:r w:rsidR="006E2048">
        <w:rPr>
          <w:sz w:val="14"/>
          <w:lang w:eastAsia="ja-JP"/>
        </w:rPr>
        <w:t>Comparison of process methods and output dataset quality expectations</w:t>
      </w:r>
    </w:p>
    <w:tbl>
      <w:tblPr>
        <w:tblStyle w:val="TableGrid"/>
        <w:tblW w:w="0" w:type="auto"/>
        <w:tblLook w:val="04A0" w:firstRow="1" w:lastRow="0" w:firstColumn="1" w:lastColumn="0" w:noHBand="0" w:noVBand="1"/>
      </w:tblPr>
      <w:tblGrid>
        <w:gridCol w:w="876"/>
        <w:gridCol w:w="1695"/>
        <w:gridCol w:w="2112"/>
        <w:gridCol w:w="2124"/>
        <w:gridCol w:w="2209"/>
      </w:tblGrid>
      <w:tr w:rsidR="0081118D" w:rsidTr="006E2048">
        <w:tc>
          <w:tcPr>
            <w:tcW w:w="858" w:type="dxa"/>
            <w:shd w:val="clear" w:color="auto" w:fill="D9D9D9" w:themeFill="background1" w:themeFillShade="D9"/>
          </w:tcPr>
          <w:p w:rsidR="0081118D" w:rsidRPr="006E2048" w:rsidRDefault="0081118D" w:rsidP="006E2048">
            <w:pPr>
              <w:jc w:val="center"/>
              <w:rPr>
                <w:b/>
                <w:sz w:val="18"/>
                <w:lang w:eastAsia="ja-JP"/>
              </w:rPr>
            </w:pPr>
            <w:r w:rsidRPr="006E2048">
              <w:rPr>
                <w:b/>
                <w:sz w:val="18"/>
                <w:lang w:eastAsia="ja-JP"/>
              </w:rPr>
              <w:t>Process</w:t>
            </w:r>
          </w:p>
        </w:tc>
        <w:tc>
          <w:tcPr>
            <w:tcW w:w="1698" w:type="dxa"/>
            <w:shd w:val="clear" w:color="auto" w:fill="D9D9D9" w:themeFill="background1" w:themeFillShade="D9"/>
          </w:tcPr>
          <w:p w:rsidR="0081118D" w:rsidRPr="006E2048" w:rsidRDefault="0081118D" w:rsidP="006E2048">
            <w:pPr>
              <w:jc w:val="center"/>
              <w:rPr>
                <w:b/>
                <w:sz w:val="18"/>
                <w:lang w:eastAsia="ja-JP"/>
              </w:rPr>
            </w:pPr>
            <w:r w:rsidRPr="006E2048">
              <w:rPr>
                <w:b/>
                <w:sz w:val="18"/>
                <w:lang w:eastAsia="ja-JP"/>
              </w:rPr>
              <w:t>Requires Industry Assistance</w:t>
            </w:r>
          </w:p>
        </w:tc>
        <w:tc>
          <w:tcPr>
            <w:tcW w:w="2117" w:type="dxa"/>
            <w:shd w:val="clear" w:color="auto" w:fill="D9D9D9" w:themeFill="background1" w:themeFillShade="D9"/>
          </w:tcPr>
          <w:p w:rsidR="0081118D" w:rsidRPr="006E2048" w:rsidRDefault="0081118D" w:rsidP="006E2048">
            <w:pPr>
              <w:jc w:val="center"/>
              <w:rPr>
                <w:b/>
                <w:sz w:val="18"/>
                <w:lang w:eastAsia="ja-JP"/>
              </w:rPr>
            </w:pPr>
            <w:r w:rsidRPr="006E2048">
              <w:rPr>
                <w:b/>
                <w:sz w:val="18"/>
                <w:lang w:eastAsia="ja-JP"/>
              </w:rPr>
              <w:t xml:space="preserve">Requires </w:t>
            </w:r>
            <w:r w:rsidR="006E2048">
              <w:rPr>
                <w:b/>
                <w:sz w:val="18"/>
                <w:lang w:eastAsia="ja-JP"/>
              </w:rPr>
              <w:t xml:space="preserve">                     </w:t>
            </w:r>
            <w:r w:rsidRPr="006E2048">
              <w:rPr>
                <w:b/>
                <w:sz w:val="18"/>
                <w:lang w:eastAsia="ja-JP"/>
              </w:rPr>
              <w:t>State Government Assistance</w:t>
            </w:r>
          </w:p>
        </w:tc>
        <w:tc>
          <w:tcPr>
            <w:tcW w:w="2129" w:type="dxa"/>
            <w:shd w:val="clear" w:color="auto" w:fill="D9D9D9" w:themeFill="background1" w:themeFillShade="D9"/>
          </w:tcPr>
          <w:p w:rsidR="0081118D" w:rsidRPr="006E2048" w:rsidRDefault="0081118D" w:rsidP="006E2048">
            <w:pPr>
              <w:jc w:val="center"/>
              <w:rPr>
                <w:b/>
                <w:sz w:val="18"/>
                <w:lang w:eastAsia="ja-JP"/>
              </w:rPr>
            </w:pPr>
            <w:r w:rsidRPr="006E2048">
              <w:rPr>
                <w:b/>
                <w:sz w:val="18"/>
                <w:lang w:eastAsia="ja-JP"/>
              </w:rPr>
              <w:t>Estimated time to complete</w:t>
            </w:r>
            <w:r w:rsidR="00D13E11">
              <w:rPr>
                <w:b/>
                <w:sz w:val="18"/>
                <w:lang w:eastAsia="ja-JP"/>
              </w:rPr>
              <w:t xml:space="preserve"> </w:t>
            </w:r>
            <w:r w:rsidR="00842AD2">
              <w:rPr>
                <w:b/>
                <w:sz w:val="18"/>
                <w:lang w:eastAsia="ja-JP"/>
              </w:rPr>
              <w:t xml:space="preserve">acquisition and </w:t>
            </w:r>
            <w:r w:rsidR="00D13E11">
              <w:rPr>
                <w:b/>
                <w:sz w:val="18"/>
                <w:lang w:eastAsia="ja-JP"/>
              </w:rPr>
              <w:t>processing</w:t>
            </w:r>
          </w:p>
        </w:tc>
        <w:tc>
          <w:tcPr>
            <w:tcW w:w="2214" w:type="dxa"/>
            <w:shd w:val="clear" w:color="auto" w:fill="D9D9D9" w:themeFill="background1" w:themeFillShade="D9"/>
          </w:tcPr>
          <w:p w:rsidR="0081118D" w:rsidRPr="006E2048" w:rsidRDefault="00DF1CE2" w:rsidP="00DF1CE2">
            <w:pPr>
              <w:jc w:val="center"/>
              <w:rPr>
                <w:b/>
                <w:sz w:val="18"/>
                <w:lang w:eastAsia="ja-JP"/>
              </w:rPr>
            </w:pPr>
            <w:r>
              <w:rPr>
                <w:b/>
                <w:sz w:val="18"/>
                <w:lang w:eastAsia="ja-JP"/>
              </w:rPr>
              <w:t xml:space="preserve">Expected </w:t>
            </w:r>
            <w:r w:rsidR="0081118D" w:rsidRPr="006E2048">
              <w:rPr>
                <w:b/>
                <w:sz w:val="18"/>
                <w:lang w:eastAsia="ja-JP"/>
              </w:rPr>
              <w:t>Data</w:t>
            </w:r>
            <w:r>
              <w:rPr>
                <w:b/>
                <w:sz w:val="18"/>
                <w:lang w:eastAsia="ja-JP"/>
              </w:rPr>
              <w:t>set</w:t>
            </w:r>
            <w:r w:rsidR="0081118D" w:rsidRPr="006E2048">
              <w:rPr>
                <w:b/>
                <w:sz w:val="18"/>
                <w:lang w:eastAsia="ja-JP"/>
              </w:rPr>
              <w:t xml:space="preserve"> Quality Level </w:t>
            </w:r>
          </w:p>
        </w:tc>
      </w:tr>
      <w:tr w:rsidR="0081118D" w:rsidTr="006E2048">
        <w:tc>
          <w:tcPr>
            <w:tcW w:w="858" w:type="dxa"/>
          </w:tcPr>
          <w:p w:rsidR="0081118D" w:rsidRPr="0081118D" w:rsidRDefault="00D13E11" w:rsidP="00D13E11">
            <w:pPr>
              <w:jc w:val="center"/>
              <w:rPr>
                <w:sz w:val="18"/>
                <w:lang w:eastAsia="ja-JP"/>
              </w:rPr>
            </w:pPr>
            <w:r>
              <w:rPr>
                <w:sz w:val="18"/>
                <w:lang w:eastAsia="ja-JP"/>
              </w:rPr>
              <w:t>State Datasets</w:t>
            </w:r>
          </w:p>
        </w:tc>
        <w:tc>
          <w:tcPr>
            <w:tcW w:w="1698" w:type="dxa"/>
          </w:tcPr>
          <w:p w:rsidR="0081118D" w:rsidRPr="0081118D" w:rsidRDefault="00D13E11" w:rsidP="006E2048">
            <w:pPr>
              <w:jc w:val="center"/>
              <w:rPr>
                <w:sz w:val="18"/>
                <w:lang w:eastAsia="ja-JP"/>
              </w:rPr>
            </w:pPr>
            <w:r>
              <w:rPr>
                <w:sz w:val="18"/>
                <w:lang w:eastAsia="ja-JP"/>
              </w:rPr>
              <w:t>No</w:t>
            </w:r>
          </w:p>
        </w:tc>
        <w:tc>
          <w:tcPr>
            <w:tcW w:w="2117" w:type="dxa"/>
          </w:tcPr>
          <w:p w:rsidR="0081118D" w:rsidRPr="0081118D" w:rsidRDefault="00D13E11" w:rsidP="006E2048">
            <w:pPr>
              <w:jc w:val="center"/>
              <w:rPr>
                <w:sz w:val="18"/>
                <w:lang w:eastAsia="ja-JP"/>
              </w:rPr>
            </w:pPr>
            <w:r w:rsidRPr="00D13E11">
              <w:rPr>
                <w:color w:val="FF0000"/>
                <w:sz w:val="18"/>
                <w:lang w:eastAsia="ja-JP"/>
              </w:rPr>
              <w:t>Yes</w:t>
            </w:r>
          </w:p>
        </w:tc>
        <w:tc>
          <w:tcPr>
            <w:tcW w:w="2129" w:type="dxa"/>
          </w:tcPr>
          <w:p w:rsidR="0081118D" w:rsidRPr="0081118D" w:rsidRDefault="0081118D" w:rsidP="00842AD2">
            <w:pPr>
              <w:jc w:val="center"/>
              <w:rPr>
                <w:sz w:val="18"/>
                <w:lang w:eastAsia="ja-JP"/>
              </w:rPr>
            </w:pPr>
            <w:r>
              <w:rPr>
                <w:sz w:val="18"/>
                <w:lang w:eastAsia="ja-JP"/>
              </w:rPr>
              <w:t>~</w:t>
            </w:r>
            <w:r w:rsidR="006E2048">
              <w:rPr>
                <w:sz w:val="18"/>
                <w:lang w:eastAsia="ja-JP"/>
              </w:rPr>
              <w:t xml:space="preserve"> </w:t>
            </w:r>
            <w:r w:rsidR="00D13E11">
              <w:rPr>
                <w:sz w:val="18"/>
                <w:lang w:eastAsia="ja-JP"/>
              </w:rPr>
              <w:t>1</w:t>
            </w:r>
            <w:r w:rsidR="00842AD2">
              <w:rPr>
                <w:sz w:val="18"/>
                <w:lang w:eastAsia="ja-JP"/>
              </w:rPr>
              <w:t xml:space="preserve"> </w:t>
            </w:r>
            <w:r w:rsidR="009A7D81">
              <w:rPr>
                <w:sz w:val="18"/>
                <w:lang w:eastAsia="ja-JP"/>
              </w:rPr>
              <w:t>week</w:t>
            </w:r>
            <w:r w:rsidR="00842AD2">
              <w:rPr>
                <w:sz w:val="18"/>
                <w:lang w:eastAsia="ja-JP"/>
              </w:rPr>
              <w:t xml:space="preserve"> estimate for</w:t>
            </w:r>
            <w:bookmarkStart w:id="0" w:name="_GoBack"/>
            <w:bookmarkEnd w:id="0"/>
            <w:r w:rsidR="00842AD2">
              <w:rPr>
                <w:sz w:val="18"/>
                <w:lang w:eastAsia="ja-JP"/>
              </w:rPr>
              <w:t xml:space="preserve"> acquisition of NT dataset</w:t>
            </w:r>
          </w:p>
        </w:tc>
        <w:tc>
          <w:tcPr>
            <w:tcW w:w="2214" w:type="dxa"/>
          </w:tcPr>
          <w:p w:rsidR="0081118D" w:rsidRPr="0081118D" w:rsidRDefault="00D13E11" w:rsidP="00D13E11">
            <w:pPr>
              <w:jc w:val="center"/>
              <w:rPr>
                <w:sz w:val="18"/>
                <w:lang w:eastAsia="ja-JP"/>
              </w:rPr>
            </w:pPr>
            <w:r>
              <w:rPr>
                <w:sz w:val="18"/>
                <w:lang w:eastAsia="ja-JP"/>
              </w:rPr>
              <w:t>Authoritative</w:t>
            </w:r>
          </w:p>
        </w:tc>
      </w:tr>
      <w:tr w:rsidR="00D13E11" w:rsidTr="006E2048">
        <w:tc>
          <w:tcPr>
            <w:tcW w:w="858" w:type="dxa"/>
          </w:tcPr>
          <w:p w:rsidR="00D13E11" w:rsidRDefault="00D13E11" w:rsidP="00D13E11">
            <w:pPr>
              <w:jc w:val="center"/>
              <w:rPr>
                <w:sz w:val="18"/>
                <w:lang w:eastAsia="ja-JP"/>
              </w:rPr>
            </w:pPr>
            <w:r>
              <w:rPr>
                <w:sz w:val="18"/>
                <w:lang w:eastAsia="ja-JP"/>
              </w:rPr>
              <w:t>National Dataset</w:t>
            </w:r>
          </w:p>
        </w:tc>
        <w:tc>
          <w:tcPr>
            <w:tcW w:w="1698" w:type="dxa"/>
          </w:tcPr>
          <w:p w:rsidR="00D13E11" w:rsidRDefault="00D13E11" w:rsidP="006E2048">
            <w:pPr>
              <w:jc w:val="center"/>
              <w:rPr>
                <w:sz w:val="18"/>
                <w:lang w:eastAsia="ja-JP"/>
              </w:rPr>
            </w:pPr>
            <w:r>
              <w:rPr>
                <w:sz w:val="18"/>
                <w:lang w:eastAsia="ja-JP"/>
              </w:rPr>
              <w:t>No</w:t>
            </w:r>
          </w:p>
        </w:tc>
        <w:tc>
          <w:tcPr>
            <w:tcW w:w="2117" w:type="dxa"/>
          </w:tcPr>
          <w:p w:rsidR="00D13E11" w:rsidRPr="00D13E11" w:rsidRDefault="00D13E11" w:rsidP="006E2048">
            <w:pPr>
              <w:jc w:val="center"/>
              <w:rPr>
                <w:color w:val="FF0000"/>
                <w:sz w:val="18"/>
                <w:lang w:eastAsia="ja-JP"/>
              </w:rPr>
            </w:pPr>
            <w:r>
              <w:rPr>
                <w:sz w:val="18"/>
                <w:lang w:eastAsia="ja-JP"/>
              </w:rPr>
              <w:t>No</w:t>
            </w:r>
          </w:p>
        </w:tc>
        <w:tc>
          <w:tcPr>
            <w:tcW w:w="2129" w:type="dxa"/>
          </w:tcPr>
          <w:p w:rsidR="00D13E11" w:rsidRDefault="00D13E11" w:rsidP="00D13E11">
            <w:pPr>
              <w:jc w:val="center"/>
              <w:rPr>
                <w:sz w:val="18"/>
                <w:lang w:eastAsia="ja-JP"/>
              </w:rPr>
            </w:pPr>
            <w:r>
              <w:rPr>
                <w:sz w:val="18"/>
                <w:lang w:eastAsia="ja-JP"/>
              </w:rPr>
              <w:t>~4-8 weeks depending on contiguity and alignment errors</w:t>
            </w:r>
          </w:p>
        </w:tc>
        <w:tc>
          <w:tcPr>
            <w:tcW w:w="2214" w:type="dxa"/>
          </w:tcPr>
          <w:p w:rsidR="00D13E11" w:rsidRDefault="00D13E11" w:rsidP="009A7D81">
            <w:pPr>
              <w:jc w:val="center"/>
              <w:rPr>
                <w:sz w:val="18"/>
                <w:lang w:eastAsia="ja-JP"/>
              </w:rPr>
            </w:pPr>
            <w:r>
              <w:rPr>
                <w:sz w:val="18"/>
                <w:lang w:eastAsia="ja-JP"/>
              </w:rPr>
              <w:t>Authoritative</w:t>
            </w:r>
          </w:p>
        </w:tc>
      </w:tr>
    </w:tbl>
    <w:p w:rsidR="0081118D" w:rsidRPr="0081118D" w:rsidRDefault="0081118D" w:rsidP="0081118D">
      <w:pPr>
        <w:jc w:val="right"/>
        <w:rPr>
          <w:lang w:eastAsia="ja-JP"/>
        </w:rPr>
      </w:pPr>
    </w:p>
    <w:sectPr w:rsidR="0081118D" w:rsidRPr="0081118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101" w:rsidRDefault="00A31101">
      <w:r>
        <w:separator/>
      </w:r>
    </w:p>
  </w:endnote>
  <w:endnote w:type="continuationSeparator" w:id="0">
    <w:p w:rsidR="00A31101" w:rsidRDefault="00A3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62646"/>
      <w:docPartObj>
        <w:docPartGallery w:val="Page Numbers (Bottom of Page)"/>
        <w:docPartUnique/>
      </w:docPartObj>
    </w:sdtPr>
    <w:sdtEndPr>
      <w:rPr>
        <w:noProof/>
      </w:rPr>
    </w:sdtEndPr>
    <w:sdtContent>
      <w:p w:rsidR="00A31101" w:rsidRDefault="00A31101" w:rsidP="00C6669A">
        <w:pPr>
          <w:pStyle w:val="Footer"/>
          <w:jc w:val="right"/>
        </w:pPr>
        <w:r>
          <w:t>Department of Agriculture</w:t>
        </w:r>
        <w:r>
          <w:tab/>
        </w:r>
        <w:r>
          <w:fldChar w:fldCharType="begin"/>
        </w:r>
        <w:r>
          <w:instrText xml:space="preserve"> PAGE   \* MERGEFORMAT </w:instrText>
        </w:r>
        <w:r>
          <w:fldChar w:fldCharType="separate"/>
        </w:r>
        <w:r w:rsidR="00842AD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101" w:rsidRDefault="00A31101">
      <w:r>
        <w:separator/>
      </w:r>
    </w:p>
  </w:footnote>
  <w:footnote w:type="continuationSeparator" w:id="0">
    <w:p w:rsidR="00A31101" w:rsidRDefault="00A31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101" w:rsidRDefault="00A31101">
    <w:pPr>
      <w:pStyle w:val="Header"/>
    </w:pPr>
    <w:r>
      <w:t>Plant Health Surveillance Information Objectives – Datasets Progress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D2EA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78580E"/>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57C4606A"/>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4B44344"/>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4A6681B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FD6931"/>
    <w:multiLevelType w:val="hybridMultilevel"/>
    <w:tmpl w:val="92C2CA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CF66B4"/>
    <w:multiLevelType w:val="hybridMultilevel"/>
    <w:tmpl w:val="9AEAB1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C15CA8"/>
    <w:multiLevelType w:val="hybridMultilevel"/>
    <w:tmpl w:val="D3AE4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43457F"/>
    <w:multiLevelType w:val="hybridMultilevel"/>
    <w:tmpl w:val="A060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C001F3"/>
    <w:multiLevelType w:val="hybridMultilevel"/>
    <w:tmpl w:val="10389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3F0F83"/>
    <w:multiLevelType w:val="hybridMultilevel"/>
    <w:tmpl w:val="C25E4B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6B606F"/>
    <w:multiLevelType w:val="hybridMultilevel"/>
    <w:tmpl w:val="E0560262"/>
    <w:lvl w:ilvl="0" w:tplc="A9884604">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192584"/>
    <w:multiLevelType w:val="multilevel"/>
    <w:tmpl w:val="02AA8FA0"/>
    <w:styleLink w:val="ListBullets"/>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pStyle w:val="ListBullet2"/>
      <w:lvlText w:val=""/>
      <w:lvlJc w:val="left"/>
      <w:pPr>
        <w:ind w:left="794" w:hanging="369"/>
      </w:pPr>
      <w:rPr>
        <w:rFonts w:ascii="Symbol" w:hAnsi="Symbol" w:hint="default"/>
      </w:rPr>
    </w:lvl>
    <w:lvl w:ilvl="2">
      <w:start w:val="1"/>
      <w:numFmt w:val="bullet"/>
      <w:pStyle w:val="ListBullet3"/>
      <w:lvlText w:val=""/>
      <w:lvlJc w:val="left"/>
      <w:pPr>
        <w:tabs>
          <w:tab w:val="num" w:pos="794"/>
        </w:tabs>
        <w:ind w:left="1219" w:hanging="425"/>
      </w:pPr>
      <w:rPr>
        <w:rFonts w:ascii="Wingdings" w:hAnsi="Wingdings"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o"/>
      <w:lvlJc w:val="left"/>
      <w:pPr>
        <w:tabs>
          <w:tab w:val="num" w:pos="425"/>
        </w:tabs>
        <w:ind w:left="425" w:hanging="425"/>
      </w:pPr>
      <w:rPr>
        <w:rFonts w:ascii="Courier New" w:hAnsi="Courier New" w:cs="Courier New" w:hint="default"/>
      </w:rPr>
    </w:lvl>
    <w:lvl w:ilvl="5">
      <w:start w:val="1"/>
      <w:numFmt w:val="bullet"/>
      <w:lvlText w:val=""/>
      <w:lvlJc w:val="left"/>
      <w:pPr>
        <w:tabs>
          <w:tab w:val="num" w:pos="425"/>
        </w:tabs>
        <w:ind w:left="425" w:hanging="425"/>
      </w:pPr>
      <w:rPr>
        <w:rFonts w:ascii="Wingdings" w:hAnsi="Wingdings" w:hint="default"/>
      </w:rPr>
    </w:lvl>
    <w:lvl w:ilvl="6">
      <w:start w:val="1"/>
      <w:numFmt w:val="bullet"/>
      <w:lvlText w:val=""/>
      <w:lvlJc w:val="left"/>
      <w:pPr>
        <w:tabs>
          <w:tab w:val="num" w:pos="425"/>
        </w:tabs>
        <w:ind w:left="425" w:hanging="425"/>
      </w:pPr>
      <w:rPr>
        <w:rFonts w:ascii="Symbol" w:hAnsi="Symbol" w:hint="default"/>
      </w:rPr>
    </w:lvl>
    <w:lvl w:ilvl="7">
      <w:start w:val="1"/>
      <w:numFmt w:val="bullet"/>
      <w:lvlText w:val="o"/>
      <w:lvlJc w:val="left"/>
      <w:pPr>
        <w:tabs>
          <w:tab w:val="num" w:pos="425"/>
        </w:tabs>
        <w:ind w:left="425" w:hanging="425"/>
      </w:pPr>
      <w:rPr>
        <w:rFonts w:ascii="Courier New" w:hAnsi="Courier New" w:cs="Courier New" w:hint="default"/>
      </w:rPr>
    </w:lvl>
    <w:lvl w:ilvl="8">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1D1E32C3"/>
    <w:multiLevelType w:val="hybridMultilevel"/>
    <w:tmpl w:val="5FF802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27B0CC7"/>
    <w:multiLevelType w:val="hybridMultilevel"/>
    <w:tmpl w:val="DC2C3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B36237"/>
    <w:multiLevelType w:val="multilevel"/>
    <w:tmpl w:val="20F2356A"/>
    <w:styleLink w:val="Appendix"/>
    <w:lvl w:ilvl="0">
      <w:start w:val="1"/>
      <w:numFmt w:val="upperLetter"/>
      <w:pStyle w:val="AppendixHeading1"/>
      <w:lvlText w:val="Appendix %1"/>
      <w:lvlJc w:val="left"/>
      <w:pPr>
        <w:ind w:left="964" w:hanging="964"/>
      </w:pPr>
      <w:rPr>
        <w:rFonts w:hint="default"/>
      </w:rPr>
    </w:lvl>
    <w:lvl w:ilvl="1">
      <w:start w:val="1"/>
      <w:numFmt w:val="decimal"/>
      <w:pStyle w:val="AppendixHeading2"/>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6" w15:restartNumberingAfterBreak="0">
    <w:nsid w:val="2A913599"/>
    <w:multiLevelType w:val="multilevel"/>
    <w:tmpl w:val="02AA8FA0"/>
    <w:numStyleLink w:val="ListBullets"/>
  </w:abstractNum>
  <w:abstractNum w:abstractNumId="17" w15:restartNumberingAfterBreak="0">
    <w:nsid w:val="2F2425AB"/>
    <w:multiLevelType w:val="multilevel"/>
    <w:tmpl w:val="BC8603C0"/>
    <w:numStyleLink w:val="ListNumbers"/>
  </w:abstractNum>
  <w:abstractNum w:abstractNumId="18" w15:restartNumberingAfterBreak="0">
    <w:nsid w:val="46DD5C12"/>
    <w:multiLevelType w:val="multilevel"/>
    <w:tmpl w:val="20F2356A"/>
    <w:numStyleLink w:val="Appendix"/>
  </w:abstractNum>
  <w:abstractNum w:abstractNumId="19" w15:restartNumberingAfterBreak="0">
    <w:nsid w:val="48DE2E4A"/>
    <w:multiLevelType w:val="hybridMultilevel"/>
    <w:tmpl w:val="B7086130"/>
    <w:lvl w:ilvl="0" w:tplc="AAB465F0">
      <w:start w:val="1"/>
      <w:numFmt w:val="bullet"/>
      <w:pStyle w:val="BoxTex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A12966"/>
    <w:multiLevelType w:val="multilevel"/>
    <w:tmpl w:val="DA322B0E"/>
    <w:styleLink w:val="List1"/>
    <w:lvl w:ilvl="0">
      <w:start w:val="1"/>
      <w:numFmt w:val="bullet"/>
      <w:lvlText w:val=""/>
      <w:lvlJc w:val="left"/>
      <w:pPr>
        <w:ind w:left="765" w:hanging="360"/>
      </w:pPr>
      <w:rPr>
        <w:rFonts w:ascii="Symbol" w:hAnsi="Symbol" w:cs="Times New Roman" w:hint="default"/>
        <w:color w:val="auto"/>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1" w15:restartNumberingAfterBreak="0">
    <w:nsid w:val="5BF51EC7"/>
    <w:multiLevelType w:val="multilevel"/>
    <w:tmpl w:val="23E2163A"/>
    <w:styleLink w:val="Headings"/>
    <w:lvl w:ilvl="0">
      <w:start w:val="1"/>
      <w:numFmt w:val="decimal"/>
      <w:pStyle w:val="Heading2"/>
      <w:lvlText w:val="%1"/>
      <w:lvlJc w:val="left"/>
      <w:pPr>
        <w:ind w:left="567" w:hanging="567"/>
      </w:pPr>
      <w:rPr>
        <w:rFonts w:hint="default"/>
      </w:rPr>
    </w:lvl>
    <w:lvl w:ilvl="1">
      <w:start w:val="1"/>
      <w:numFmt w:val="decimal"/>
      <w:pStyle w:val="Heading3"/>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22" w15:restartNumberingAfterBreak="0">
    <w:nsid w:val="5D722183"/>
    <w:multiLevelType w:val="hybridMultilevel"/>
    <w:tmpl w:val="882EC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841D99"/>
    <w:multiLevelType w:val="hybridMultilevel"/>
    <w:tmpl w:val="393C2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60171CBC"/>
    <w:multiLevelType w:val="hybridMultilevel"/>
    <w:tmpl w:val="2210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C122A0"/>
    <w:multiLevelType w:val="multilevel"/>
    <w:tmpl w:val="BC8603C0"/>
    <w:styleLink w:val="ListNumbers"/>
    <w:lvl w:ilvl="0">
      <w:start w:val="1"/>
      <w:numFmt w:val="decimal"/>
      <w:pStyle w:val="ListNumber"/>
      <w:lvlText w:val="%1)"/>
      <w:lvlJc w:val="left"/>
      <w:pPr>
        <w:ind w:left="425" w:hanging="425"/>
      </w:pPr>
      <w:rPr>
        <w:rFonts w:hint="default"/>
        <w:color w:val="auto"/>
      </w:rPr>
    </w:lvl>
    <w:lvl w:ilvl="1">
      <w:start w:val="1"/>
      <w:numFmt w:val="lowerLetter"/>
      <w:pStyle w:val="ListNumber2"/>
      <w:lvlText w:val="%2)"/>
      <w:lvlJc w:val="left"/>
      <w:pPr>
        <w:ind w:left="794" w:hanging="369"/>
      </w:pPr>
      <w:rPr>
        <w:rFonts w:hint="default"/>
      </w:rPr>
    </w:lvl>
    <w:lvl w:ilvl="2">
      <w:start w:val="1"/>
      <w:numFmt w:val="lowerRoman"/>
      <w:pStyle w:val="ListNumber3"/>
      <w:lvlText w:val="%3)"/>
      <w:lvlJc w:val="right"/>
      <w:pPr>
        <w:ind w:left="1077" w:hanging="17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1C67AA2"/>
    <w:multiLevelType w:val="hybridMultilevel"/>
    <w:tmpl w:val="D6CE3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1"/>
  </w:num>
  <w:num w:numId="4">
    <w:abstractNumId w:val="12"/>
  </w:num>
  <w:num w:numId="5">
    <w:abstractNumId w:val="3"/>
  </w:num>
  <w:num w:numId="6">
    <w:abstractNumId w:val="16"/>
  </w:num>
  <w:num w:numId="7">
    <w:abstractNumId w:val="25"/>
  </w:num>
  <w:num w:numId="8">
    <w:abstractNumId w:val="17"/>
  </w:num>
  <w:num w:numId="9">
    <w:abstractNumId w:val="21"/>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2"/>
  </w:num>
  <w:num w:numId="14">
    <w:abstractNumId w:val="2"/>
  </w:num>
  <w:num w:numId="15">
    <w:abstractNumId w:val="1"/>
  </w:num>
  <w:num w:numId="16">
    <w:abstractNumId w:val="0"/>
  </w:num>
  <w:num w:numId="17">
    <w:abstractNumId w:val="4"/>
  </w:num>
  <w:num w:numId="18">
    <w:abstractNumId w:val="23"/>
  </w:num>
  <w:num w:numId="19">
    <w:abstractNumId w:val="13"/>
  </w:num>
  <w:num w:numId="20">
    <w:abstractNumId w:val="24"/>
  </w:num>
  <w:num w:numId="21">
    <w:abstractNumId w:val="5"/>
  </w:num>
  <w:num w:numId="22">
    <w:abstractNumId w:val="10"/>
  </w:num>
  <w:num w:numId="23">
    <w:abstractNumId w:val="14"/>
  </w:num>
  <w:num w:numId="24">
    <w:abstractNumId w:val="26"/>
  </w:num>
  <w:num w:numId="25">
    <w:abstractNumId w:val="7"/>
  </w:num>
  <w:num w:numId="26">
    <w:abstractNumId w:val="6"/>
  </w:num>
  <w:num w:numId="27">
    <w:abstractNumId w:val="8"/>
  </w:num>
  <w:num w:numId="2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08"/>
    <w:rsid w:val="0000249D"/>
    <w:rsid w:val="00033BB0"/>
    <w:rsid w:val="000424DA"/>
    <w:rsid w:val="00044076"/>
    <w:rsid w:val="00056ED1"/>
    <w:rsid w:val="00060562"/>
    <w:rsid w:val="00080EB4"/>
    <w:rsid w:val="00082917"/>
    <w:rsid w:val="000D67BB"/>
    <w:rsid w:val="00126F06"/>
    <w:rsid w:val="00141B90"/>
    <w:rsid w:val="001554D3"/>
    <w:rsid w:val="001836F9"/>
    <w:rsid w:val="00193299"/>
    <w:rsid w:val="00197CE6"/>
    <w:rsid w:val="001A53E0"/>
    <w:rsid w:val="001C691A"/>
    <w:rsid w:val="001E28D5"/>
    <w:rsid w:val="00211B7E"/>
    <w:rsid w:val="002268AF"/>
    <w:rsid w:val="0023471D"/>
    <w:rsid w:val="00237A3E"/>
    <w:rsid w:val="002643D9"/>
    <w:rsid w:val="00280551"/>
    <w:rsid w:val="002931E2"/>
    <w:rsid w:val="002C1150"/>
    <w:rsid w:val="002C5082"/>
    <w:rsid w:val="002E470C"/>
    <w:rsid w:val="00300718"/>
    <w:rsid w:val="003141ED"/>
    <w:rsid w:val="00325765"/>
    <w:rsid w:val="00345C4A"/>
    <w:rsid w:val="003663DB"/>
    <w:rsid w:val="00385F43"/>
    <w:rsid w:val="003938C8"/>
    <w:rsid w:val="003D6714"/>
    <w:rsid w:val="003F3708"/>
    <w:rsid w:val="00404A91"/>
    <w:rsid w:val="00440DF4"/>
    <w:rsid w:val="00461807"/>
    <w:rsid w:val="004D69F5"/>
    <w:rsid w:val="004F2054"/>
    <w:rsid w:val="0051426D"/>
    <w:rsid w:val="005329CB"/>
    <w:rsid w:val="0053344F"/>
    <w:rsid w:val="00543197"/>
    <w:rsid w:val="00543253"/>
    <w:rsid w:val="0054747E"/>
    <w:rsid w:val="005828CA"/>
    <w:rsid w:val="00592299"/>
    <w:rsid w:val="005C6870"/>
    <w:rsid w:val="005D0FB5"/>
    <w:rsid w:val="005F1376"/>
    <w:rsid w:val="00605492"/>
    <w:rsid w:val="0061130A"/>
    <w:rsid w:val="00626E31"/>
    <w:rsid w:val="00651486"/>
    <w:rsid w:val="00656FE9"/>
    <w:rsid w:val="00686ECC"/>
    <w:rsid w:val="006A29BB"/>
    <w:rsid w:val="006A5E41"/>
    <w:rsid w:val="006E2048"/>
    <w:rsid w:val="006E5B57"/>
    <w:rsid w:val="00722CF6"/>
    <w:rsid w:val="0073542E"/>
    <w:rsid w:val="00740CAC"/>
    <w:rsid w:val="007415B6"/>
    <w:rsid w:val="00764B6C"/>
    <w:rsid w:val="00770829"/>
    <w:rsid w:val="00775D94"/>
    <w:rsid w:val="00793D59"/>
    <w:rsid w:val="007A5468"/>
    <w:rsid w:val="007F3ADE"/>
    <w:rsid w:val="007F49D3"/>
    <w:rsid w:val="008008FD"/>
    <w:rsid w:val="0081118D"/>
    <w:rsid w:val="00822085"/>
    <w:rsid w:val="00842AD2"/>
    <w:rsid w:val="00842D8D"/>
    <w:rsid w:val="00846313"/>
    <w:rsid w:val="0088368A"/>
    <w:rsid w:val="008A27D2"/>
    <w:rsid w:val="008B30CA"/>
    <w:rsid w:val="008C2E70"/>
    <w:rsid w:val="008E2B37"/>
    <w:rsid w:val="008E4F1B"/>
    <w:rsid w:val="00905F94"/>
    <w:rsid w:val="009444E6"/>
    <w:rsid w:val="00947540"/>
    <w:rsid w:val="009658DA"/>
    <w:rsid w:val="009A480C"/>
    <w:rsid w:val="009A7D81"/>
    <w:rsid w:val="009B2C25"/>
    <w:rsid w:val="009E5482"/>
    <w:rsid w:val="009F3EBC"/>
    <w:rsid w:val="00A12F2D"/>
    <w:rsid w:val="00A22E95"/>
    <w:rsid w:val="00A31101"/>
    <w:rsid w:val="00A31BF1"/>
    <w:rsid w:val="00A53BF4"/>
    <w:rsid w:val="00A55686"/>
    <w:rsid w:val="00A76227"/>
    <w:rsid w:val="00A77C5B"/>
    <w:rsid w:val="00A82556"/>
    <w:rsid w:val="00A8402F"/>
    <w:rsid w:val="00A85A1E"/>
    <w:rsid w:val="00A9054F"/>
    <w:rsid w:val="00A95C06"/>
    <w:rsid w:val="00AA4B88"/>
    <w:rsid w:val="00AA5163"/>
    <w:rsid w:val="00AA5406"/>
    <w:rsid w:val="00AA7E36"/>
    <w:rsid w:val="00AB13AE"/>
    <w:rsid w:val="00AE4712"/>
    <w:rsid w:val="00B00312"/>
    <w:rsid w:val="00B2733E"/>
    <w:rsid w:val="00B30503"/>
    <w:rsid w:val="00B56BF2"/>
    <w:rsid w:val="00B57188"/>
    <w:rsid w:val="00B64035"/>
    <w:rsid w:val="00B86E2E"/>
    <w:rsid w:val="00B92248"/>
    <w:rsid w:val="00BA5A1F"/>
    <w:rsid w:val="00BD341A"/>
    <w:rsid w:val="00C26117"/>
    <w:rsid w:val="00C47C0A"/>
    <w:rsid w:val="00C6669A"/>
    <w:rsid w:val="00C7046A"/>
    <w:rsid w:val="00CA74F0"/>
    <w:rsid w:val="00CC0982"/>
    <w:rsid w:val="00CC593E"/>
    <w:rsid w:val="00D13E11"/>
    <w:rsid w:val="00D32304"/>
    <w:rsid w:val="00D5001F"/>
    <w:rsid w:val="00D963DD"/>
    <w:rsid w:val="00DA1A23"/>
    <w:rsid w:val="00DB4E87"/>
    <w:rsid w:val="00DC0A62"/>
    <w:rsid w:val="00DD26D5"/>
    <w:rsid w:val="00DE16F6"/>
    <w:rsid w:val="00DE36C9"/>
    <w:rsid w:val="00DE4831"/>
    <w:rsid w:val="00DF1CE2"/>
    <w:rsid w:val="00DF5A6B"/>
    <w:rsid w:val="00E0393B"/>
    <w:rsid w:val="00E05FC0"/>
    <w:rsid w:val="00E15A82"/>
    <w:rsid w:val="00E260C8"/>
    <w:rsid w:val="00E3214D"/>
    <w:rsid w:val="00E35468"/>
    <w:rsid w:val="00E57E3D"/>
    <w:rsid w:val="00EA2456"/>
    <w:rsid w:val="00EA744F"/>
    <w:rsid w:val="00EF042A"/>
    <w:rsid w:val="00EF74AD"/>
    <w:rsid w:val="00F46E24"/>
    <w:rsid w:val="00FA106C"/>
    <w:rsid w:val="00FB710A"/>
    <w:rsid w:val="00FC0AB8"/>
    <w:rsid w:val="00FE209A"/>
    <w:rsid w:val="00FF7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38C5A6A4-C4C7-4312-BE8B-CE67A18A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iPriority="1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2"/>
      <w:szCs w:val="22"/>
      <w:lang w:eastAsia="en-US"/>
    </w:rPr>
  </w:style>
  <w:style w:type="paragraph" w:styleId="Heading1">
    <w:name w:val="heading 1"/>
    <w:next w:val="Normal"/>
    <w:link w:val="Heading1Char"/>
    <w:uiPriority w:val="1"/>
    <w:qFormat/>
    <w:pPr>
      <w:keepNext/>
      <w:keepLines/>
      <w:spacing w:before="720" w:after="240"/>
      <w:outlineLvl w:val="0"/>
    </w:pPr>
    <w:rPr>
      <w:rFonts w:ascii="Calibri" w:eastAsiaTheme="minorEastAsia" w:hAnsi="Calibri" w:cstheme="minorBidi"/>
      <w:b/>
      <w:bCs/>
      <w:color w:val="000000"/>
      <w:sz w:val="56"/>
      <w:szCs w:val="28"/>
      <w:lang w:eastAsia="ja-JP"/>
    </w:rPr>
  </w:style>
  <w:style w:type="paragraph" w:styleId="Heading2">
    <w:name w:val="heading 2"/>
    <w:basedOn w:val="Normal"/>
    <w:next w:val="Normal"/>
    <w:link w:val="Heading2Char"/>
    <w:uiPriority w:val="3"/>
    <w:qFormat/>
    <w:pPr>
      <w:pageBreakBefore/>
      <w:numPr>
        <w:numId w:val="9"/>
      </w:numPr>
      <w:outlineLvl w:val="1"/>
    </w:pPr>
    <w:rPr>
      <w:rFonts w:ascii="Calibri" w:eastAsia="Times New Roman" w:hAnsi="Calibri"/>
      <w:bCs/>
      <w:color w:val="000000"/>
      <w:sz w:val="56"/>
      <w:szCs w:val="28"/>
      <w:lang w:eastAsia="ja-JP"/>
    </w:rPr>
  </w:style>
  <w:style w:type="paragraph" w:styleId="Heading3">
    <w:name w:val="heading 3"/>
    <w:next w:val="Normal"/>
    <w:link w:val="Heading3Char"/>
    <w:uiPriority w:val="4"/>
    <w:qFormat/>
    <w:pPr>
      <w:keepNext/>
      <w:keepLines/>
      <w:numPr>
        <w:ilvl w:val="1"/>
        <w:numId w:val="9"/>
      </w:numPr>
      <w:spacing w:before="360" w:after="120"/>
      <w:outlineLvl w:val="2"/>
    </w:pPr>
    <w:rPr>
      <w:rFonts w:asciiTheme="minorHAnsi" w:eastAsia="Times New Roman" w:hAnsiTheme="minorHAnsi"/>
      <w:b/>
      <w:bCs/>
      <w:sz w:val="32"/>
      <w:szCs w:val="24"/>
      <w:lang w:eastAsia="en-US"/>
    </w:rPr>
  </w:style>
  <w:style w:type="paragraph" w:styleId="Heading4">
    <w:name w:val="heading 4"/>
    <w:basedOn w:val="Heading5"/>
    <w:next w:val="Normal"/>
    <w:link w:val="Heading4Char"/>
    <w:uiPriority w:val="5"/>
    <w:qFormat/>
    <w:pPr>
      <w:spacing w:before="120"/>
      <w:outlineLvl w:val="3"/>
    </w:pPr>
    <w:rPr>
      <w:rFonts w:eastAsiaTheme="minorEastAsia" w:cstheme="minorBidi"/>
      <w:i w:val="0"/>
      <w:sz w:val="28"/>
      <w:lang w:eastAsia="ja-JP"/>
    </w:rPr>
  </w:style>
  <w:style w:type="paragraph" w:styleId="Heading5">
    <w:name w:val="heading 5"/>
    <w:basedOn w:val="Normal"/>
    <w:next w:val="Normal"/>
    <w:link w:val="Heading5Char"/>
    <w:uiPriority w:val="9"/>
    <w:unhideWhenUsed/>
    <w:pPr>
      <w:keepNext/>
      <w:keepLines/>
      <w:spacing w:before="200"/>
      <w:outlineLvl w:val="4"/>
    </w:pPr>
    <w:rPr>
      <w:rFonts w:eastAsiaTheme="majorEastAsia"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1">
    <w:name w:val="List1"/>
    <w:basedOn w:val="NoList"/>
    <w:uiPriority w:val="99"/>
    <w:pPr>
      <w:numPr>
        <w:numId w:val="1"/>
      </w:numPr>
    </w:pPr>
  </w:style>
  <w:style w:type="character" w:customStyle="1" w:styleId="Heading1Char">
    <w:name w:val="Heading 1 Char"/>
    <w:basedOn w:val="DefaultParagraphFont"/>
    <w:link w:val="Heading1"/>
    <w:uiPriority w:val="1"/>
    <w:rPr>
      <w:rFonts w:ascii="Calibri" w:eastAsiaTheme="minorEastAsia" w:hAnsi="Calibri" w:cstheme="minorBidi"/>
      <w:b/>
      <w:bCs/>
      <w:color w:val="000000"/>
      <w:sz w:val="56"/>
      <w:szCs w:val="28"/>
      <w:lang w:eastAsia="ja-JP"/>
    </w:rPr>
  </w:style>
  <w:style w:type="character" w:customStyle="1" w:styleId="Heading2Char">
    <w:name w:val="Heading 2 Char"/>
    <w:basedOn w:val="DefaultParagraphFont"/>
    <w:link w:val="Heading2"/>
    <w:uiPriority w:val="3"/>
    <w:rPr>
      <w:rFonts w:ascii="Calibri" w:eastAsia="Times New Roman" w:hAnsi="Calibri"/>
      <w:bCs/>
      <w:color w:val="000000"/>
      <w:sz w:val="56"/>
      <w:szCs w:val="28"/>
      <w:lang w:eastAsia="ja-JP"/>
    </w:rPr>
  </w:style>
  <w:style w:type="character" w:customStyle="1" w:styleId="Heading3Char">
    <w:name w:val="Heading 3 Char"/>
    <w:basedOn w:val="DefaultParagraphFont"/>
    <w:link w:val="Heading3"/>
    <w:uiPriority w:val="4"/>
    <w:rPr>
      <w:rFonts w:asciiTheme="minorHAnsi" w:eastAsia="Times New Roman" w:hAnsiTheme="minorHAnsi"/>
      <w:b/>
      <w:bCs/>
      <w:sz w:val="32"/>
      <w:szCs w:val="24"/>
      <w:lang w:eastAsia="en-US"/>
    </w:rPr>
  </w:style>
  <w:style w:type="character" w:customStyle="1" w:styleId="Heading4Char">
    <w:name w:val="Heading 4 Char"/>
    <w:basedOn w:val="DefaultParagraphFont"/>
    <w:link w:val="Heading4"/>
    <w:uiPriority w:val="5"/>
    <w:rPr>
      <w:rFonts w:eastAsiaTheme="minorEastAsia" w:cstheme="minorBidi"/>
      <w:b/>
      <w:sz w:val="28"/>
      <w:szCs w:val="22"/>
      <w:lang w:eastAsia="ja-JP"/>
    </w:rPr>
  </w:style>
  <w:style w:type="character" w:customStyle="1" w:styleId="Heading5Char">
    <w:name w:val="Heading 5 Char"/>
    <w:basedOn w:val="DefaultParagraphFont"/>
    <w:link w:val="Heading5"/>
    <w:uiPriority w:val="9"/>
    <w:rPr>
      <w:rFonts w:eastAsiaTheme="majorEastAsia" w:cstheme="majorBidi"/>
      <w:b/>
      <w:i/>
      <w:sz w:val="24"/>
      <w:szCs w:val="22"/>
      <w:lang w:eastAsia="en-US"/>
    </w:rPr>
  </w:style>
  <w:style w:type="paragraph" w:styleId="TOC1">
    <w:name w:val="toc 1"/>
    <w:basedOn w:val="Normal"/>
    <w:next w:val="Normal"/>
    <w:uiPriority w:val="39"/>
    <w:unhideWhenUsed/>
    <w:qFormat/>
    <w:pPr>
      <w:tabs>
        <w:tab w:val="left" w:pos="426"/>
        <w:tab w:val="right" w:leader="dot" w:pos="9072"/>
      </w:tabs>
      <w:spacing w:after="120"/>
    </w:pPr>
    <w:rPr>
      <w:b/>
      <w:noProof/>
    </w:rPr>
  </w:style>
  <w:style w:type="paragraph" w:styleId="TOC2">
    <w:name w:val="toc 2"/>
    <w:basedOn w:val="Normal"/>
    <w:next w:val="Normal"/>
    <w:uiPriority w:val="39"/>
    <w:unhideWhenUsed/>
    <w:qFormat/>
    <w:pPr>
      <w:tabs>
        <w:tab w:val="right" w:leader="dot" w:pos="9060"/>
      </w:tabs>
      <w:spacing w:after="120"/>
      <w:ind w:firstLine="425"/>
    </w:pPr>
    <w:rPr>
      <w:noProof/>
    </w:rPr>
  </w:style>
  <w:style w:type="paragraph" w:styleId="TOC3">
    <w:name w:val="toc 3"/>
    <w:basedOn w:val="Normal"/>
    <w:next w:val="Normal"/>
    <w:uiPriority w:val="39"/>
    <w:unhideWhenUsed/>
    <w:qFormat/>
    <w:pPr>
      <w:tabs>
        <w:tab w:val="right" w:leader="dot" w:pos="9072"/>
      </w:tabs>
      <w:spacing w:after="120"/>
      <w:ind w:firstLine="851"/>
    </w:pPr>
    <w:rPr>
      <w:noProof/>
    </w:rPr>
  </w:style>
  <w:style w:type="paragraph" w:styleId="Caption">
    <w:name w:val="caption"/>
    <w:basedOn w:val="Normal"/>
    <w:next w:val="Normal"/>
    <w:uiPriority w:val="12"/>
    <w:qFormat/>
    <w:pPr>
      <w:keepNext/>
      <w:spacing w:before="360" w:after="120"/>
    </w:pPr>
    <w:rPr>
      <w:b/>
      <w:bCs/>
      <w:sz w:val="24"/>
      <w:szCs w:val="18"/>
    </w:rPr>
  </w:style>
  <w:style w:type="paragraph" w:styleId="ListBullet">
    <w:name w:val="List Bullet"/>
    <w:basedOn w:val="Normal"/>
    <w:uiPriority w:val="7"/>
    <w:qFormat/>
    <w:pPr>
      <w:numPr>
        <w:numId w:val="6"/>
      </w:numPr>
      <w:spacing w:after="120"/>
    </w:pPr>
  </w:style>
  <w:style w:type="paragraph" w:styleId="ListNumber">
    <w:name w:val="List Number"/>
    <w:basedOn w:val="Normal"/>
    <w:uiPriority w:val="9"/>
    <w:qFormat/>
    <w:pPr>
      <w:numPr>
        <w:numId w:val="8"/>
      </w:numPr>
      <w:spacing w:after="120"/>
    </w:pPr>
  </w:style>
  <w:style w:type="paragraph" w:styleId="ListBullet2">
    <w:name w:val="List Bullet 2"/>
    <w:basedOn w:val="Normal"/>
    <w:uiPriority w:val="8"/>
    <w:qFormat/>
    <w:pPr>
      <w:numPr>
        <w:ilvl w:val="1"/>
        <w:numId w:val="6"/>
      </w:numPr>
      <w:spacing w:after="120"/>
      <w:contextualSpacing/>
    </w:pPr>
  </w:style>
  <w:style w:type="paragraph" w:styleId="ListNumber2">
    <w:name w:val="List Number 2"/>
    <w:uiPriority w:val="10"/>
    <w:qFormat/>
    <w:pPr>
      <w:numPr>
        <w:ilvl w:val="1"/>
        <w:numId w:val="8"/>
      </w:numPr>
      <w:spacing w:before="120" w:after="120" w:line="264" w:lineRule="auto"/>
    </w:pPr>
    <w:rPr>
      <w:rFonts w:eastAsia="Times New Roman"/>
      <w:sz w:val="22"/>
      <w:szCs w:val="24"/>
      <w:lang w:eastAsia="en-US"/>
    </w:rPr>
  </w:style>
  <w:style w:type="paragraph" w:styleId="ListNumber3">
    <w:name w:val="List Number 3"/>
    <w:uiPriority w:val="11"/>
    <w:qFormat/>
    <w:pPr>
      <w:numPr>
        <w:ilvl w:val="2"/>
        <w:numId w:val="8"/>
      </w:numPr>
      <w:spacing w:before="120" w:after="120" w:line="264" w:lineRule="auto"/>
    </w:pPr>
    <w:rPr>
      <w:rFonts w:eastAsia="Times New Roman"/>
      <w:sz w:val="22"/>
      <w:szCs w:val="24"/>
      <w:lang w:eastAsia="en-US"/>
    </w:rPr>
  </w:style>
  <w:style w:type="paragraph" w:customStyle="1" w:styleId="DisseminationLimitingMarker">
    <w:name w:val="Dissemination Limiting Marker"/>
    <w:next w:val="Normal"/>
    <w:uiPriority w:val="27"/>
    <w:pPr>
      <w:tabs>
        <w:tab w:val="center" w:pos="4820"/>
      </w:tabs>
      <w:jc w:val="center"/>
    </w:pPr>
    <w:rPr>
      <w:rFonts w:ascii="Calibri" w:hAnsi="Calibri"/>
      <w:b/>
      <w:color w:val="FF0000"/>
      <w:sz w:val="36"/>
      <w:szCs w:val="36"/>
      <w:lang w:eastAsia="en-US"/>
    </w:rPr>
  </w:style>
  <w:style w:type="character" w:styleId="Hyperlink">
    <w:name w:val="Hyperlink"/>
    <w:basedOn w:val="DefaultParagraphFont"/>
    <w:uiPriority w:val="99"/>
    <w:qFormat/>
    <w:rPr>
      <w:color w:val="165788"/>
      <w:u w:val="single"/>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Quote">
    <w:name w:val="Quote"/>
    <w:basedOn w:val="Normal"/>
    <w:next w:val="Normal"/>
    <w:link w:val="QuoteChar"/>
    <w:uiPriority w:val="18"/>
    <w:qFormat/>
    <w:pPr>
      <w:ind w:left="709" w:right="567"/>
    </w:pPr>
    <w:rPr>
      <w:rFonts w:eastAsia="Times New Roman"/>
      <w:iCs/>
      <w:color w:val="000000"/>
      <w:sz w:val="20"/>
      <w:szCs w:val="24"/>
    </w:rPr>
  </w:style>
  <w:style w:type="character" w:customStyle="1" w:styleId="QuoteChar">
    <w:name w:val="Quote Char"/>
    <w:basedOn w:val="DefaultParagraphFont"/>
    <w:link w:val="Quote"/>
    <w:uiPriority w:val="18"/>
    <w:rPr>
      <w:rFonts w:eastAsia="Times New Roman"/>
      <w:iCs/>
      <w:color w:val="000000"/>
      <w:szCs w:val="24"/>
      <w:lang w:eastAsia="en-US"/>
    </w:rPr>
  </w:style>
  <w:style w:type="paragraph" w:styleId="TOCHeading">
    <w:name w:val="TOC Heading"/>
    <w:next w:val="Normal"/>
    <w:uiPriority w:val="39"/>
    <w:qFormat/>
    <w:pPr>
      <w:pageBreakBefore/>
      <w:spacing w:before="480" w:line="276" w:lineRule="auto"/>
    </w:pPr>
    <w:rPr>
      <w:rFonts w:ascii="Calibri" w:eastAsiaTheme="minorEastAsia" w:hAnsi="Calibri" w:cstheme="minorBidi"/>
      <w:bCs/>
      <w:color w:val="000000"/>
      <w:sz w:val="56"/>
      <w:szCs w:val="28"/>
      <w:lang w:eastAsia="ja-JP"/>
    </w:rPr>
  </w:style>
  <w:style w:type="paragraph" w:customStyle="1" w:styleId="Footeraddress">
    <w:name w:val="Footer address"/>
    <w:basedOn w:val="Normal"/>
    <w:next w:val="ListBullet2"/>
    <w:semiHidden/>
    <w:qFormat/>
    <w:pPr>
      <w:tabs>
        <w:tab w:val="center" w:pos="4536"/>
      </w:tabs>
      <w:spacing w:after="120"/>
      <w:jc w:val="center"/>
    </w:pPr>
    <w:rPr>
      <w:sz w:val="16"/>
    </w:rPr>
  </w:style>
  <w:style w:type="paragraph" w:styleId="Footer">
    <w:name w:val="footer"/>
    <w:next w:val="Footeraddress"/>
    <w:link w:val="FooterChar"/>
    <w:uiPriority w:val="99"/>
    <w:unhideWhenUsed/>
    <w:pPr>
      <w:tabs>
        <w:tab w:val="right" w:pos="9026"/>
      </w:tabs>
    </w:pPr>
    <w:rPr>
      <w:rFonts w:ascii="Calibri" w:eastAsiaTheme="minorHAnsi" w:hAnsi="Calibri"/>
    </w:rPr>
  </w:style>
  <w:style w:type="character" w:customStyle="1" w:styleId="FooterChar">
    <w:name w:val="Footer Char"/>
    <w:basedOn w:val="DefaultParagraphFont"/>
    <w:link w:val="Footer"/>
    <w:uiPriority w:val="99"/>
    <w:rPr>
      <w:rFonts w:ascii="Calibri" w:hAnsi="Calibri"/>
    </w:rPr>
  </w:style>
  <w:style w:type="paragraph" w:customStyle="1" w:styleId="BoxText">
    <w:name w:val="Box Text"/>
    <w:basedOn w:val="Normal"/>
    <w:uiPriority w:val="19"/>
    <w:qFormat/>
    <w:pPr>
      <w:pBdr>
        <w:top w:val="single" w:sz="4" w:space="10" w:color="auto"/>
        <w:left w:val="single" w:sz="4" w:space="10" w:color="auto"/>
        <w:bottom w:val="single" w:sz="4" w:space="10" w:color="auto"/>
        <w:right w:val="single" w:sz="4" w:space="10" w:color="auto"/>
      </w:pBdr>
      <w:spacing w:after="120"/>
    </w:pPr>
    <w:rPr>
      <w:sz w:val="20"/>
    </w:rPr>
  </w:style>
  <w:style w:type="paragraph" w:customStyle="1" w:styleId="FigureTableNoteSource">
    <w:name w:val="Figure/Table Note/Source"/>
    <w:basedOn w:val="Normal"/>
    <w:next w:val="Normal"/>
    <w:uiPriority w:val="16"/>
    <w:qFormat/>
    <w:pPr>
      <w:spacing w:line="264" w:lineRule="auto"/>
      <w:contextualSpacing/>
    </w:pPr>
    <w:rPr>
      <w:sz w:val="18"/>
    </w:rPr>
  </w:style>
  <w:style w:type="paragraph" w:customStyle="1" w:styleId="BasicParagraph">
    <w:name w:val="[Basic Paragraph]"/>
    <w:basedOn w:val="Normal"/>
    <w:uiPriority w:val="99"/>
    <w:pPr>
      <w:widowControl w:val="0"/>
      <w:autoSpaceDE w:val="0"/>
      <w:autoSpaceDN w:val="0"/>
      <w:adjustRightInd w:val="0"/>
      <w:spacing w:before="0" w:line="288" w:lineRule="auto"/>
      <w:textAlignment w:val="center"/>
    </w:pPr>
    <w:rPr>
      <w:rFonts w:ascii="MinionPro-Regular" w:eastAsiaTheme="minorEastAsia" w:hAnsi="MinionPro-Regular" w:cs="MinionPro-Regular"/>
      <w:color w:val="000000"/>
      <w:sz w:val="24"/>
      <w:szCs w:val="24"/>
      <w:lang w:val="en-US"/>
    </w:rPr>
  </w:style>
  <w:style w:type="paragraph" w:customStyle="1" w:styleId="TableText">
    <w:name w:val="Table Text"/>
    <w:basedOn w:val="Normal"/>
    <w:uiPriority w:val="13"/>
    <w:qFormat/>
    <w:pPr>
      <w:spacing w:before="60" w:after="60"/>
    </w:pPr>
    <w:rPr>
      <w:sz w:val="18"/>
    </w:rPr>
  </w:style>
  <w:style w:type="paragraph" w:customStyle="1" w:styleId="TableHeading">
    <w:name w:val="Table Heading"/>
    <w:basedOn w:val="TableText"/>
    <w:uiPriority w:val="14"/>
    <w:qFormat/>
    <w:pPr>
      <w:keepNext/>
    </w:pPr>
    <w:rPr>
      <w:b/>
    </w:rPr>
  </w:style>
  <w:style w:type="numbering" w:customStyle="1" w:styleId="Headings">
    <w:name w:val="Headings"/>
    <w:uiPriority w:val="99"/>
    <w:pPr>
      <w:numPr>
        <w:numId w:val="9"/>
      </w:numPr>
    </w:pPr>
  </w:style>
  <w:style w:type="paragraph" w:customStyle="1" w:styleId="Preliminarycontentheading">
    <w:name w:val="Preliminary content heading"/>
    <w:link w:val="PreliminarycontentheadingChar"/>
    <w:uiPriority w:val="28"/>
    <w:qFormat/>
    <w:rsid w:val="00905F94"/>
    <w:pPr>
      <w:pageBreakBefore/>
    </w:pPr>
    <w:rPr>
      <w:rFonts w:ascii="Calibri" w:eastAsia="Times New Roman" w:hAnsi="Calibri"/>
      <w:bCs/>
      <w:color w:val="000000"/>
      <w:sz w:val="56"/>
      <w:szCs w:val="28"/>
      <w:lang w:eastAsia="ja-JP"/>
    </w:rPr>
  </w:style>
  <w:style w:type="character" w:customStyle="1" w:styleId="PreliminarycontentheadingChar">
    <w:name w:val="Preliminary content heading Char"/>
    <w:basedOn w:val="DefaultParagraphFont"/>
    <w:link w:val="Preliminarycontentheading"/>
    <w:uiPriority w:val="28"/>
    <w:rsid w:val="00905F94"/>
    <w:rPr>
      <w:rFonts w:ascii="Calibri" w:eastAsia="Times New Roman" w:hAnsi="Calibri"/>
      <w:bCs/>
      <w:color w:val="000000"/>
      <w:sz w:val="56"/>
      <w:szCs w:val="28"/>
      <w:lang w:eastAsia="ja-JP"/>
    </w:rPr>
  </w:style>
  <w:style w:type="paragraph" w:customStyle="1" w:styleId="BoxTextBullet">
    <w:name w:val="Box Text Bullet"/>
    <w:basedOn w:val="BoxText"/>
    <w:uiPriority w:val="21"/>
    <w:qFormat/>
    <w:pPr>
      <w:numPr>
        <w:numId w:val="2"/>
      </w:numPr>
      <w:tabs>
        <w:tab w:val="left" w:pos="227"/>
      </w:tabs>
      <w:ind w:left="0" w:firstLine="0"/>
    </w:pPr>
  </w:style>
  <w:style w:type="paragraph" w:customStyle="1" w:styleId="TableBullet">
    <w:name w:val="Table Bullet"/>
    <w:basedOn w:val="TableText"/>
    <w:uiPriority w:val="15"/>
    <w:qFormat/>
    <w:pPr>
      <w:numPr>
        <w:numId w:val="3"/>
      </w:numPr>
    </w:pPr>
  </w:style>
  <w:style w:type="paragraph" w:customStyle="1" w:styleId="BoxHeading">
    <w:name w:val="Box Heading"/>
    <w:basedOn w:val="BoxText"/>
    <w:uiPriority w:val="20"/>
    <w:qFormat/>
    <w:rPr>
      <w:b/>
    </w:rPr>
  </w:style>
  <w:style w:type="paragraph" w:customStyle="1" w:styleId="Securityclassification">
    <w:name w:val="Security classification"/>
    <w:basedOn w:val="Normal"/>
    <w:uiPriority w:val="26"/>
    <w:qFormat/>
    <w:pPr>
      <w:tabs>
        <w:tab w:val="center" w:pos="4820"/>
      </w:tabs>
      <w:jc w:val="center"/>
    </w:pPr>
    <w:rPr>
      <w:b/>
      <w:caps/>
      <w:color w:val="FF0000"/>
      <w:sz w:val="36"/>
      <w:szCs w:val="36"/>
    </w:rPr>
  </w:style>
  <w:style w:type="paragraph" w:styleId="Header">
    <w:name w:val="header"/>
    <w:link w:val="HeaderChar"/>
    <w:unhideWhenUsed/>
    <w:pPr>
      <w:tabs>
        <w:tab w:val="right" w:pos="9026"/>
      </w:tabs>
    </w:pPr>
    <w:rPr>
      <w:rFonts w:ascii="Calibri" w:eastAsiaTheme="minorHAnsi" w:hAnsi="Calibri"/>
    </w:rPr>
  </w:style>
  <w:style w:type="character" w:customStyle="1" w:styleId="HeaderChar">
    <w:name w:val="Header Char"/>
    <w:basedOn w:val="DefaultParagraphFont"/>
    <w:link w:val="Header"/>
    <w:rPr>
      <w:rFonts w:ascii="Calibri" w:hAnsi="Calibri"/>
    </w:rPr>
  </w:style>
  <w:style w:type="paragraph" w:customStyle="1" w:styleId="BoxSource">
    <w:name w:val="Box Source"/>
    <w:basedOn w:val="FigureTableNoteSource"/>
    <w:uiPriority w:val="22"/>
    <w:qFormat/>
    <w:pPr>
      <w:pBdr>
        <w:top w:val="single" w:sz="4" w:space="10" w:color="auto"/>
        <w:left w:val="single" w:sz="4" w:space="10" w:color="auto"/>
        <w:bottom w:val="single" w:sz="4" w:space="10" w:color="auto"/>
        <w:right w:val="single" w:sz="4" w:space="10" w:color="auto"/>
      </w:pBdr>
    </w:pPr>
  </w:style>
  <w:style w:type="paragraph" w:customStyle="1" w:styleId="AppendixHeading1">
    <w:name w:val="Appendix Heading 1"/>
    <w:qFormat/>
    <w:pPr>
      <w:pageBreakBefore/>
      <w:numPr>
        <w:numId w:val="12"/>
      </w:numPr>
      <w:spacing w:after="240"/>
    </w:pPr>
    <w:rPr>
      <w:rFonts w:asciiTheme="minorHAnsi" w:eastAsia="Times New Roman" w:hAnsiTheme="minorHAnsi"/>
      <w:b/>
      <w:bCs/>
      <w:sz w:val="56"/>
      <w:szCs w:val="24"/>
      <w:lang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eastAsia="en-US"/>
    </w:rPr>
  </w:style>
  <w:style w:type="paragraph" w:styleId="TableofFigures">
    <w:name w:val="table of figures"/>
    <w:basedOn w:val="Normal"/>
    <w:next w:val="Normal"/>
    <w:uiPriority w:val="99"/>
    <w:unhideWhenUsed/>
  </w:style>
  <w:style w:type="numbering" w:customStyle="1" w:styleId="Appendix">
    <w:name w:val="Appendix"/>
    <w:uiPriority w:val="99"/>
    <w:pPr>
      <w:numPr>
        <w:numId w:val="10"/>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Calibri"/>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Calibri"/>
      <w:b/>
      <w:bCs/>
      <w:lang w:eastAsia="en-US"/>
    </w:rPr>
  </w:style>
  <w:style w:type="character" w:styleId="FollowedHyperlink">
    <w:name w:val="FollowedHyperlink"/>
    <w:basedOn w:val="DefaultParagraphFont"/>
    <w:uiPriority w:val="99"/>
    <w:semiHidden/>
    <w:unhideWhenUsed/>
    <w:rPr>
      <w:color w:val="800080" w:themeColor="followedHyperlink"/>
      <w:u w:val="single"/>
    </w:rPr>
  </w:style>
  <w:style w:type="numbering" w:customStyle="1" w:styleId="ListBullets">
    <w:name w:val="ListBullets"/>
    <w:uiPriority w:val="99"/>
    <w:pPr>
      <w:numPr>
        <w:numId w:val="4"/>
      </w:numPr>
    </w:pPr>
  </w:style>
  <w:style w:type="paragraph" w:styleId="ListBullet4">
    <w:name w:val="List Bullet 4"/>
    <w:basedOn w:val="Normal"/>
    <w:uiPriority w:val="99"/>
    <w:unhideWhenUsed/>
    <w:pPr>
      <w:numPr>
        <w:numId w:val="5"/>
      </w:numPr>
      <w:contextualSpacing/>
    </w:pPr>
  </w:style>
  <w:style w:type="paragraph" w:styleId="ListBullet3">
    <w:name w:val="List Bullet 3"/>
    <w:basedOn w:val="Normal"/>
    <w:uiPriority w:val="99"/>
    <w:unhideWhenUsed/>
    <w:pPr>
      <w:numPr>
        <w:ilvl w:val="2"/>
        <w:numId w:val="6"/>
      </w:numPr>
      <w:contextualSpacing/>
    </w:pPr>
  </w:style>
  <w:style w:type="numbering" w:customStyle="1" w:styleId="ListNumbers">
    <w:name w:val="ListNumbers"/>
    <w:uiPriority w:val="99"/>
    <w:pPr>
      <w:numPr>
        <w:numId w:val="7"/>
      </w:numPr>
    </w:pPr>
  </w:style>
  <w:style w:type="paragraph" w:customStyle="1" w:styleId="Picture">
    <w:name w:val="Picture"/>
    <w:qFormat/>
    <w:rPr>
      <w:rFonts w:ascii="Calibri" w:eastAsiaTheme="minorEastAsia" w:hAnsi="Calibri" w:cstheme="minorBidi"/>
      <w:bCs/>
      <w:color w:val="000000"/>
      <w:sz w:val="22"/>
      <w:szCs w:val="28"/>
      <w:lang w:eastAsia="ja-JP"/>
    </w:rPr>
  </w:style>
  <w:style w:type="paragraph" w:styleId="Subtitle">
    <w:name w:val="Subtitle"/>
    <w:basedOn w:val="Normal"/>
    <w:next w:val="Normal"/>
    <w:link w:val="SubtitleChar"/>
    <w:uiPriority w:val="23"/>
    <w:qFormat/>
    <w:pPr>
      <w:ind w:left="1701"/>
    </w:pPr>
    <w:rPr>
      <w:sz w:val="40"/>
      <w:szCs w:val="40"/>
      <w:lang w:eastAsia="ja-JP"/>
    </w:rPr>
  </w:style>
  <w:style w:type="character" w:customStyle="1" w:styleId="SubtitleChar">
    <w:name w:val="Subtitle Char"/>
    <w:basedOn w:val="DefaultParagraphFont"/>
    <w:link w:val="Subtitle"/>
    <w:uiPriority w:val="23"/>
    <w:rPr>
      <w:rFonts w:eastAsia="Calibri"/>
      <w:sz w:val="40"/>
      <w:szCs w:val="40"/>
      <w:lang w:eastAsia="ja-JP"/>
    </w:rPr>
  </w:style>
  <w:style w:type="paragraph" w:styleId="Date">
    <w:name w:val="Date"/>
    <w:basedOn w:val="Normal"/>
    <w:next w:val="Normal"/>
    <w:link w:val="DateChar"/>
    <w:uiPriority w:val="99"/>
    <w:unhideWhenUsed/>
    <w:pPr>
      <w:pBdr>
        <w:top w:val="single" w:sz="4" w:space="1" w:color="auto"/>
      </w:pBdr>
      <w:ind w:left="1701"/>
      <w:jc w:val="right"/>
    </w:pPr>
    <w:rPr>
      <w:sz w:val="28"/>
      <w:szCs w:val="28"/>
    </w:rPr>
  </w:style>
  <w:style w:type="character" w:customStyle="1" w:styleId="DateChar">
    <w:name w:val="Date Char"/>
    <w:basedOn w:val="DefaultParagraphFont"/>
    <w:link w:val="Date"/>
    <w:uiPriority w:val="99"/>
    <w:rPr>
      <w:rFonts w:eastAsia="Calibri"/>
      <w:sz w:val="28"/>
      <w:szCs w:val="28"/>
      <w:lang w:eastAsia="en-US"/>
    </w:rPr>
  </w:style>
  <w:style w:type="paragraph" w:customStyle="1" w:styleId="AppendixHeading2">
    <w:name w:val="Appendix Heading 2"/>
    <w:qFormat/>
    <w:pPr>
      <w:numPr>
        <w:ilvl w:val="1"/>
        <w:numId w:val="12"/>
      </w:numPr>
    </w:pPr>
    <w:rPr>
      <w:rFonts w:asciiTheme="minorHAnsi" w:eastAsia="Times New Roman" w:hAnsiTheme="minorHAnsi"/>
      <w:b/>
      <w:bCs/>
      <w:sz w:val="32"/>
      <w:szCs w:val="24"/>
      <w:lang w:eastAsia="en-US"/>
    </w:rPr>
  </w:style>
  <w:style w:type="paragraph" w:customStyle="1" w:styleId="AppendixHeading3">
    <w:name w:val="Appendix Heading 3"/>
    <w:qFormat/>
    <w:pPr>
      <w:keepNext/>
      <w:tabs>
        <w:tab w:val="num" w:pos="1077"/>
      </w:tabs>
      <w:spacing w:before="240"/>
      <w:ind w:left="1077" w:hanging="1077"/>
    </w:pPr>
    <w:rPr>
      <w:rFonts w:eastAsia="Times New Roman"/>
      <w:b/>
      <w:sz w:val="24"/>
      <w:szCs w:val="24"/>
      <w:lang w:val="en-US" w:eastAsia="en-US" w:bidi="en-US"/>
    </w:rPr>
  </w:style>
  <w:style w:type="paragraph" w:customStyle="1" w:styleId="AppendixHeading4">
    <w:name w:val="Appendix Heading 4"/>
    <w:qFormat/>
    <w:pPr>
      <w:keepNext/>
      <w:tabs>
        <w:tab w:val="num" w:pos="1077"/>
      </w:tabs>
      <w:spacing w:after="120"/>
      <w:ind w:left="1077" w:hanging="1077"/>
    </w:pPr>
    <w:rPr>
      <w:rFonts w:ascii="Calibri" w:eastAsia="Times New Roman" w:hAnsi="Calibri"/>
      <w:b/>
      <w:sz w:val="22"/>
      <w:szCs w:val="24"/>
      <w:lang w:val="en-US" w:eastAsia="en-US" w:bidi="en-US"/>
    </w:rPr>
  </w:style>
  <w:style w:type="paragraph" w:customStyle="1" w:styleId="Endmattercontentheading">
    <w:name w:val="Endmatter content heading"/>
    <w:basedOn w:val="Preliminarycontentheading"/>
    <w:qFormat/>
  </w:style>
  <w:style w:type="paragraph" w:styleId="Revision">
    <w:name w:val="Revision"/>
    <w:hidden/>
    <w:uiPriority w:val="99"/>
    <w:semiHidden/>
    <w:rPr>
      <w:sz w:val="22"/>
      <w:szCs w:val="22"/>
      <w:lang w:eastAsia="en-US"/>
    </w:rPr>
  </w:style>
  <w:style w:type="table" w:styleId="TableGrid">
    <w:name w:val="Table Grid"/>
    <w:basedOn w:val="TableNormal"/>
    <w:uiPriority w:val="59"/>
    <w:rsid w:val="00C6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9332">
      <w:bodyDiv w:val="1"/>
      <w:marLeft w:val="0"/>
      <w:marRight w:val="0"/>
      <w:marTop w:val="0"/>
      <w:marBottom w:val="0"/>
      <w:divBdr>
        <w:top w:val="none" w:sz="0" w:space="0" w:color="auto"/>
        <w:left w:val="none" w:sz="0" w:space="0" w:color="auto"/>
        <w:bottom w:val="none" w:sz="0" w:space="0" w:color="auto"/>
        <w:right w:val="none" w:sz="0" w:space="0" w:color="auto"/>
      </w:divBdr>
    </w:div>
    <w:div w:id="14222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QLD003FP01\AQISData$\NAQS\GIS\Pathways\Data\MapData\Information%20Objectives\Roads%20and%20Transport%20hubs\National%20Road%20Net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ACE06-0B5B-49F2-B3CE-5E20024E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Default Word template</vt:lpstr>
    </vt:vector>
  </TitlesOfParts>
  <Company>Department of Agriculture</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subject/>
  <dc:creator>El-Hayek, Joe</dc:creator>
  <cp:keywords/>
  <dc:description/>
  <cp:lastModifiedBy>El-Hayek, Joe</cp:lastModifiedBy>
  <cp:revision>44</cp:revision>
  <cp:lastPrinted>2015-08-14T05:36:00Z</cp:lastPrinted>
  <dcterms:created xsi:type="dcterms:W3CDTF">2018-06-18T05:44:00Z</dcterms:created>
  <dcterms:modified xsi:type="dcterms:W3CDTF">2018-06-19T07:42:00Z</dcterms:modified>
</cp:coreProperties>
</file>