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b/>
          <w:bCs/>
          <w:sz w:val="36"/>
          <w:szCs w:val="36"/>
        </w:rPr>
        <w:t xml:space="preserve">Library Management Portal (BRD_Automation) – Copilot Prompt</w:t>
      </w:r>
    </w:p>
    <w:p>
      <w:pPr>
        <w:pStyle w:val="Heading2"/>
      </w:pPr>
      <w:r>
        <w:rPr>
          <w:rFonts w:ascii="Calibri" w:cs="Calibri" w:eastAsia="Calibri" w:hAnsi="Calibri"/>
          <w:b/>
          <w:bCs/>
          <w:sz w:val="26"/>
          <w:szCs w:val="26"/>
        </w:rPr>
        <w:t xml:space="preserve">Before you paste</w:t>
      </w:r>
    </w:p>
    <w:p>
      <w:pPr>
        <w:spacing w:after="120"/>
      </w:pPr>
      <w:r>
        <w:rPr>
          <w:rFonts w:ascii="Calibri" w:cs="Calibri" w:eastAsia="Calibri" w:hAnsi="Calibri"/>
          <w:sz w:val="22"/>
          <w:szCs w:val="22"/>
        </w:rPr>
        <w:t xml:space="preserve">1. Check the brief: if it says format checks (e.g. numeric Age, digit-only Phone) should be enforced, flip the IMPORTANT paragraph under Validation Rules. Those gaps then become defects.</w:t>
      </w:r>
    </w:p>
    <w:p>
      <w:pPr>
        <w:spacing w:after="120"/>
      </w:pPr>
      <w:r>
        <w:rPr>
          <w:rFonts w:ascii="Calibri" w:cs="Calibri" w:eastAsia="Calibri" w:hAnsi="Calibri"/>
          <w:sz w:val="22"/>
          <w:szCs w:val="22"/>
        </w:rPr>
        <w:t xml:space="preserve">2. Confirm the defect report path the brief asks for (defects/defect_report.json vs. the workspace root) and the test case count (40-45).</w:t>
      </w:r>
    </w:p>
    <w:p>
      <w:pPr>
        <w:spacing w:after="120"/>
      </w:pPr>
      <w:r>
        <w:rPr>
          <w:rFonts w:ascii="Calibri" w:cs="Calibri" w:eastAsia="Calibri" w:hAnsi="Calibri"/>
          <w:sz w:val="22"/>
          <w:szCs w:val="22"/>
        </w:rPr>
        <w:t xml:space="preserve">3. Evaluate plan (3 attempts): ~50% once the analysis file and CSV exist; ~90% after the first full test run; final after defect_report.json is done. Turn each Evaluate's feedback into a short follow-up prompt.</w:t>
      </w:r>
    </w:p>
    <w:p>
      <w:pPr>
        <w:pStyle w:val="Heading2"/>
        <w:spacing w:after="120" w:before="200"/>
      </w:pPr>
      <w:r>
        <w:rPr>
          <w:rFonts w:ascii="Calibri" w:cs="Calibri" w:eastAsia="Calibri" w:hAnsi="Calibri"/>
          <w:b/>
          <w:bCs/>
          <w:sz w:val="26"/>
          <w:szCs w:val="26"/>
        </w:rPr>
        <w:t xml:space="preserve">Prompt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ROLE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Act as a senior QA automation engineer and SDET working inside the current VS Code workspace (project "BRD_Automation"). Create the files in the workspace, compile, run, and refine; do not just print file contents in chat. Address exactly the stated requirements.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WORKSPACE RULES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 inspect the workspace: pom.xml, existing folders, test runner (TestNG or JUnit), and the user stories file. Treat the user stories as the source of truth.</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Do NOT change, rename, delete, or restructure anything provided. No redundant files.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Run everything from the VS Code integrated terminal (e.g. mvn test).</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APPLICATION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Library Management Portal. No login; public pages.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Library Card: https://webapps.tekstac.com/SeleniumApp2/Library/LibraryCard.html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Services: https://webapps.tekstac.com/SeleniumApp2/Library/Services.html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Membership: https://webapps.tekstac.com/SeleniumApp2/Library/MemberShip.html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Tech stack: Selenium + Java, Page Object Model, explicit waits (WebDriverWait), assertions from the existing runner.</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ELEMENT IDs (from my DOM inspection; re-verify each against the live page, and record any correction)</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LIBRARY CARD (form id="GetAlibraryCard"; result div id="idcard", hidden by default)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first, last, age, email (type=email), phone, work_0 (Student), work_1 (Employee), company (Employee path), school (Student path), action (select), amount (read-only), librarycardSubmit</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SERVICES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medium_email, medium_call, medium_chat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Email path: fromEmail, toEmail (fixed/read-only), queryemail</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Chat path: chatname, yourphone, libraryphone, querychat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Submit: QuerySubmit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Call path: inspect and record what is displayed (no submit expected)</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MEMBERSHIP (form is gated behind drag-and-drop verification)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Gold, Platinum, libcardNumberGold, libcardNumberPtm, memberSubmit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Amount: id=memberGoldAmount appears to be used for BOTH tiers. Verify by counting elements with that id. Locate the Platinum amount by position/parent, not By.id alone.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Drag source (book image) and drop zone: find their IDs/selectors by inspection.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USER STORIES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Module 1 Library Card (US-01 to US-12): US-01 First Name, US-02 Last Name, US-03 Age, US-04 Email, US-05 Phone, US-06 Role selection shows School or Company, US-07 School (Student), US-08 Company (Employee), US-09 Card Action (Apply New / Renewal Old), US-10 Amount auto-fills (Apply=100, Renewal=50), read-only, US-11 Required field validation, US-12 Successful generation hides form and shows ID card with name, age, email, phone, role and Date Valid range (issue date to one year later).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Module 2 Services (US-13 to US-22): US-13 Medium selection, US-14 Call shows phone details only with no submit, US-15 Email From address (To fixed), US-16 Email query, US-17 Email submit shows "Mail Sent Successfully", US-18 Chat name, US-19 Chat phone, US-20 Chat query, US-21 Chat submit shows "Message Sent Successfully", US-22 Empty Email/Chat query cannot be sent.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Module 3 Membership (US-23 to US-28): US-23 Drag-and-drop verification reveals form, US-24 Tier selection, US-25 Tier amount read-only (Gold=Rs.5000, Platinum=Rs.25000), US-26 Card number entry, US-27 Cannot submit without card number, US-28 Successful submission shows "Membership Added".</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VALIDATION RULES (specified behaviour)</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First/Last Name: non-empty only; no format/trim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Age: non-empty; NOT numeric-validated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Email: non-empty; type=email browser-level check only (read it via JS validationMessage/checkValidity)</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Phone: non-empty; NOT digit-only or length-validated</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Amount fields: read-only everywhere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Membership Card Number: non-empty; no format/length/checksum validation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Services From email: non-empty; no format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Services phone fields: non-empty; no digit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IMPORTANT: Because these format checks are NOT part of the spec, the app accepting non-numeric age, alphabetic phone, symbol-only card numbers, etc. is expected behaviour. Test these as format-gap cases, assert the specified behaviour, and do NOT report them as defects. Defects are only deviations from the spec: required fields not enforced, wrong or missing follow-up field, wrong auto-filled amount, amount editable, wrong ID card content or Date Valid range, wrong success message, verification gate bypassable, duplicate IDs, etc.</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1: INSPECT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Open each page. Verify every ID above, find the missing ones (drag source, drop zone, Call path), record field types, defaults, dropdown options and messages. Submit empty and invalid data and record what actually happens.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2-3: ANALYSIS FILE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Application Analysis &amp; Requirements.txt: overview, page URLs, element ID map (with corrections), acceptance criteria for US-01 to US-28, validation rules including what is NOT validated, observed behaviour, and discrepancies (including the duplicate-id observation once verified).</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4: TEST CASES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Create testcases.csv with 40-45 test cases covering every US-01 to US-28.</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Columns exactly: TC_ID, Module, User_Story_ID, Test_Scenario, Test_Type, Priority, Precondition, Test_Steps, Test_Data, Expected_Result, Actual_Result, Status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Distribution: 60-70% negative/validation and format-gap (Critical/High); boundary Medium; positive Low. Include non-numeric Age, negative Age, alphabetic Phone, email without TLD, symbol-only card number, and verification-gate bypass attempt. Fill Actual_Result and Status after execution.</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5: AUTOMATION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Base test class with WebDriver setup/teardown and explicit waits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Page objects: LibraryCardPage, ServicesPage, MembershipPage, using the verified IDs only (no generic selectors)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Reusable drag-and-drop helper: try Actions.dragAndDrop first; if the form does not appear, fall back to a JavaScript HTML5 DataTransfer drag/drop simulation</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- 30 test methods with meaningful assertions (about 12 Library Card, 10 Services, 8 Membership), prioritising Critical/High validations</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6: RUN AND REFINE</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Run the suite from the terminal. For each failure, classify it: locator, timing, drag-and-drop, wrong assertion, or genuine application defect. Fix automation issues and re-run. Change an assertion only if the spec above proves it wrong. Never weaken a valid assertion to make a test pass. Re-run the full suite at the end and keep the report (surefire/TestNG) as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STEP 7: DEFECT REPORT</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After the final run, create defects/defect_report.json with at least 5 validation defects taken only from actual execution. Never invent defects; if fewer than 5 are found, run more negative/boundary tests.</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Keys: defect_id, module, user_story, test_case_id, entered_data, observed_behavior, expected_result, severity, priority, evidence.</w:t>
      </w:r>
    </w:p>
    <w:p>
      <w:pPr>
        <w:pBdr>
          <w:left w:val="single" w:color="BFBFBF" w:sz="4" w:space="4"/>
          <w:right w:val="single" w:color="BFBFBF" w:sz="4" w:space="4"/>
        </w:pBdr>
        <w:shd w:fill="F5F5F5" w:color="auto" w:val="clear"/>
        <w:spacing w:after="80"/>
      </w:pPr>
      <w:r>
        <w:rPr>
          <w:rFonts w:ascii="Consolas" w:cs="Consolas" w:eastAsia="Consolas" w:hAnsi="Consolas"/>
          <w:b w:val="false"/>
          <w:bCs w:val="false"/>
          <w:sz w:val="19"/>
          <w:szCs w:val="19"/>
        </w:rPr>
        <w:t xml:space="preserve"> </w:t>
      </w:r>
    </w:p>
    <w:p>
      <w:pPr>
        <w:pBdr>
          <w:left w:val="single" w:color="BFBFBF" w:sz="4" w:space="4"/>
          <w:right w:val="single" w:color="BFBFBF" w:sz="4" w:space="4"/>
        </w:pBdr>
        <w:shd w:fill="F5F5F5" w:color="auto" w:val="clear"/>
        <w:spacing w:after="40"/>
      </w:pPr>
      <w:r>
        <w:rPr>
          <w:rFonts w:ascii="Consolas" w:cs="Consolas" w:eastAsia="Consolas" w:hAnsi="Consolas"/>
          <w:b/>
          <w:bCs/>
          <w:sz w:val="19"/>
          <w:szCs w:val="19"/>
        </w:rPr>
        <w:t xml:space="preserve">FINAL CHECK</w:t>
      </w:r>
    </w:p>
    <w:p>
      <w:pPr>
        <w:pBdr>
          <w:left w:val="single" w:color="BFBFBF" w:sz="4" w:space="4"/>
          <w:right w:val="single" w:color="BFBFBF" w:sz="4" w:space="4"/>
        </w:pBdr>
        <w:shd w:fill="F5F5F5" w:color="auto" w:val="clear"/>
        <w:spacing w:after="40"/>
      </w:pPr>
      <w:r>
        <w:rPr>
          <w:rFonts w:ascii="Consolas" w:cs="Consolas" w:eastAsia="Consolas" w:hAnsi="Consolas"/>
          <w:b w:val="false"/>
          <w:bCs w:val="false"/>
          <w:sz w:val="19"/>
          <w:szCs w:val="19"/>
        </w:rPr>
        <w:t xml:space="preserve">Analysis file, testcases.csv (40-45, all 28 stories, required columns, 60-70% negative), 3 page objects + drag-and-drop helper, 30 tests run, defect_report.json with 5+ real defects, workspace structure unchanged, all files saved.</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2026-10-20T14:43:19.834Z</dcterms:created>
  <dcterms:modified xsi:type="dcterms:W3CDTF">2026-10-20T14:43:19.846Z</dcterms:modified>
</cp:coreProperties>
</file>

<file path=docProps/custom.xml><?xml version="1.0" encoding="utf-8"?>
<Properties xmlns="http://schemas.openxmlformats.org/officeDocument/2006/custom-properties" xmlns:vt="http://schemas.openxmlformats.org/officeDocument/2006/docPropsVTypes"/>
</file>