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77D" w14:textId="19C22520" w:rsidR="0094531A" w:rsidRDefault="00905985" w:rsidP="00573796">
      <w:pPr>
        <w:pStyle w:val="CoverPage"/>
      </w:pPr>
      <w:r>
        <w:drawing>
          <wp:anchor distT="0" distB="0" distL="114300" distR="114300" simplePos="0" relativeHeight="251673600" behindDoc="1" locked="1" layoutInCell="1" allowOverlap="1" wp14:anchorId="13E53D56" wp14:editId="62D389F4">
            <wp:simplePos x="0" y="0"/>
            <wp:positionH relativeFrom="page">
              <wp:align>left</wp:align>
            </wp:positionH>
            <wp:positionV relativeFrom="page">
              <wp:posOffset>-380365</wp:posOffset>
            </wp:positionV>
            <wp:extent cx="7795260" cy="8362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lea13:Desktop:RNA Word Doc:art:TemplateCover.jpg"/>
                    <pic:cNvPicPr>
                      <a:picLocks noChangeAspect="1" noChangeArrowheads="1"/>
                    </pic:cNvPicPr>
                  </pic:nvPicPr>
                  <pic:blipFill>
                    <a:blip r:embed="rId8"/>
                    <a:stretch>
                      <a:fillRect/>
                    </a:stretch>
                  </pic:blipFill>
                  <pic:spPr bwMode="auto">
                    <a:xfrm>
                      <a:off x="0" y="0"/>
                      <a:ext cx="7795260" cy="836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590B4C" w14:textId="77777777" w:rsidR="0094531A" w:rsidRDefault="0094531A" w:rsidP="00573796">
      <w:pPr>
        <w:pStyle w:val="CoverPage"/>
      </w:pPr>
    </w:p>
    <w:p w14:paraId="01134A3D" w14:textId="77777777" w:rsidR="0094531A" w:rsidRDefault="0094531A" w:rsidP="00573796">
      <w:pPr>
        <w:pStyle w:val="CoverPage"/>
      </w:pPr>
    </w:p>
    <w:p w14:paraId="5C13C1A7" w14:textId="77777777" w:rsidR="0094531A" w:rsidRDefault="0094531A" w:rsidP="00573796">
      <w:pPr>
        <w:pStyle w:val="CoverPage"/>
      </w:pPr>
    </w:p>
    <w:p w14:paraId="7CF9060C" w14:textId="1D54DCF9" w:rsidR="0094531A" w:rsidRDefault="0094531A" w:rsidP="00573796">
      <w:pPr>
        <w:pStyle w:val="CoverPage"/>
      </w:pPr>
    </w:p>
    <w:p w14:paraId="7869F29E" w14:textId="77777777" w:rsidR="0094531A" w:rsidRDefault="0094531A" w:rsidP="00573796">
      <w:pPr>
        <w:pStyle w:val="CoverPage"/>
      </w:pPr>
    </w:p>
    <w:p w14:paraId="138D85C5" w14:textId="77777777" w:rsidR="0094531A" w:rsidRDefault="0094531A" w:rsidP="00573796">
      <w:pPr>
        <w:pStyle w:val="CoverPage"/>
      </w:pPr>
    </w:p>
    <w:p w14:paraId="37519F79" w14:textId="77777777" w:rsidR="0094531A" w:rsidRDefault="0094531A" w:rsidP="00573796">
      <w:pPr>
        <w:pStyle w:val="CoverPage"/>
      </w:pPr>
    </w:p>
    <w:p w14:paraId="768A3257" w14:textId="3DA2691D" w:rsidR="00573796" w:rsidRPr="0094531A" w:rsidRDefault="00D52BB6" w:rsidP="0094531A">
      <w:pPr>
        <w:pStyle w:val="CoverPage"/>
        <w:spacing w:before="200"/>
        <w:rPr>
          <w:color w:val="DE9C2F" w:themeColor="accent4"/>
          <w:sz w:val="64"/>
          <w:szCs w:val="64"/>
        </w:rPr>
      </w:pPr>
      <w:r w:rsidRPr="00A71F2E">
        <w:rPr>
          <w:rFonts w:ascii="Georgia" w:hAnsi="Georgia"/>
          <w:color w:val="DE9C2F" w:themeColor="accent4"/>
          <w:sz w:val="64"/>
          <w:szCs w:val="64"/>
        </w:rPr>
        <w:t>Medikine</w:t>
      </w:r>
      <w:r w:rsidR="00573796" w:rsidRPr="00A71F2E">
        <w:rPr>
          <w:rFonts w:ascii="Georgia" w:hAnsi="Georgia"/>
          <w:color w:val="DE9C2F" w:themeColor="accent4"/>
          <w:sz w:val="64"/>
          <w:szCs w:val="64"/>
        </w:rPr>
        <w:t>, Inc.</w:t>
      </w:r>
    </w:p>
    <w:p w14:paraId="2EBA2DF7" w14:textId="194F1CD5" w:rsidR="00573796" w:rsidRPr="005203C8" w:rsidRDefault="0094531A" w:rsidP="00573796">
      <w:pPr>
        <w:pStyle w:val="CoverPage"/>
      </w:pPr>
      <w:r>
        <mc:AlternateContent>
          <mc:Choice Requires="wps">
            <w:drawing>
              <wp:anchor distT="0" distB="0" distL="114300" distR="114300" simplePos="0" relativeHeight="251660800" behindDoc="0" locked="0" layoutInCell="1" allowOverlap="1" wp14:anchorId="0B11D858" wp14:editId="23752AC3">
                <wp:simplePos x="0" y="0"/>
                <wp:positionH relativeFrom="column">
                  <wp:posOffset>2807335</wp:posOffset>
                </wp:positionH>
                <wp:positionV relativeFrom="paragraph">
                  <wp:posOffset>181903</wp:posOffset>
                </wp:positionV>
                <wp:extent cx="1078523" cy="0"/>
                <wp:effectExtent l="0" t="0" r="13970" b="25400"/>
                <wp:wrapNone/>
                <wp:docPr id="13" name="Straight Connector 13"/>
                <wp:cNvGraphicFramePr/>
                <a:graphic xmlns:a="http://schemas.openxmlformats.org/drawingml/2006/main">
                  <a:graphicData uri="http://schemas.microsoft.com/office/word/2010/wordprocessingShape">
                    <wps:wsp>
                      <wps:cNvCnPr/>
                      <wps:spPr>
                        <a:xfrm>
                          <a:off x="0" y="0"/>
                          <a:ext cx="1078523" cy="0"/>
                        </a:xfrm>
                        <a:prstGeom prst="line">
                          <a:avLst/>
                        </a:prstGeom>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4153E63" id="Straight Connector 13"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05pt,14.3pt" to="305.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" strokecolor="white [3212]" strokeweight="1pt"/>
            </w:pict>
          </mc:Fallback>
        </mc:AlternateContent>
      </w:r>
    </w:p>
    <w:p w14:paraId="37822809" w14:textId="2F8A8203" w:rsidR="00573796" w:rsidRPr="00565DEF" w:rsidRDefault="0094531A" w:rsidP="00573796">
      <w:pPr>
        <w:pStyle w:val="CoverPage"/>
        <w:rPr>
          <w:rFonts w:ascii="Georgia" w:hAnsi="Georgia" w:cs="Arial"/>
          <w:color w:val="FFFFFF" w:themeColor="background1"/>
          <w:spacing w:val="20"/>
          <w:sz w:val="40"/>
          <w:szCs w:val="40"/>
        </w:rPr>
      </w:pPr>
      <w:r w:rsidRPr="00565DEF">
        <w:rPr>
          <w:rFonts w:ascii="Georgia" w:hAnsi="Georgia" w:cs="Arial"/>
          <w:color w:val="FFFFFF" w:themeColor="background1"/>
          <w:spacing w:val="20"/>
          <w:sz w:val="40"/>
          <w:szCs w:val="40"/>
        </w:rPr>
        <w:t>COMMON STOCK VALUATION</w:t>
      </w:r>
    </w:p>
    <w:p w14:paraId="1746A9CE" w14:textId="69780D1A" w:rsidR="00573796" w:rsidRPr="00565DEF" w:rsidRDefault="0094531A" w:rsidP="00573796">
      <w:pPr>
        <w:pStyle w:val="CoverPage"/>
        <w:rPr>
          <w:rFonts w:ascii="Georgia" w:hAnsi="Georgia" w:cs="Arial"/>
          <w:color w:val="FFFFFF" w:themeColor="background1"/>
          <w:spacing w:val="20"/>
          <w:sz w:val="40"/>
          <w:szCs w:val="40"/>
        </w:rPr>
      </w:pPr>
      <w:r w:rsidRPr="00565DEF">
        <w:rPr>
          <w:rFonts w:ascii="Georgia" w:hAnsi="Georgia" w:cs="Arial"/>
          <w:color w:val="FFFFFF" w:themeColor="background1"/>
          <w:spacing w:val="20"/>
          <w:sz w:val="40"/>
          <w:szCs w:val="40"/>
        </w:rPr>
        <w:t xml:space="preserve">AS OF </w:t>
      </w:r>
      <w:r w:rsidR="00D52BB6">
        <w:rPr>
          <w:rFonts w:ascii="Georgia" w:hAnsi="Georgia" w:cs="Arial"/>
          <w:color w:val="FFFFFF" w:themeColor="background1"/>
          <w:spacing w:val="20"/>
          <w:sz w:val="40"/>
          <w:szCs w:val="40"/>
        </w:rPr>
        <w:t>JANUARY 31, 2019</w:t>
      </w:r>
    </w:p>
    <w:p w14:paraId="50043E69" w14:textId="7E90071E" w:rsidR="00573796" w:rsidRPr="0094531A" w:rsidRDefault="0094531A" w:rsidP="0094531A">
      <w:pPr>
        <w:pStyle w:val="CoverPage"/>
        <w:rPr>
          <w:rFonts w:ascii="Georgia" w:hAnsi="Georgia"/>
          <w:i/>
          <w:color w:val="FFFFFF" w:themeColor="background1"/>
          <w:sz w:val="32"/>
          <w:szCs w:val="32"/>
        </w:rPr>
      </w:pPr>
      <w:r>
        <w:br/>
      </w:r>
      <w:r w:rsidR="00573796" w:rsidRPr="0094531A">
        <w:rPr>
          <w:rFonts w:ascii="Georgia" w:hAnsi="Georgia"/>
          <w:i/>
          <w:color w:val="FFFFFF" w:themeColor="background1"/>
          <w:sz w:val="32"/>
          <w:szCs w:val="32"/>
        </w:rPr>
        <w:t xml:space="preserve">Report Date: </w:t>
      </w:r>
      <w:r w:rsidR="00573796" w:rsidRPr="0094531A">
        <w:rPr>
          <w:rFonts w:ascii="Georgia" w:hAnsi="Georgia"/>
          <w:i/>
          <w:color w:val="FFFFFF" w:themeColor="background1"/>
          <w:sz w:val="32"/>
          <w:szCs w:val="32"/>
        </w:rPr>
        <w:fldChar w:fldCharType="begin"/>
      </w:r>
      <w:r w:rsidR="00573796" w:rsidRPr="0094531A">
        <w:rPr>
          <w:rFonts w:ascii="Georgia" w:hAnsi="Georgia"/>
          <w:i/>
          <w:color w:val="FFFFFF" w:themeColor="background1"/>
          <w:sz w:val="32"/>
          <w:szCs w:val="32"/>
        </w:rPr>
        <w:instrText xml:space="preserve"> DATE \@ "MMMM d, yyyy" </w:instrText>
      </w:r>
      <w:r w:rsidR="00573796" w:rsidRPr="0094531A">
        <w:rPr>
          <w:rFonts w:ascii="Georgia" w:hAnsi="Georgia"/>
          <w:i/>
          <w:color w:val="FFFFFF" w:themeColor="background1"/>
          <w:sz w:val="32"/>
          <w:szCs w:val="32"/>
        </w:rPr>
        <w:fldChar w:fldCharType="separate"/>
      </w:r>
      <w:r w:rsidR="00910E12">
        <w:rPr>
          <w:rFonts w:ascii="Georgia" w:hAnsi="Georgia"/>
          <w:i/>
          <w:color w:val="FFFFFF" w:themeColor="background1"/>
          <w:sz w:val="32"/>
          <w:szCs w:val="32"/>
        </w:rPr>
        <w:t>April 15, 2019</w:t>
      </w:r>
      <w:r w:rsidR="00573796" w:rsidRPr="0094531A">
        <w:rPr>
          <w:rFonts w:ascii="Georgia" w:hAnsi="Georgia"/>
          <w:i/>
          <w:color w:val="FFFFFF" w:themeColor="background1"/>
          <w:sz w:val="32"/>
          <w:szCs w:val="32"/>
        </w:rPr>
        <w:fldChar w:fldCharType="end"/>
      </w:r>
    </w:p>
    <w:p w14:paraId="4DDB1431" w14:textId="77777777" w:rsidR="00573796" w:rsidRDefault="00573796" w:rsidP="00573796">
      <w:pPr>
        <w:pStyle w:val="CoverPage"/>
      </w:pPr>
    </w:p>
    <w:p w14:paraId="68A271AB" w14:textId="4ABC6D39" w:rsidR="00573796" w:rsidRDefault="00573796" w:rsidP="00573796">
      <w:pPr>
        <w:pStyle w:val="CoverPage"/>
      </w:pPr>
    </w:p>
    <w:p w14:paraId="3B739FCE" w14:textId="5C24C9DA" w:rsidR="00A67CB0" w:rsidRDefault="00A67CB0" w:rsidP="00565DEF">
      <w:pPr>
        <w:spacing w:line="240" w:lineRule="auto"/>
        <w:jc w:val="left"/>
        <w:rPr>
          <w:rFonts w:ascii="Imprint MT Shadow" w:hAnsi="Imprint MT Shadow"/>
          <w:color w:val="2F75B5"/>
        </w:rPr>
      </w:pPr>
    </w:p>
    <w:p w14:paraId="1F16B4F7" w14:textId="744367C0" w:rsidR="00A67CB0" w:rsidRDefault="00D52BB6" w:rsidP="00565DEF">
      <w:pPr>
        <w:spacing w:line="240" w:lineRule="auto"/>
        <w:jc w:val="left"/>
        <w:rPr>
          <w:rFonts w:ascii="Imprint MT Shadow" w:hAnsi="Imprint MT Shadow"/>
          <w:color w:val="2F75B5"/>
        </w:rPr>
      </w:pPr>
      <w:r>
        <w:rPr>
          <w:noProof/>
        </w:rPr>
        <w:drawing>
          <wp:anchor distT="0" distB="0" distL="114300" distR="114300" simplePos="0" relativeHeight="251676672" behindDoc="1" locked="0" layoutInCell="1" allowOverlap="1" wp14:anchorId="4A273CFA" wp14:editId="3313C237">
            <wp:simplePos x="0" y="0"/>
            <wp:positionH relativeFrom="column">
              <wp:posOffset>15713</wp:posOffset>
            </wp:positionH>
            <wp:positionV relativeFrom="paragraph">
              <wp:posOffset>66675</wp:posOffset>
            </wp:positionV>
            <wp:extent cx="2578735" cy="579120"/>
            <wp:effectExtent l="0" t="0" r="0" b="0"/>
            <wp:wrapTight wrapText="bothSides">
              <wp:wrapPolygon edited="0">
                <wp:start x="0" y="0"/>
                <wp:lineTo x="0" y="20605"/>
                <wp:lineTo x="21382" y="20605"/>
                <wp:lineTo x="2138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735" cy="579120"/>
                    </a:xfrm>
                    <a:prstGeom prst="rect">
                      <a:avLst/>
                    </a:prstGeom>
                    <a:noFill/>
                  </pic:spPr>
                </pic:pic>
              </a:graphicData>
            </a:graphic>
            <wp14:sizeRelH relativeFrom="page">
              <wp14:pctWidth>0</wp14:pctWidth>
            </wp14:sizeRelH>
            <wp14:sizeRelV relativeFrom="page">
              <wp14:pctHeight>0</wp14:pctHeight>
            </wp14:sizeRelV>
          </wp:anchor>
        </w:drawing>
      </w:r>
    </w:p>
    <w:p w14:paraId="4529380E" w14:textId="069EFF79" w:rsidR="00A67CB0" w:rsidRDefault="00A67CB0" w:rsidP="00565DEF">
      <w:pPr>
        <w:spacing w:line="240" w:lineRule="auto"/>
        <w:jc w:val="left"/>
        <w:rPr>
          <w:rFonts w:ascii="Imprint MT Shadow" w:hAnsi="Imprint MT Shadow"/>
          <w:color w:val="2F75B5"/>
        </w:rPr>
      </w:pPr>
    </w:p>
    <w:p w14:paraId="59584022" w14:textId="77777777" w:rsidR="00A67CB0" w:rsidRDefault="00A67CB0" w:rsidP="00565DEF">
      <w:pPr>
        <w:spacing w:line="240" w:lineRule="auto"/>
        <w:jc w:val="left"/>
        <w:rPr>
          <w:rFonts w:ascii="Imprint MT Shadow" w:hAnsi="Imprint MT Shadow"/>
          <w:color w:val="2F75B5"/>
        </w:rPr>
      </w:pPr>
    </w:p>
    <w:p w14:paraId="29A14A65" w14:textId="77777777" w:rsidR="00A67CB0" w:rsidRDefault="00A67CB0" w:rsidP="00565DEF">
      <w:pPr>
        <w:spacing w:line="240" w:lineRule="auto"/>
        <w:jc w:val="left"/>
        <w:rPr>
          <w:rFonts w:ascii="Imprint MT Shadow" w:hAnsi="Imprint MT Shadow"/>
          <w:color w:val="2F75B5"/>
        </w:rPr>
      </w:pPr>
    </w:p>
    <w:p w14:paraId="7739DEAA" w14:textId="77777777" w:rsidR="00A67CB0" w:rsidRDefault="00A67CB0" w:rsidP="00565DEF">
      <w:pPr>
        <w:spacing w:line="240" w:lineRule="auto"/>
        <w:jc w:val="left"/>
        <w:rPr>
          <w:rFonts w:ascii="Imprint MT Shadow" w:hAnsi="Imprint MT Shadow"/>
          <w:color w:val="2F75B5"/>
        </w:rPr>
      </w:pPr>
    </w:p>
    <w:p w14:paraId="0220206A" w14:textId="77777777" w:rsidR="00A67CB0" w:rsidRDefault="00A67CB0" w:rsidP="00565DEF">
      <w:pPr>
        <w:spacing w:line="240" w:lineRule="auto"/>
        <w:jc w:val="left"/>
        <w:rPr>
          <w:rFonts w:ascii="Imprint MT Shadow" w:hAnsi="Imprint MT Shadow"/>
          <w:color w:val="2F75B5"/>
        </w:rPr>
      </w:pPr>
    </w:p>
    <w:p w14:paraId="25883157" w14:textId="77777777" w:rsidR="00A67CB0" w:rsidRDefault="00A67CB0" w:rsidP="00565DEF">
      <w:pPr>
        <w:spacing w:line="240" w:lineRule="auto"/>
        <w:jc w:val="left"/>
        <w:rPr>
          <w:rFonts w:ascii="Imprint MT Shadow" w:hAnsi="Imprint MT Shadow"/>
          <w:color w:val="2F75B5"/>
        </w:rPr>
      </w:pPr>
    </w:p>
    <w:p w14:paraId="74D99E3D" w14:textId="77777777" w:rsidR="00A67CB0" w:rsidRDefault="00A67CB0" w:rsidP="00565DEF">
      <w:pPr>
        <w:spacing w:line="240" w:lineRule="auto"/>
        <w:jc w:val="left"/>
        <w:rPr>
          <w:rFonts w:ascii="Imprint MT Shadow" w:hAnsi="Imprint MT Shadow"/>
          <w:color w:val="2F75B5"/>
        </w:rPr>
      </w:pPr>
    </w:p>
    <w:p w14:paraId="38EBACE3" w14:textId="5E7A4403" w:rsidR="00573796" w:rsidRPr="007C77D3" w:rsidRDefault="00573796" w:rsidP="00565DEF">
      <w:pPr>
        <w:spacing w:line="240" w:lineRule="auto"/>
        <w:jc w:val="left"/>
        <w:rPr>
          <w:rStyle w:val="SubtleEmphasis"/>
          <w:rFonts w:ascii="Arial" w:hAnsi="Arial" w:cs="Arial"/>
          <w:color w:val="7F7F7F" w:themeColor="text1" w:themeTint="80"/>
        </w:rPr>
      </w:pPr>
      <w:r w:rsidRPr="00565DEF">
        <w:rPr>
          <w:rStyle w:val="SubtleEmphasis"/>
          <w:rFonts w:ascii="Georgia" w:hAnsi="Georgia" w:cs="Arial"/>
          <w:color w:val="7F7F7F" w:themeColor="text1" w:themeTint="80"/>
        </w:rPr>
        <w:t xml:space="preserve">The information contained in this Report is confidential in nature and is intended for the exclusive use </w:t>
      </w:r>
      <w:r w:rsidRPr="00565DEF">
        <w:rPr>
          <w:rStyle w:val="SubtleEmphasis"/>
          <w:rFonts w:ascii="Georgia" w:hAnsi="Georgia" w:cs="Arial"/>
          <w:color w:val="7F7F7F" w:themeColor="text1" w:themeTint="80"/>
        </w:rPr>
        <w:br/>
        <w:t>of the addressee. Any reproduction, publication or dissemination of any portion of this Report without the express written consent of RNA Capital Advisors is forbidden.</w:t>
      </w:r>
    </w:p>
    <w:p w14:paraId="34D2D6EE" w14:textId="356CD81A" w:rsidR="00573796" w:rsidRPr="00A71F2E" w:rsidRDefault="00573796" w:rsidP="00565DEF">
      <w:pPr>
        <w:pStyle w:val="ListParagraph"/>
        <w:ind w:left="0"/>
        <w:rPr>
          <w:rFonts w:ascii="Georgia" w:hAnsi="Georgia"/>
          <w:color w:val="595959" w:themeColor="text1" w:themeTint="A6"/>
        </w:rPr>
      </w:pPr>
      <w:r w:rsidRPr="00A71F2E">
        <w:rPr>
          <w:rFonts w:ascii="Georgia" w:hAnsi="Georgia"/>
          <w:color w:val="595959" w:themeColor="text1" w:themeTint="A6"/>
        </w:rPr>
        <w:lastRenderedPageBreak/>
        <w:fldChar w:fldCharType="begin"/>
      </w:r>
      <w:r w:rsidRPr="00A71F2E">
        <w:rPr>
          <w:rFonts w:ascii="Georgia" w:hAnsi="Georgia"/>
          <w:color w:val="595959" w:themeColor="text1" w:themeTint="A6"/>
        </w:rPr>
        <w:instrText xml:space="preserve"> DATE \@ "MMMM d, yyyy" </w:instrText>
      </w:r>
      <w:r w:rsidRPr="00A71F2E">
        <w:rPr>
          <w:rFonts w:ascii="Georgia" w:hAnsi="Georgia"/>
          <w:color w:val="595959" w:themeColor="text1" w:themeTint="A6"/>
        </w:rPr>
        <w:fldChar w:fldCharType="separate"/>
      </w:r>
      <w:r w:rsidR="00910E12">
        <w:rPr>
          <w:rFonts w:ascii="Georgia" w:hAnsi="Georgia"/>
          <w:noProof/>
          <w:color w:val="595959" w:themeColor="text1" w:themeTint="A6"/>
        </w:rPr>
        <w:t>April 15, 2019</w:t>
      </w:r>
      <w:r w:rsidRPr="00A71F2E">
        <w:rPr>
          <w:rFonts w:ascii="Georgia" w:hAnsi="Georgia"/>
          <w:color w:val="595959" w:themeColor="text1" w:themeTint="A6"/>
        </w:rPr>
        <w:fldChar w:fldCharType="end"/>
      </w:r>
    </w:p>
    <w:p w14:paraId="49CCC479" w14:textId="77777777" w:rsidR="005976E1" w:rsidRPr="00573796" w:rsidRDefault="005976E1" w:rsidP="00573796">
      <w:pPr>
        <w:rPr>
          <w:color w:val="7F7F7F" w:themeColor="text1" w:themeTint="80"/>
        </w:rPr>
      </w:pPr>
    </w:p>
    <w:p w14:paraId="23F1C896" w14:textId="096B2F4A" w:rsidR="00D52BB6" w:rsidRPr="00A71F2E" w:rsidRDefault="00D52BB6" w:rsidP="00D52BB6">
      <w:pPr>
        <w:rPr>
          <w:rFonts w:ascii="Georgia" w:hAnsi="Georgia"/>
          <w:color w:val="595959" w:themeColor="text1" w:themeTint="A6"/>
        </w:rPr>
      </w:pPr>
      <w:r w:rsidRPr="00A71F2E">
        <w:rPr>
          <w:rFonts w:ascii="Georgia" w:hAnsi="Georgia"/>
          <w:color w:val="595959" w:themeColor="text1" w:themeTint="A6"/>
        </w:rPr>
        <w:t>Ronald W. Barrett</w:t>
      </w:r>
      <w:r w:rsidR="00555B83">
        <w:rPr>
          <w:rFonts w:ascii="Georgia" w:hAnsi="Georgia"/>
          <w:color w:val="595959" w:themeColor="text1" w:themeTint="A6"/>
        </w:rPr>
        <w:t>, Ph.D.</w:t>
      </w:r>
    </w:p>
    <w:p w14:paraId="0DA8E555" w14:textId="7001DD5B" w:rsidR="00D52BB6" w:rsidRPr="00A71F2E" w:rsidRDefault="00555B83" w:rsidP="00D52BB6">
      <w:pPr>
        <w:rPr>
          <w:rFonts w:ascii="Georgia" w:hAnsi="Georgia"/>
          <w:color w:val="595959" w:themeColor="text1" w:themeTint="A6"/>
        </w:rPr>
      </w:pPr>
      <w:r>
        <w:rPr>
          <w:rFonts w:ascii="Georgia" w:hAnsi="Georgia"/>
          <w:color w:val="595959" w:themeColor="text1" w:themeTint="A6"/>
        </w:rPr>
        <w:t>Chief Executive Officer</w:t>
      </w:r>
    </w:p>
    <w:p w14:paraId="7FC7702D" w14:textId="77777777" w:rsidR="00D52BB6" w:rsidRPr="00951B5C" w:rsidRDefault="00D52BB6" w:rsidP="00D52BB6">
      <w:pPr>
        <w:rPr>
          <w:rFonts w:ascii="Georgia" w:hAnsi="Georgia"/>
          <w:color w:val="595959" w:themeColor="text1" w:themeTint="A6"/>
        </w:rPr>
      </w:pPr>
      <w:r w:rsidRPr="00951B5C">
        <w:rPr>
          <w:rFonts w:ascii="Georgia" w:hAnsi="Georgia"/>
          <w:color w:val="595959" w:themeColor="text1" w:themeTint="A6"/>
        </w:rPr>
        <w:t>Medikine, Inc.</w:t>
      </w:r>
    </w:p>
    <w:p w14:paraId="21276303" w14:textId="77777777" w:rsidR="00D52BB6" w:rsidRPr="00A71F2E" w:rsidRDefault="00D52BB6" w:rsidP="00D52BB6">
      <w:pPr>
        <w:rPr>
          <w:rFonts w:ascii="Georgia" w:hAnsi="Georgia"/>
          <w:color w:val="595959" w:themeColor="text1" w:themeTint="A6"/>
        </w:rPr>
      </w:pPr>
      <w:r w:rsidRPr="00A71F2E">
        <w:rPr>
          <w:rFonts w:ascii="Georgia" w:hAnsi="Georgia"/>
          <w:color w:val="595959" w:themeColor="text1" w:themeTint="A6"/>
        </w:rPr>
        <w:t>1455 Adams Drive</w:t>
      </w:r>
    </w:p>
    <w:p w14:paraId="7F0E3CE2" w14:textId="77777777" w:rsidR="00D52BB6" w:rsidRPr="00A71F2E" w:rsidRDefault="00D52BB6" w:rsidP="00D52BB6">
      <w:pPr>
        <w:rPr>
          <w:rFonts w:ascii="Georgia" w:hAnsi="Georgia"/>
          <w:color w:val="595959" w:themeColor="text1" w:themeTint="A6"/>
        </w:rPr>
      </w:pPr>
      <w:r w:rsidRPr="00A71F2E">
        <w:rPr>
          <w:rFonts w:ascii="Georgia" w:hAnsi="Georgia"/>
          <w:color w:val="595959" w:themeColor="text1" w:themeTint="A6"/>
        </w:rPr>
        <w:t>Menlo Park, CA 94025</w:t>
      </w:r>
    </w:p>
    <w:p w14:paraId="60429F4A" w14:textId="77777777" w:rsidR="00D52BB6" w:rsidRPr="00A71F2E" w:rsidRDefault="00D52BB6" w:rsidP="00D52BB6">
      <w:pPr>
        <w:rPr>
          <w:rFonts w:ascii="Georgia" w:hAnsi="Georgia"/>
        </w:rPr>
      </w:pPr>
    </w:p>
    <w:p w14:paraId="0523A1F0" w14:textId="0AA94738" w:rsidR="00573796" w:rsidRDefault="00D52BB6" w:rsidP="00573796">
      <w:pPr>
        <w:rPr>
          <w:rFonts w:ascii="Georgia" w:hAnsi="Georgia"/>
          <w:color w:val="595959" w:themeColor="text1" w:themeTint="A6"/>
        </w:rPr>
      </w:pPr>
      <w:r w:rsidRPr="00951B5C">
        <w:rPr>
          <w:rFonts w:ascii="Georgia" w:hAnsi="Georgia"/>
          <w:color w:val="595959" w:themeColor="text1" w:themeTint="A6"/>
        </w:rPr>
        <w:t>Dear Dr. Barrett:</w:t>
      </w:r>
    </w:p>
    <w:p w14:paraId="6FA8F1FB" w14:textId="77777777" w:rsidR="00555B83" w:rsidRPr="00A71F2E" w:rsidRDefault="00555B83" w:rsidP="00573796">
      <w:pPr>
        <w:rPr>
          <w:rFonts w:ascii="Georgia" w:hAnsi="Georgia"/>
          <w:color w:val="595959" w:themeColor="text1" w:themeTint="A6"/>
        </w:rPr>
      </w:pPr>
    </w:p>
    <w:p w14:paraId="430838D2" w14:textId="7170DC43" w:rsidR="00573796" w:rsidRPr="00573796" w:rsidRDefault="00573796" w:rsidP="00573796">
      <w:pPr>
        <w:pStyle w:val="RNABodyCopy"/>
      </w:pPr>
      <w:r w:rsidRPr="00573796">
        <w:t xml:space="preserve">In response to the </w:t>
      </w:r>
      <w:r w:rsidRPr="0038539A">
        <w:t>engagement letter, RNA Advisors, LLC dba RNA Capital Advisors (“RNA”</w:t>
      </w:r>
      <w:r w:rsidR="00CC54D1" w:rsidRPr="0038539A">
        <w:t xml:space="preserve"> or “we”</w:t>
      </w:r>
      <w:r w:rsidRPr="0038539A">
        <w:t xml:space="preserve">) has completed an analysis of </w:t>
      </w:r>
      <w:r w:rsidR="00D52BB6" w:rsidRPr="00A71F2E">
        <w:t>Medikine</w:t>
      </w:r>
      <w:r w:rsidRPr="00A71F2E">
        <w:t>, Inc.</w:t>
      </w:r>
      <w:r w:rsidRPr="0038539A">
        <w:t xml:space="preserve"> (“</w:t>
      </w:r>
      <w:r w:rsidR="00D52BB6" w:rsidRPr="00A71F2E">
        <w:rPr>
          <w:noProof/>
        </w:rPr>
        <w:t>Medikine</w:t>
      </w:r>
      <w:r w:rsidRPr="00573796">
        <w:t xml:space="preserve">” or the “Company”) as of </w:t>
      </w:r>
      <w:r w:rsidR="00D52BB6">
        <w:t>January 31, 2019</w:t>
      </w:r>
      <w:r w:rsidRPr="00573796">
        <w:t xml:space="preserve"> (the “Valuation Date”), to determine</w:t>
      </w:r>
      <w:r w:rsidR="00557D41">
        <w:t xml:space="preserve"> </w:t>
      </w:r>
      <w:r w:rsidRPr="00573796">
        <w:t>the fair market value of the Company’s common stock (“Common Stock”) on a non-marketable</w:t>
      </w:r>
      <w:r w:rsidR="00AA3F4F">
        <w:t>,</w:t>
      </w:r>
      <w:r w:rsidR="00AA3F4F" w:rsidRPr="00AA3F4F">
        <w:t xml:space="preserve"> </w:t>
      </w:r>
      <w:r w:rsidR="00AA3F4F">
        <w:t>minority</w:t>
      </w:r>
      <w:r w:rsidRPr="00573796">
        <w:t xml:space="preserve"> interest basis.  </w:t>
      </w:r>
    </w:p>
    <w:p w14:paraId="2D78B8D1" w14:textId="77777777" w:rsidR="00573796" w:rsidRPr="00573796" w:rsidRDefault="00573796" w:rsidP="00573796">
      <w:pPr>
        <w:pStyle w:val="RNABodyCopy"/>
      </w:pPr>
    </w:p>
    <w:p w14:paraId="0B56EC51" w14:textId="42CE7AAF" w:rsidR="00573796" w:rsidRPr="00573796" w:rsidRDefault="00573796" w:rsidP="00573796">
      <w:pPr>
        <w:pStyle w:val="RNABodyCopy"/>
      </w:pPr>
      <w:r w:rsidRPr="00573796">
        <w:t xml:space="preserve">Please note that this letter along with the following report (the “Report”), exhibits (individually </w:t>
      </w:r>
      <w:r w:rsidR="00AA3F4F">
        <w:t>an</w:t>
      </w:r>
      <w:r w:rsidR="00AA3F4F" w:rsidRPr="00573796">
        <w:t xml:space="preserve"> </w:t>
      </w:r>
      <w:r w:rsidRPr="00573796">
        <w:t xml:space="preserve">“Exhibit” and collectively the “Exhibits”) and their conclusions (jointly, the “Valuation” or the “Opinion”) are intended </w:t>
      </w:r>
      <w:r w:rsidR="00E9707E">
        <w:t>for the use of</w:t>
      </w:r>
      <w:r w:rsidRPr="00573796">
        <w:t xml:space="preserve"> the management and Board of Directors of the Company (“Management”).  This analysis has been performed in recognition of Internal Revenue Code Section 409A (“IRC 409A”) and</w:t>
      </w:r>
      <w:r w:rsidR="00557D41">
        <w:t xml:space="preserve"> </w:t>
      </w:r>
      <w:r w:rsidR="00557D41" w:rsidRPr="007472D0">
        <w:t>standards as promulgated in the Uniform Standards of Professional Appraisal Practice (“USPAP”)</w:t>
      </w:r>
      <w:r w:rsidR="00557D41" w:rsidRPr="00FF1C42">
        <w:t>.</w:t>
      </w:r>
      <w:r w:rsidR="00557D41" w:rsidRPr="00573796">
        <w:t xml:space="preserve">  We make no representation as to the accuracy of this Valuation if it is used for any other purpose without the written consent of RNA.  This Opinion should not be considered, in whole or in part, as investment advice by anyone</w:t>
      </w:r>
      <w:r w:rsidR="00FD023B" w:rsidRPr="00573796">
        <w:t xml:space="preserve">.  </w:t>
      </w:r>
    </w:p>
    <w:p w14:paraId="20B4905B" w14:textId="77777777" w:rsidR="00573796" w:rsidRPr="00573796" w:rsidRDefault="00573796" w:rsidP="00573796">
      <w:pPr>
        <w:pStyle w:val="RNABodyCopy"/>
      </w:pPr>
    </w:p>
    <w:p w14:paraId="4A12BDFD" w14:textId="77777777" w:rsidR="00573796" w:rsidRPr="00573796" w:rsidRDefault="00573796" w:rsidP="00573796">
      <w:pPr>
        <w:pStyle w:val="RNABodyCopy"/>
      </w:pPr>
      <w:r w:rsidRPr="00573796">
        <w:t xml:space="preserve">This analysis uses the methods and techniques outlined in the AICPA Audit and Accounting Practice Aid entitled Valuation of Privately-Held-Company Equity Securities Issued as Compensation, second edition (the “Practice Aid”), which are relevant to the valuation of the Common Stock.  </w:t>
      </w:r>
    </w:p>
    <w:p w14:paraId="4C0F5EF6" w14:textId="77777777" w:rsidR="00573796" w:rsidRPr="00573796" w:rsidRDefault="00573796" w:rsidP="00573796">
      <w:pPr>
        <w:pStyle w:val="RNABodyCopy"/>
      </w:pPr>
    </w:p>
    <w:p w14:paraId="04BAEB39" w14:textId="77777777" w:rsidR="00573796" w:rsidRPr="00573796" w:rsidRDefault="00573796" w:rsidP="00573796">
      <w:pPr>
        <w:pStyle w:val="RNABodyCopy"/>
      </w:pPr>
      <w:r w:rsidRPr="00573796">
        <w:t xml:space="preserve">The definition of fair market value is predicated on IRS Revenue Ruling 59-60.  </w:t>
      </w:r>
    </w:p>
    <w:p w14:paraId="11DE93BF" w14:textId="77777777" w:rsidR="00573796" w:rsidRPr="00573796" w:rsidRDefault="00573796" w:rsidP="00573796">
      <w:pPr>
        <w:pStyle w:val="RNABodyCopy"/>
      </w:pPr>
    </w:p>
    <w:p w14:paraId="22D6B60B" w14:textId="2DD54731" w:rsidR="00BB5061" w:rsidRDefault="00573796" w:rsidP="007C77D3">
      <w:pPr>
        <w:pStyle w:val="RNABodyCopy"/>
      </w:pPr>
      <w:r w:rsidRPr="00573796">
        <w:t>This cover letter provides an overview of the purpose and scope of the analysis and its conclusions.  Please refer to the attached Report below for a discussion and presentation of the analysis performed in co</w:t>
      </w:r>
      <w:r w:rsidR="007C77D3">
        <w:t xml:space="preserve">nnection with this engagement. </w:t>
      </w:r>
      <w:r w:rsidR="00A67CB0">
        <w:t xml:space="preserve"> </w:t>
      </w:r>
    </w:p>
    <w:p w14:paraId="31C72AAD" w14:textId="77777777" w:rsidR="00BB5061" w:rsidRDefault="00BB5061">
      <w:pPr>
        <w:spacing w:line="240" w:lineRule="auto"/>
        <w:jc w:val="left"/>
        <w:rPr>
          <w:rFonts w:ascii="Georgia" w:hAnsi="Georgia"/>
          <w:color w:val="595959" w:themeColor="text1" w:themeTint="A6"/>
        </w:rPr>
      </w:pPr>
      <w:r>
        <w:br w:type="page"/>
      </w:r>
    </w:p>
    <w:p w14:paraId="3C808BF8" w14:textId="23F567B1" w:rsidR="00573796" w:rsidRPr="00565DEF" w:rsidRDefault="00573796" w:rsidP="00B14CCF">
      <w:pPr>
        <w:pStyle w:val="RNAHeadlineB"/>
        <w:rPr>
          <w:rFonts w:ascii="Georgia" w:hAnsi="Georgia"/>
        </w:rPr>
      </w:pPr>
      <w:r w:rsidRPr="00565DEF">
        <w:rPr>
          <w:rFonts w:ascii="Georgia" w:hAnsi="Georgia"/>
        </w:rPr>
        <w:lastRenderedPageBreak/>
        <w:t>SUMMARY OF FINDINGS:</w:t>
      </w:r>
    </w:p>
    <w:p w14:paraId="2A868A94" w14:textId="2E6A6F87" w:rsidR="007C77D3" w:rsidRPr="007C77D3" w:rsidRDefault="00573796" w:rsidP="00DE5618">
      <w:pPr>
        <w:pStyle w:val="RNABodyCopy"/>
        <w:keepNext/>
      </w:pPr>
      <w:r w:rsidRPr="007C77D3">
        <w:t>Based upon the information and financial data provided, and representations made by Management, as well as the analyses performed, it is our opinion that the fair market value of the Common Stock on a non-marketable, minority interest basis as of the Valuation Date is reasonably stated as follows:</w:t>
      </w:r>
    </w:p>
    <w:p w14:paraId="067F0F4F" w14:textId="77777777" w:rsidR="00573796" w:rsidRDefault="00573796" w:rsidP="007C77D3">
      <w:pPr>
        <w:pStyle w:val="RNABodyCopy"/>
      </w:pPr>
    </w:p>
    <w:p w14:paraId="537AFE5F" w14:textId="77777777" w:rsidR="007C77D3" w:rsidRPr="007C77D3" w:rsidRDefault="007C77D3" w:rsidP="007C77D3">
      <w:pPr>
        <w:pStyle w:val="RNABodyCopy"/>
      </w:pPr>
      <w:r>
        <w:rPr>
          <w:noProof/>
        </w:rPr>
        <mc:AlternateContent>
          <mc:Choice Requires="wps">
            <w:drawing>
              <wp:anchor distT="0" distB="0" distL="114300" distR="114300" simplePos="0" relativeHeight="251657728" behindDoc="1" locked="0" layoutInCell="1" allowOverlap="1" wp14:anchorId="27B2B9E3" wp14:editId="0E920525">
                <wp:simplePos x="0" y="0"/>
                <wp:positionH relativeFrom="column">
                  <wp:posOffset>1706880</wp:posOffset>
                </wp:positionH>
                <wp:positionV relativeFrom="paragraph">
                  <wp:posOffset>10160</wp:posOffset>
                </wp:positionV>
                <wp:extent cx="2958465" cy="533400"/>
                <wp:effectExtent l="25400" t="25400" r="13335" b="25400"/>
                <wp:wrapNone/>
                <wp:docPr id="8" name="Rectangle 8"/>
                <wp:cNvGraphicFramePr/>
                <a:graphic xmlns:a="http://schemas.openxmlformats.org/drawingml/2006/main">
                  <a:graphicData uri="http://schemas.microsoft.com/office/word/2010/wordprocessingShape">
                    <wps:wsp>
                      <wps:cNvSpPr/>
                      <wps:spPr>
                        <a:xfrm>
                          <a:off x="0" y="0"/>
                          <a:ext cx="2958465" cy="533400"/>
                        </a:xfrm>
                        <a:prstGeom prst="rect">
                          <a:avLst/>
                        </a:prstGeom>
                        <a:noFill/>
                        <a:ln w="38100" cmpd="sng">
                          <a:solidFill>
                            <a:schemeClr val="bg2"/>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E01D2" id="Rectangle 8" o:spid="_x0000_s1026" style="position:absolute;margin-left:134.4pt;margin-top:.8pt;width:232.95pt;height: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" filled="f" strokecolor="#e7e6e6 [3214]" strokeweight="3pt"/>
            </w:pict>
          </mc:Fallback>
        </mc:AlternateContent>
      </w:r>
    </w:p>
    <w:p w14:paraId="307D76F4" w14:textId="61C3952E" w:rsidR="00573796" w:rsidRDefault="00573796" w:rsidP="007C77D3">
      <w:pPr>
        <w:pStyle w:val="RNABodyCopy"/>
        <w:jc w:val="center"/>
      </w:pPr>
      <w:r w:rsidRPr="00A71F2E">
        <w:t>$0.</w:t>
      </w:r>
      <w:r w:rsidR="00E72F45" w:rsidRPr="00A71F2E">
        <w:t xml:space="preserve">08 </w:t>
      </w:r>
      <w:r w:rsidRPr="00A71F2E">
        <w:t>(</w:t>
      </w:r>
      <w:r w:rsidR="00E72F45" w:rsidRPr="00A71F2E">
        <w:t xml:space="preserve">EIGHT </w:t>
      </w:r>
      <w:r w:rsidRPr="00A71F2E">
        <w:t>CENTS)</w:t>
      </w:r>
      <w:r w:rsidRPr="0038539A">
        <w:t xml:space="preserve"> per Share</w:t>
      </w:r>
    </w:p>
    <w:p w14:paraId="58492C75" w14:textId="77777777" w:rsidR="00573796" w:rsidRPr="007C77D3" w:rsidRDefault="007C77D3" w:rsidP="007C77D3">
      <w:pPr>
        <w:pStyle w:val="RNABodyCopy"/>
      </w:pPr>
      <w:r>
        <w:br/>
      </w:r>
    </w:p>
    <w:p w14:paraId="0A3B58BA" w14:textId="77777777" w:rsidR="00573796" w:rsidRPr="007C77D3" w:rsidRDefault="00573796" w:rsidP="007C77D3">
      <w:pPr>
        <w:pStyle w:val="RNABodyCopy"/>
      </w:pPr>
      <w:r w:rsidRPr="007C77D3">
        <w:t xml:space="preserve">The conclusions and opinions expressed in this letter and the accompanying Report are contingent upon the qualifying factors set forth in the Statement of Limiting Conditions and throughout the completed Report.  </w:t>
      </w:r>
    </w:p>
    <w:p w14:paraId="21C79158" w14:textId="77777777" w:rsidR="00573796" w:rsidRPr="007C77D3" w:rsidRDefault="00573796" w:rsidP="007C77D3">
      <w:pPr>
        <w:pStyle w:val="RNABodyCopy"/>
      </w:pPr>
    </w:p>
    <w:p w14:paraId="001F922C" w14:textId="444557D9" w:rsidR="00573796" w:rsidRPr="007C77D3" w:rsidRDefault="00573796" w:rsidP="007C77D3">
      <w:pPr>
        <w:pStyle w:val="RNABodyCopy"/>
      </w:pPr>
      <w:r w:rsidRPr="007C77D3">
        <w:t>If you have any questions concerning this Report, please contact me at 925.940.02</w:t>
      </w:r>
      <w:r w:rsidR="005976E1">
        <w:t>20</w:t>
      </w:r>
      <w:r w:rsidRPr="007C77D3">
        <w:t xml:space="preserve">.  </w:t>
      </w:r>
    </w:p>
    <w:p w14:paraId="5637541C" w14:textId="5D954A7F" w:rsidR="00573796" w:rsidRPr="007C77D3" w:rsidRDefault="00573796" w:rsidP="007C77D3">
      <w:pPr>
        <w:pStyle w:val="RNABodyCopy"/>
      </w:pPr>
    </w:p>
    <w:p w14:paraId="23A2A3DF" w14:textId="77777777" w:rsidR="00573796" w:rsidRPr="007C77D3" w:rsidRDefault="00573796" w:rsidP="007C77D3">
      <w:pPr>
        <w:pStyle w:val="RNABodyCopy"/>
      </w:pPr>
      <w:r w:rsidRPr="007C77D3">
        <w:t>Sincerely,</w:t>
      </w:r>
    </w:p>
    <w:p w14:paraId="317560E1" w14:textId="77777777" w:rsidR="00573796" w:rsidRPr="007C77D3" w:rsidRDefault="00573796" w:rsidP="007C77D3">
      <w:pPr>
        <w:pStyle w:val="RNABodyCopy"/>
      </w:pPr>
    </w:p>
    <w:p w14:paraId="7F125A6C" w14:textId="706EE084" w:rsidR="00573796" w:rsidRPr="007C77D3" w:rsidRDefault="00573796" w:rsidP="007C77D3">
      <w:pPr>
        <w:pStyle w:val="RNABodyCopy"/>
        <w:rPr>
          <w:b/>
        </w:rPr>
      </w:pPr>
      <w:r w:rsidRPr="007C77D3">
        <w:rPr>
          <w:b/>
        </w:rPr>
        <w:t>RNA C</w:t>
      </w:r>
      <w:r w:rsidR="007C77D3">
        <w:rPr>
          <w:b/>
        </w:rPr>
        <w:t>apital</w:t>
      </w:r>
      <w:r w:rsidRPr="007C77D3">
        <w:rPr>
          <w:b/>
        </w:rPr>
        <w:t xml:space="preserve"> A</w:t>
      </w:r>
      <w:r w:rsidR="007C77D3">
        <w:rPr>
          <w:b/>
        </w:rPr>
        <w:t>dvisors</w:t>
      </w:r>
      <w:r w:rsidRPr="007C77D3">
        <w:rPr>
          <w:b/>
        </w:rPr>
        <w:t xml:space="preserve"> </w:t>
      </w:r>
    </w:p>
    <w:p w14:paraId="7E23D465" w14:textId="4357CDDE" w:rsidR="00573796" w:rsidRPr="007C77D3" w:rsidRDefault="00910E12" w:rsidP="007C77D3">
      <w:pPr>
        <w:pStyle w:val="RNABodyCopy"/>
      </w:pPr>
      <w:r>
        <w:rPr>
          <w:i/>
          <w:noProof/>
          <w:color w:val="FF0000"/>
          <w:sz w:val="30"/>
          <w:szCs w:val="30"/>
        </w:rPr>
        <w:drawing>
          <wp:anchor distT="0" distB="0" distL="114300" distR="114300" simplePos="0" relativeHeight="251677696" behindDoc="1" locked="0" layoutInCell="1" allowOverlap="1" wp14:anchorId="08519819" wp14:editId="796DA6B8">
            <wp:simplePos x="0" y="0"/>
            <wp:positionH relativeFrom="column">
              <wp:posOffset>-19050</wp:posOffset>
            </wp:positionH>
            <wp:positionV relativeFrom="paragraph">
              <wp:posOffset>114300</wp:posOffset>
            </wp:positionV>
            <wp:extent cx="1697355" cy="742950"/>
            <wp:effectExtent l="0" t="0" r="0" b="0"/>
            <wp:wrapTight wrapText="bothSides">
              <wp:wrapPolygon edited="0">
                <wp:start x="0" y="0"/>
                <wp:lineTo x="0" y="21046"/>
                <wp:lineTo x="21333" y="21046"/>
                <wp:lineTo x="213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s Signature.png"/>
                    <pic:cNvPicPr/>
                  </pic:nvPicPr>
                  <pic:blipFill>
                    <a:blip r:embed="rId10"/>
                    <a:stretch>
                      <a:fillRect/>
                    </a:stretch>
                  </pic:blipFill>
                  <pic:spPr>
                    <a:xfrm>
                      <a:off x="0" y="0"/>
                      <a:ext cx="1697355" cy="742950"/>
                    </a:xfrm>
                    <a:prstGeom prst="rect">
                      <a:avLst/>
                    </a:prstGeom>
                  </pic:spPr>
                </pic:pic>
              </a:graphicData>
            </a:graphic>
            <wp14:sizeRelH relativeFrom="page">
              <wp14:pctWidth>0</wp14:pctWidth>
            </wp14:sizeRelH>
            <wp14:sizeRelV relativeFrom="page">
              <wp14:pctHeight>0</wp14:pctHeight>
            </wp14:sizeRelV>
          </wp:anchor>
        </w:drawing>
      </w:r>
    </w:p>
    <w:p w14:paraId="3F982DF0" w14:textId="4EA7CC0A" w:rsidR="00573796" w:rsidRPr="007C77D3" w:rsidRDefault="00573796" w:rsidP="007C77D3">
      <w:pPr>
        <w:pStyle w:val="RNABodyCopy"/>
      </w:pPr>
    </w:p>
    <w:p w14:paraId="4C2724C8" w14:textId="52F14F26" w:rsidR="00573796" w:rsidRPr="00DE5618" w:rsidRDefault="00573796" w:rsidP="007C77D3">
      <w:pPr>
        <w:pStyle w:val="RNABodyCopy"/>
        <w:rPr>
          <w:i/>
          <w:color w:val="FF0000"/>
          <w:sz w:val="30"/>
          <w:szCs w:val="30"/>
        </w:rPr>
      </w:pPr>
    </w:p>
    <w:p w14:paraId="14BAE945" w14:textId="77777777" w:rsidR="00573796" w:rsidRPr="007C77D3" w:rsidRDefault="00573796" w:rsidP="007C77D3">
      <w:pPr>
        <w:pStyle w:val="RNABodyCopy"/>
      </w:pPr>
    </w:p>
    <w:p w14:paraId="6193C306" w14:textId="77777777" w:rsidR="00573796" w:rsidRPr="007C77D3" w:rsidRDefault="00573796" w:rsidP="007C77D3">
      <w:pPr>
        <w:pStyle w:val="RNABodyCopy"/>
      </w:pPr>
    </w:p>
    <w:p w14:paraId="7CAD978A" w14:textId="77777777" w:rsidR="00573796" w:rsidRDefault="00573796" w:rsidP="007C77D3">
      <w:pPr>
        <w:pStyle w:val="RNABodyCopy"/>
      </w:pPr>
      <w:r w:rsidRPr="007C77D3">
        <w:t>Sam Renwick, CFA</w:t>
      </w:r>
    </w:p>
    <w:p w14:paraId="2A9B8B96" w14:textId="77777777" w:rsidR="007C77D3" w:rsidRPr="007C77D3" w:rsidRDefault="007C77D3" w:rsidP="007C77D3">
      <w:pPr>
        <w:pStyle w:val="RNABodyCopy"/>
        <w:rPr>
          <w:i/>
        </w:rPr>
      </w:pPr>
      <w:r w:rsidRPr="007C77D3">
        <w:rPr>
          <w:i/>
        </w:rPr>
        <w:t>Primary Valuation Analyst</w:t>
      </w:r>
    </w:p>
    <w:p w14:paraId="2C46B61C" w14:textId="77777777" w:rsidR="007C77D3" w:rsidRPr="007C77D3" w:rsidRDefault="007C77D3" w:rsidP="007C77D3">
      <w:pPr>
        <w:pStyle w:val="RNABodyCopy"/>
      </w:pPr>
    </w:p>
    <w:p w14:paraId="2FC527FD" w14:textId="1699D470" w:rsidR="00573796" w:rsidRPr="00AC23D8" w:rsidRDefault="00573796" w:rsidP="006C1529">
      <w:pPr>
        <w:pStyle w:val="RNAHeadlineA"/>
      </w:pPr>
      <w:r w:rsidRPr="00573796">
        <w:rPr>
          <w:color w:val="7F7F7F" w:themeColor="text1" w:themeTint="80"/>
        </w:rPr>
        <w:br w:type="page"/>
      </w:r>
      <w:bookmarkStart w:id="0" w:name="_Toc419208425"/>
      <w:bookmarkStart w:id="1" w:name="_Toc419208611"/>
      <w:bookmarkStart w:id="2" w:name="_Toc419208755"/>
      <w:bookmarkStart w:id="3" w:name="_Toc419209079"/>
      <w:bookmarkStart w:id="4" w:name="_Toc437265334"/>
      <w:bookmarkStart w:id="5" w:name="_Toc440377678"/>
      <w:r w:rsidRPr="00E82698">
        <w:t>T</w:t>
      </w:r>
      <w:bookmarkEnd w:id="0"/>
      <w:bookmarkEnd w:id="1"/>
      <w:bookmarkEnd w:id="2"/>
      <w:bookmarkEnd w:id="3"/>
      <w:bookmarkEnd w:id="4"/>
      <w:bookmarkEnd w:id="5"/>
      <w:r w:rsidR="006C1529">
        <w:t>able of Contents</w:t>
      </w:r>
    </w:p>
    <w:p w14:paraId="3EFBCCE1" w14:textId="63DFFD77" w:rsidR="006D4203" w:rsidRDefault="006C1529">
      <w:pPr>
        <w:pStyle w:val="TOC1"/>
        <w:tabs>
          <w:tab w:val="right" w:leader="dot" w:pos="10070"/>
        </w:tabs>
        <w:rPr>
          <w:rFonts w:asciiTheme="minorHAnsi" w:eastAsiaTheme="minorEastAsia" w:hAnsiTheme="minorHAnsi" w:cstheme="minorBidi"/>
          <w:b w:val="0"/>
          <w:bCs w:val="0"/>
          <w:caps w:val="0"/>
          <w:noProof/>
          <w:color w:val="auto"/>
          <w:sz w:val="22"/>
          <w:szCs w:val="22"/>
        </w:rPr>
      </w:pPr>
      <w:r>
        <w:br/>
      </w:r>
      <w:r w:rsidR="00575DEC">
        <w:rPr>
          <w:rFonts w:ascii="Arial" w:hAnsi="Arial"/>
        </w:rPr>
        <w:fldChar w:fldCharType="begin"/>
      </w:r>
      <w:r w:rsidR="00575DEC">
        <w:rPr>
          <w:rFonts w:ascii="Arial" w:hAnsi="Arial"/>
        </w:rPr>
        <w:instrText xml:space="preserve"> TOC \o "1-2" \h \z \u </w:instrText>
      </w:r>
      <w:r w:rsidR="00575DEC">
        <w:rPr>
          <w:rFonts w:ascii="Arial" w:hAnsi="Arial"/>
        </w:rPr>
        <w:fldChar w:fldCharType="separate"/>
      </w:r>
      <w:hyperlink w:anchor="_Toc2188932" w:history="1">
        <w:r w:rsidR="006D4203" w:rsidRPr="001535ED">
          <w:rPr>
            <w:rStyle w:val="Hyperlink"/>
            <w:noProof/>
          </w:rPr>
          <w:t>Engagement Overview</w:t>
        </w:r>
        <w:r w:rsidR="006D4203">
          <w:rPr>
            <w:noProof/>
            <w:webHidden/>
          </w:rPr>
          <w:tab/>
        </w:r>
        <w:r w:rsidR="006D4203">
          <w:rPr>
            <w:noProof/>
            <w:webHidden/>
          </w:rPr>
          <w:fldChar w:fldCharType="begin"/>
        </w:r>
        <w:r w:rsidR="006D4203">
          <w:rPr>
            <w:noProof/>
            <w:webHidden/>
          </w:rPr>
          <w:instrText xml:space="preserve"> PAGEREF _Toc2188932 \h </w:instrText>
        </w:r>
        <w:r w:rsidR="006D4203">
          <w:rPr>
            <w:noProof/>
            <w:webHidden/>
          </w:rPr>
        </w:r>
        <w:r w:rsidR="006D4203">
          <w:rPr>
            <w:noProof/>
            <w:webHidden/>
          </w:rPr>
          <w:fldChar w:fldCharType="separate"/>
        </w:r>
        <w:r w:rsidR="00172EC5">
          <w:rPr>
            <w:noProof/>
            <w:webHidden/>
          </w:rPr>
          <w:t>5</w:t>
        </w:r>
        <w:r w:rsidR="006D4203">
          <w:rPr>
            <w:noProof/>
            <w:webHidden/>
          </w:rPr>
          <w:fldChar w:fldCharType="end"/>
        </w:r>
      </w:hyperlink>
    </w:p>
    <w:p w14:paraId="5CEFAEA0" w14:textId="13DAA268" w:rsidR="006D4203" w:rsidRDefault="00910E12">
      <w:pPr>
        <w:pStyle w:val="TOC2"/>
        <w:rPr>
          <w:rFonts w:asciiTheme="minorHAnsi" w:eastAsiaTheme="minorEastAsia" w:hAnsiTheme="minorHAnsi" w:cstheme="minorBidi"/>
          <w:color w:val="auto"/>
          <w:sz w:val="22"/>
          <w:szCs w:val="22"/>
        </w:rPr>
      </w:pPr>
      <w:hyperlink w:anchor="_Toc2188933" w:history="1">
        <w:r w:rsidR="006D4203" w:rsidRPr="001535ED">
          <w:rPr>
            <w:rStyle w:val="Hyperlink"/>
          </w:rPr>
          <w:t>Purpose</w:t>
        </w:r>
        <w:r w:rsidR="006D4203">
          <w:rPr>
            <w:webHidden/>
          </w:rPr>
          <w:tab/>
        </w:r>
        <w:r w:rsidR="006D4203">
          <w:rPr>
            <w:webHidden/>
          </w:rPr>
          <w:fldChar w:fldCharType="begin"/>
        </w:r>
        <w:r w:rsidR="006D4203">
          <w:rPr>
            <w:webHidden/>
          </w:rPr>
          <w:instrText xml:space="preserve"> PAGEREF _Toc2188933 \h </w:instrText>
        </w:r>
        <w:r w:rsidR="006D4203">
          <w:rPr>
            <w:webHidden/>
          </w:rPr>
        </w:r>
        <w:r w:rsidR="006D4203">
          <w:rPr>
            <w:webHidden/>
          </w:rPr>
          <w:fldChar w:fldCharType="separate"/>
        </w:r>
        <w:r w:rsidR="00172EC5">
          <w:rPr>
            <w:webHidden/>
          </w:rPr>
          <w:t>5</w:t>
        </w:r>
        <w:r w:rsidR="006D4203">
          <w:rPr>
            <w:webHidden/>
          </w:rPr>
          <w:fldChar w:fldCharType="end"/>
        </w:r>
      </w:hyperlink>
    </w:p>
    <w:p w14:paraId="720B16A0" w14:textId="054B4E98" w:rsidR="006D4203" w:rsidRDefault="00910E12">
      <w:pPr>
        <w:pStyle w:val="TOC2"/>
        <w:rPr>
          <w:rFonts w:asciiTheme="minorHAnsi" w:eastAsiaTheme="minorEastAsia" w:hAnsiTheme="minorHAnsi" w:cstheme="minorBidi"/>
          <w:color w:val="auto"/>
          <w:sz w:val="22"/>
          <w:szCs w:val="22"/>
        </w:rPr>
      </w:pPr>
      <w:hyperlink w:anchor="_Toc2188934" w:history="1">
        <w:r w:rsidR="006D4203" w:rsidRPr="001535ED">
          <w:rPr>
            <w:rStyle w:val="Hyperlink"/>
          </w:rPr>
          <w:t>Scope</w:t>
        </w:r>
        <w:r w:rsidR="006D4203">
          <w:rPr>
            <w:webHidden/>
          </w:rPr>
          <w:tab/>
        </w:r>
        <w:r w:rsidR="006D4203">
          <w:rPr>
            <w:webHidden/>
          </w:rPr>
          <w:fldChar w:fldCharType="begin"/>
        </w:r>
        <w:r w:rsidR="006D4203">
          <w:rPr>
            <w:webHidden/>
          </w:rPr>
          <w:instrText xml:space="preserve"> PAGEREF _Toc2188934 \h </w:instrText>
        </w:r>
        <w:r w:rsidR="006D4203">
          <w:rPr>
            <w:webHidden/>
          </w:rPr>
        </w:r>
        <w:r w:rsidR="006D4203">
          <w:rPr>
            <w:webHidden/>
          </w:rPr>
          <w:fldChar w:fldCharType="separate"/>
        </w:r>
        <w:r w:rsidR="00172EC5">
          <w:rPr>
            <w:webHidden/>
          </w:rPr>
          <w:t>5</w:t>
        </w:r>
        <w:r w:rsidR="006D4203">
          <w:rPr>
            <w:webHidden/>
          </w:rPr>
          <w:fldChar w:fldCharType="end"/>
        </w:r>
      </w:hyperlink>
    </w:p>
    <w:p w14:paraId="2E6FE48C" w14:textId="2B8FC8D9" w:rsidR="006D4203" w:rsidRDefault="00910E12">
      <w:pPr>
        <w:pStyle w:val="TOC2"/>
        <w:rPr>
          <w:rFonts w:asciiTheme="minorHAnsi" w:eastAsiaTheme="minorEastAsia" w:hAnsiTheme="minorHAnsi" w:cstheme="minorBidi"/>
          <w:color w:val="auto"/>
          <w:sz w:val="22"/>
          <w:szCs w:val="22"/>
        </w:rPr>
      </w:pPr>
      <w:hyperlink w:anchor="_Toc2188935" w:history="1">
        <w:r w:rsidR="006D4203" w:rsidRPr="001535ED">
          <w:rPr>
            <w:rStyle w:val="Hyperlink"/>
          </w:rPr>
          <w:t>Key Definitions</w:t>
        </w:r>
        <w:r w:rsidR="006D4203">
          <w:rPr>
            <w:webHidden/>
          </w:rPr>
          <w:tab/>
        </w:r>
        <w:r w:rsidR="006D4203">
          <w:rPr>
            <w:webHidden/>
          </w:rPr>
          <w:fldChar w:fldCharType="begin"/>
        </w:r>
        <w:r w:rsidR="006D4203">
          <w:rPr>
            <w:webHidden/>
          </w:rPr>
          <w:instrText xml:space="preserve"> PAGEREF _Toc2188935 \h </w:instrText>
        </w:r>
        <w:r w:rsidR="006D4203">
          <w:rPr>
            <w:webHidden/>
          </w:rPr>
        </w:r>
        <w:r w:rsidR="006D4203">
          <w:rPr>
            <w:webHidden/>
          </w:rPr>
          <w:fldChar w:fldCharType="separate"/>
        </w:r>
        <w:r w:rsidR="00172EC5">
          <w:rPr>
            <w:webHidden/>
          </w:rPr>
          <w:t>6</w:t>
        </w:r>
        <w:r w:rsidR="006D4203">
          <w:rPr>
            <w:webHidden/>
          </w:rPr>
          <w:fldChar w:fldCharType="end"/>
        </w:r>
      </w:hyperlink>
    </w:p>
    <w:p w14:paraId="159FA268" w14:textId="49302582" w:rsidR="006D4203" w:rsidRDefault="00910E12">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2188936" w:history="1">
        <w:r w:rsidR="006D4203" w:rsidRPr="001535ED">
          <w:rPr>
            <w:rStyle w:val="Hyperlink"/>
            <w:noProof/>
          </w:rPr>
          <w:t>Standard of Value</w:t>
        </w:r>
        <w:r w:rsidR="006D4203">
          <w:rPr>
            <w:noProof/>
            <w:webHidden/>
          </w:rPr>
          <w:tab/>
        </w:r>
        <w:r w:rsidR="006D4203">
          <w:rPr>
            <w:noProof/>
            <w:webHidden/>
          </w:rPr>
          <w:fldChar w:fldCharType="begin"/>
        </w:r>
        <w:r w:rsidR="006D4203">
          <w:rPr>
            <w:noProof/>
            <w:webHidden/>
          </w:rPr>
          <w:instrText xml:space="preserve"> PAGEREF _Toc2188936 \h </w:instrText>
        </w:r>
        <w:r w:rsidR="006D4203">
          <w:rPr>
            <w:noProof/>
            <w:webHidden/>
          </w:rPr>
        </w:r>
        <w:r w:rsidR="006D4203">
          <w:rPr>
            <w:noProof/>
            <w:webHidden/>
          </w:rPr>
          <w:fldChar w:fldCharType="separate"/>
        </w:r>
        <w:r w:rsidR="00172EC5">
          <w:rPr>
            <w:noProof/>
            <w:webHidden/>
          </w:rPr>
          <w:t>7</w:t>
        </w:r>
        <w:r w:rsidR="006D4203">
          <w:rPr>
            <w:noProof/>
            <w:webHidden/>
          </w:rPr>
          <w:fldChar w:fldCharType="end"/>
        </w:r>
      </w:hyperlink>
    </w:p>
    <w:p w14:paraId="28263790" w14:textId="62224DF9" w:rsidR="006D4203" w:rsidRDefault="00910E12">
      <w:pPr>
        <w:pStyle w:val="TOC2"/>
        <w:rPr>
          <w:rFonts w:asciiTheme="minorHAnsi" w:eastAsiaTheme="minorEastAsia" w:hAnsiTheme="minorHAnsi" w:cstheme="minorBidi"/>
          <w:color w:val="auto"/>
          <w:sz w:val="22"/>
          <w:szCs w:val="22"/>
        </w:rPr>
      </w:pPr>
      <w:hyperlink w:anchor="_Toc2188937" w:history="1">
        <w:r w:rsidR="006D4203" w:rsidRPr="001535ED">
          <w:rPr>
            <w:rStyle w:val="Hyperlink"/>
          </w:rPr>
          <w:t>Definition of Fair Market Value</w:t>
        </w:r>
        <w:r w:rsidR="006D4203">
          <w:rPr>
            <w:webHidden/>
          </w:rPr>
          <w:tab/>
        </w:r>
        <w:r w:rsidR="006D4203">
          <w:rPr>
            <w:webHidden/>
          </w:rPr>
          <w:fldChar w:fldCharType="begin"/>
        </w:r>
        <w:r w:rsidR="006D4203">
          <w:rPr>
            <w:webHidden/>
          </w:rPr>
          <w:instrText xml:space="preserve"> PAGEREF _Toc2188937 \h </w:instrText>
        </w:r>
        <w:r w:rsidR="006D4203">
          <w:rPr>
            <w:webHidden/>
          </w:rPr>
        </w:r>
        <w:r w:rsidR="006D4203">
          <w:rPr>
            <w:webHidden/>
          </w:rPr>
          <w:fldChar w:fldCharType="separate"/>
        </w:r>
        <w:r w:rsidR="00172EC5">
          <w:rPr>
            <w:webHidden/>
          </w:rPr>
          <w:t>7</w:t>
        </w:r>
        <w:r w:rsidR="006D4203">
          <w:rPr>
            <w:webHidden/>
          </w:rPr>
          <w:fldChar w:fldCharType="end"/>
        </w:r>
      </w:hyperlink>
    </w:p>
    <w:p w14:paraId="5D2E699A" w14:textId="4254C0C5" w:rsidR="006D4203" w:rsidRDefault="00910E12">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2188938" w:history="1">
        <w:r w:rsidR="006D4203" w:rsidRPr="001535ED">
          <w:rPr>
            <w:rStyle w:val="Hyperlink"/>
            <w:noProof/>
          </w:rPr>
          <w:t>Company Overview</w:t>
        </w:r>
        <w:r w:rsidR="006D4203">
          <w:rPr>
            <w:noProof/>
            <w:webHidden/>
          </w:rPr>
          <w:tab/>
        </w:r>
        <w:r w:rsidR="006D4203">
          <w:rPr>
            <w:noProof/>
            <w:webHidden/>
          </w:rPr>
          <w:fldChar w:fldCharType="begin"/>
        </w:r>
        <w:r w:rsidR="006D4203">
          <w:rPr>
            <w:noProof/>
            <w:webHidden/>
          </w:rPr>
          <w:instrText xml:space="preserve"> PAGEREF _Toc2188938 \h </w:instrText>
        </w:r>
        <w:r w:rsidR="006D4203">
          <w:rPr>
            <w:noProof/>
            <w:webHidden/>
          </w:rPr>
        </w:r>
        <w:r w:rsidR="006D4203">
          <w:rPr>
            <w:noProof/>
            <w:webHidden/>
          </w:rPr>
          <w:fldChar w:fldCharType="separate"/>
        </w:r>
        <w:r w:rsidR="00172EC5">
          <w:rPr>
            <w:noProof/>
            <w:webHidden/>
          </w:rPr>
          <w:t>8</w:t>
        </w:r>
        <w:r w:rsidR="006D4203">
          <w:rPr>
            <w:noProof/>
            <w:webHidden/>
          </w:rPr>
          <w:fldChar w:fldCharType="end"/>
        </w:r>
      </w:hyperlink>
    </w:p>
    <w:p w14:paraId="58960E10" w14:textId="2C5B2E22" w:rsidR="006D4203" w:rsidRDefault="00910E12">
      <w:pPr>
        <w:pStyle w:val="TOC2"/>
        <w:rPr>
          <w:rFonts w:asciiTheme="minorHAnsi" w:eastAsiaTheme="minorEastAsia" w:hAnsiTheme="minorHAnsi" w:cstheme="minorBidi"/>
          <w:color w:val="auto"/>
          <w:sz w:val="22"/>
          <w:szCs w:val="22"/>
        </w:rPr>
      </w:pPr>
      <w:hyperlink w:anchor="_Toc2188939" w:history="1">
        <w:r w:rsidR="006D4203" w:rsidRPr="001535ED">
          <w:rPr>
            <w:rStyle w:val="Hyperlink"/>
          </w:rPr>
          <w:t>Background</w:t>
        </w:r>
        <w:r w:rsidR="006D4203">
          <w:rPr>
            <w:webHidden/>
          </w:rPr>
          <w:tab/>
        </w:r>
        <w:r w:rsidR="006D4203">
          <w:rPr>
            <w:webHidden/>
          </w:rPr>
          <w:fldChar w:fldCharType="begin"/>
        </w:r>
        <w:r w:rsidR="006D4203">
          <w:rPr>
            <w:webHidden/>
          </w:rPr>
          <w:instrText xml:space="preserve"> PAGEREF _Toc2188939 \h </w:instrText>
        </w:r>
        <w:r w:rsidR="006D4203">
          <w:rPr>
            <w:webHidden/>
          </w:rPr>
        </w:r>
        <w:r w:rsidR="006D4203">
          <w:rPr>
            <w:webHidden/>
          </w:rPr>
          <w:fldChar w:fldCharType="separate"/>
        </w:r>
        <w:r w:rsidR="00172EC5">
          <w:rPr>
            <w:webHidden/>
          </w:rPr>
          <w:t>8</w:t>
        </w:r>
        <w:r w:rsidR="006D4203">
          <w:rPr>
            <w:webHidden/>
          </w:rPr>
          <w:fldChar w:fldCharType="end"/>
        </w:r>
      </w:hyperlink>
    </w:p>
    <w:p w14:paraId="0FA662D8" w14:textId="0DFBB50A" w:rsidR="006D4203" w:rsidRDefault="00910E12">
      <w:pPr>
        <w:pStyle w:val="TOC2"/>
        <w:rPr>
          <w:rFonts w:asciiTheme="minorHAnsi" w:eastAsiaTheme="minorEastAsia" w:hAnsiTheme="minorHAnsi" w:cstheme="minorBidi"/>
          <w:color w:val="auto"/>
          <w:sz w:val="22"/>
          <w:szCs w:val="22"/>
        </w:rPr>
      </w:pPr>
      <w:hyperlink w:anchor="_Toc2188940" w:history="1">
        <w:r w:rsidR="006D4203" w:rsidRPr="001535ED">
          <w:rPr>
            <w:rStyle w:val="Hyperlink"/>
          </w:rPr>
          <w:t>Product Pipeline</w:t>
        </w:r>
        <w:r w:rsidR="006D4203">
          <w:rPr>
            <w:webHidden/>
          </w:rPr>
          <w:tab/>
        </w:r>
        <w:r w:rsidR="006D4203">
          <w:rPr>
            <w:webHidden/>
          </w:rPr>
          <w:fldChar w:fldCharType="begin"/>
        </w:r>
        <w:r w:rsidR="006D4203">
          <w:rPr>
            <w:webHidden/>
          </w:rPr>
          <w:instrText xml:space="preserve"> PAGEREF _Toc2188940 \h </w:instrText>
        </w:r>
        <w:r w:rsidR="006D4203">
          <w:rPr>
            <w:webHidden/>
          </w:rPr>
        </w:r>
        <w:r w:rsidR="006D4203">
          <w:rPr>
            <w:webHidden/>
          </w:rPr>
          <w:fldChar w:fldCharType="separate"/>
        </w:r>
        <w:r w:rsidR="00172EC5">
          <w:rPr>
            <w:webHidden/>
          </w:rPr>
          <w:t>8</w:t>
        </w:r>
        <w:r w:rsidR="006D4203">
          <w:rPr>
            <w:webHidden/>
          </w:rPr>
          <w:fldChar w:fldCharType="end"/>
        </w:r>
      </w:hyperlink>
    </w:p>
    <w:p w14:paraId="7D2AA293" w14:textId="6818A4CB" w:rsidR="006D4203" w:rsidRDefault="00910E12">
      <w:pPr>
        <w:pStyle w:val="TOC2"/>
        <w:rPr>
          <w:rFonts w:asciiTheme="minorHAnsi" w:eastAsiaTheme="minorEastAsia" w:hAnsiTheme="minorHAnsi" w:cstheme="minorBidi"/>
          <w:color w:val="auto"/>
          <w:sz w:val="22"/>
          <w:szCs w:val="22"/>
        </w:rPr>
      </w:pPr>
      <w:hyperlink w:anchor="_Toc2188941" w:history="1">
        <w:r w:rsidR="006D4203" w:rsidRPr="001535ED">
          <w:rPr>
            <w:rStyle w:val="Hyperlink"/>
          </w:rPr>
          <w:t>Recent Developments</w:t>
        </w:r>
        <w:r w:rsidR="006D4203">
          <w:rPr>
            <w:webHidden/>
          </w:rPr>
          <w:tab/>
        </w:r>
        <w:r w:rsidR="006D4203">
          <w:rPr>
            <w:webHidden/>
          </w:rPr>
          <w:fldChar w:fldCharType="begin"/>
        </w:r>
        <w:r w:rsidR="006D4203">
          <w:rPr>
            <w:webHidden/>
          </w:rPr>
          <w:instrText xml:space="preserve"> PAGEREF _Toc2188941 \h </w:instrText>
        </w:r>
        <w:r w:rsidR="006D4203">
          <w:rPr>
            <w:webHidden/>
          </w:rPr>
        </w:r>
        <w:r w:rsidR="006D4203">
          <w:rPr>
            <w:webHidden/>
          </w:rPr>
          <w:fldChar w:fldCharType="separate"/>
        </w:r>
        <w:r w:rsidR="00172EC5">
          <w:rPr>
            <w:webHidden/>
          </w:rPr>
          <w:t>9</w:t>
        </w:r>
        <w:r w:rsidR="006D4203">
          <w:rPr>
            <w:webHidden/>
          </w:rPr>
          <w:fldChar w:fldCharType="end"/>
        </w:r>
      </w:hyperlink>
    </w:p>
    <w:p w14:paraId="67ABE4C0" w14:textId="3390C719" w:rsidR="006D4203" w:rsidRDefault="00910E12">
      <w:pPr>
        <w:pStyle w:val="TOC2"/>
        <w:rPr>
          <w:rFonts w:asciiTheme="minorHAnsi" w:eastAsiaTheme="minorEastAsia" w:hAnsiTheme="minorHAnsi" w:cstheme="minorBidi"/>
          <w:color w:val="auto"/>
          <w:sz w:val="22"/>
          <w:szCs w:val="22"/>
        </w:rPr>
      </w:pPr>
      <w:hyperlink w:anchor="_Toc2188942" w:history="1">
        <w:r w:rsidR="006D4203" w:rsidRPr="001535ED">
          <w:rPr>
            <w:rStyle w:val="Hyperlink"/>
          </w:rPr>
          <w:t>Management Team</w:t>
        </w:r>
        <w:r w:rsidR="006D4203">
          <w:rPr>
            <w:webHidden/>
          </w:rPr>
          <w:tab/>
        </w:r>
        <w:r w:rsidR="006D4203">
          <w:rPr>
            <w:webHidden/>
          </w:rPr>
          <w:fldChar w:fldCharType="begin"/>
        </w:r>
        <w:r w:rsidR="006D4203">
          <w:rPr>
            <w:webHidden/>
          </w:rPr>
          <w:instrText xml:space="preserve"> PAGEREF _Toc2188942 \h </w:instrText>
        </w:r>
        <w:r w:rsidR="006D4203">
          <w:rPr>
            <w:webHidden/>
          </w:rPr>
        </w:r>
        <w:r w:rsidR="006D4203">
          <w:rPr>
            <w:webHidden/>
          </w:rPr>
          <w:fldChar w:fldCharType="separate"/>
        </w:r>
        <w:r w:rsidR="00172EC5">
          <w:rPr>
            <w:webHidden/>
          </w:rPr>
          <w:t>9</w:t>
        </w:r>
        <w:r w:rsidR="006D4203">
          <w:rPr>
            <w:webHidden/>
          </w:rPr>
          <w:fldChar w:fldCharType="end"/>
        </w:r>
      </w:hyperlink>
    </w:p>
    <w:p w14:paraId="487383A0" w14:textId="3DF75693" w:rsidR="006D4203" w:rsidRDefault="00910E12">
      <w:pPr>
        <w:pStyle w:val="TOC2"/>
        <w:rPr>
          <w:rFonts w:asciiTheme="minorHAnsi" w:eastAsiaTheme="minorEastAsia" w:hAnsiTheme="minorHAnsi" w:cstheme="minorBidi"/>
          <w:color w:val="auto"/>
          <w:sz w:val="22"/>
          <w:szCs w:val="22"/>
        </w:rPr>
      </w:pPr>
      <w:hyperlink w:anchor="_Toc2188943" w:history="1">
        <w:r w:rsidR="006D4203" w:rsidRPr="001535ED">
          <w:rPr>
            <w:rStyle w:val="Hyperlink"/>
          </w:rPr>
          <w:t>Capitalization and Ownership</w:t>
        </w:r>
        <w:r w:rsidR="006D4203">
          <w:rPr>
            <w:webHidden/>
          </w:rPr>
          <w:tab/>
        </w:r>
        <w:r w:rsidR="006D4203">
          <w:rPr>
            <w:webHidden/>
          </w:rPr>
          <w:fldChar w:fldCharType="begin"/>
        </w:r>
        <w:r w:rsidR="006D4203">
          <w:rPr>
            <w:webHidden/>
          </w:rPr>
          <w:instrText xml:space="preserve"> PAGEREF _Toc2188943 \h </w:instrText>
        </w:r>
        <w:r w:rsidR="006D4203">
          <w:rPr>
            <w:webHidden/>
          </w:rPr>
        </w:r>
        <w:r w:rsidR="006D4203">
          <w:rPr>
            <w:webHidden/>
          </w:rPr>
          <w:fldChar w:fldCharType="separate"/>
        </w:r>
        <w:r w:rsidR="00172EC5">
          <w:rPr>
            <w:webHidden/>
          </w:rPr>
          <w:t>10</w:t>
        </w:r>
        <w:r w:rsidR="006D4203">
          <w:rPr>
            <w:webHidden/>
          </w:rPr>
          <w:fldChar w:fldCharType="end"/>
        </w:r>
      </w:hyperlink>
    </w:p>
    <w:p w14:paraId="128D5DDB" w14:textId="0C7CE5DE" w:rsidR="006D4203" w:rsidRDefault="00910E12">
      <w:pPr>
        <w:pStyle w:val="TOC2"/>
        <w:rPr>
          <w:rFonts w:asciiTheme="minorHAnsi" w:eastAsiaTheme="minorEastAsia" w:hAnsiTheme="minorHAnsi" w:cstheme="minorBidi"/>
          <w:color w:val="auto"/>
          <w:sz w:val="22"/>
          <w:szCs w:val="22"/>
        </w:rPr>
      </w:pPr>
      <w:hyperlink w:anchor="_Toc2188944" w:history="1">
        <w:r w:rsidR="006D4203" w:rsidRPr="001535ED">
          <w:rPr>
            <w:rStyle w:val="Hyperlink"/>
          </w:rPr>
          <w:t>Stage of Development</w:t>
        </w:r>
        <w:r w:rsidR="006D4203">
          <w:rPr>
            <w:webHidden/>
          </w:rPr>
          <w:tab/>
        </w:r>
        <w:r w:rsidR="006D4203">
          <w:rPr>
            <w:webHidden/>
          </w:rPr>
          <w:fldChar w:fldCharType="begin"/>
        </w:r>
        <w:r w:rsidR="006D4203">
          <w:rPr>
            <w:webHidden/>
          </w:rPr>
          <w:instrText xml:space="preserve"> PAGEREF _Toc2188944 \h </w:instrText>
        </w:r>
        <w:r w:rsidR="006D4203">
          <w:rPr>
            <w:webHidden/>
          </w:rPr>
        </w:r>
        <w:r w:rsidR="006D4203">
          <w:rPr>
            <w:webHidden/>
          </w:rPr>
          <w:fldChar w:fldCharType="separate"/>
        </w:r>
        <w:r w:rsidR="00172EC5">
          <w:rPr>
            <w:webHidden/>
          </w:rPr>
          <w:t>11</w:t>
        </w:r>
        <w:r w:rsidR="006D4203">
          <w:rPr>
            <w:webHidden/>
          </w:rPr>
          <w:fldChar w:fldCharType="end"/>
        </w:r>
      </w:hyperlink>
    </w:p>
    <w:p w14:paraId="54564E09" w14:textId="2C539B2F" w:rsidR="006D4203" w:rsidRDefault="00910E12">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2188945" w:history="1">
        <w:r w:rsidR="006D4203" w:rsidRPr="001535ED">
          <w:rPr>
            <w:rStyle w:val="Hyperlink"/>
            <w:noProof/>
          </w:rPr>
          <w:t>Industry Overview</w:t>
        </w:r>
        <w:r w:rsidR="006D4203">
          <w:rPr>
            <w:noProof/>
            <w:webHidden/>
          </w:rPr>
          <w:tab/>
        </w:r>
        <w:r w:rsidR="006D4203">
          <w:rPr>
            <w:noProof/>
            <w:webHidden/>
          </w:rPr>
          <w:fldChar w:fldCharType="begin"/>
        </w:r>
        <w:r w:rsidR="006D4203">
          <w:rPr>
            <w:noProof/>
            <w:webHidden/>
          </w:rPr>
          <w:instrText xml:space="preserve"> PAGEREF _Toc2188945 \h </w:instrText>
        </w:r>
        <w:r w:rsidR="006D4203">
          <w:rPr>
            <w:noProof/>
            <w:webHidden/>
          </w:rPr>
        </w:r>
        <w:r w:rsidR="006D4203">
          <w:rPr>
            <w:noProof/>
            <w:webHidden/>
          </w:rPr>
          <w:fldChar w:fldCharType="separate"/>
        </w:r>
        <w:r w:rsidR="00172EC5">
          <w:rPr>
            <w:noProof/>
            <w:webHidden/>
          </w:rPr>
          <w:t>12</w:t>
        </w:r>
        <w:r w:rsidR="006D4203">
          <w:rPr>
            <w:noProof/>
            <w:webHidden/>
          </w:rPr>
          <w:fldChar w:fldCharType="end"/>
        </w:r>
      </w:hyperlink>
    </w:p>
    <w:p w14:paraId="0DFC80F2" w14:textId="11CB4461" w:rsidR="006D4203" w:rsidRDefault="00910E12">
      <w:pPr>
        <w:pStyle w:val="TOC2"/>
        <w:rPr>
          <w:rFonts w:asciiTheme="minorHAnsi" w:eastAsiaTheme="minorEastAsia" w:hAnsiTheme="minorHAnsi" w:cstheme="minorBidi"/>
          <w:color w:val="auto"/>
          <w:sz w:val="22"/>
          <w:szCs w:val="22"/>
        </w:rPr>
      </w:pPr>
      <w:hyperlink w:anchor="_Toc2188946" w:history="1">
        <w:r w:rsidR="006D4203" w:rsidRPr="001535ED">
          <w:rPr>
            <w:rStyle w:val="Hyperlink"/>
          </w:rPr>
          <w:t>Overview</w:t>
        </w:r>
        <w:r w:rsidR="006D4203">
          <w:rPr>
            <w:webHidden/>
          </w:rPr>
          <w:tab/>
        </w:r>
        <w:r w:rsidR="006D4203">
          <w:rPr>
            <w:webHidden/>
          </w:rPr>
          <w:fldChar w:fldCharType="begin"/>
        </w:r>
        <w:r w:rsidR="006D4203">
          <w:rPr>
            <w:webHidden/>
          </w:rPr>
          <w:instrText xml:space="preserve"> PAGEREF _Toc2188946 \h </w:instrText>
        </w:r>
        <w:r w:rsidR="006D4203">
          <w:rPr>
            <w:webHidden/>
          </w:rPr>
        </w:r>
        <w:r w:rsidR="006D4203">
          <w:rPr>
            <w:webHidden/>
          </w:rPr>
          <w:fldChar w:fldCharType="separate"/>
        </w:r>
        <w:r w:rsidR="00172EC5">
          <w:rPr>
            <w:webHidden/>
          </w:rPr>
          <w:t>12</w:t>
        </w:r>
        <w:r w:rsidR="006D4203">
          <w:rPr>
            <w:webHidden/>
          </w:rPr>
          <w:fldChar w:fldCharType="end"/>
        </w:r>
      </w:hyperlink>
    </w:p>
    <w:p w14:paraId="2AEB76F1" w14:textId="481CE77C" w:rsidR="006D4203" w:rsidRDefault="00910E12">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2188947" w:history="1">
        <w:r w:rsidR="006D4203" w:rsidRPr="001535ED">
          <w:rPr>
            <w:rStyle w:val="Hyperlink"/>
            <w:noProof/>
          </w:rPr>
          <w:t>Valuation Methodology Overview</w:t>
        </w:r>
        <w:r w:rsidR="006D4203">
          <w:rPr>
            <w:noProof/>
            <w:webHidden/>
          </w:rPr>
          <w:tab/>
        </w:r>
        <w:r w:rsidR="006D4203">
          <w:rPr>
            <w:noProof/>
            <w:webHidden/>
          </w:rPr>
          <w:fldChar w:fldCharType="begin"/>
        </w:r>
        <w:r w:rsidR="006D4203">
          <w:rPr>
            <w:noProof/>
            <w:webHidden/>
          </w:rPr>
          <w:instrText xml:space="preserve"> PAGEREF _Toc2188947 \h </w:instrText>
        </w:r>
        <w:r w:rsidR="006D4203">
          <w:rPr>
            <w:noProof/>
            <w:webHidden/>
          </w:rPr>
        </w:r>
        <w:r w:rsidR="006D4203">
          <w:rPr>
            <w:noProof/>
            <w:webHidden/>
          </w:rPr>
          <w:fldChar w:fldCharType="separate"/>
        </w:r>
        <w:r w:rsidR="00172EC5">
          <w:rPr>
            <w:noProof/>
            <w:webHidden/>
          </w:rPr>
          <w:t>15</w:t>
        </w:r>
        <w:r w:rsidR="006D4203">
          <w:rPr>
            <w:noProof/>
            <w:webHidden/>
          </w:rPr>
          <w:fldChar w:fldCharType="end"/>
        </w:r>
      </w:hyperlink>
    </w:p>
    <w:p w14:paraId="263EC9C7" w14:textId="6D6993CD" w:rsidR="006D4203" w:rsidRDefault="00910E12">
      <w:pPr>
        <w:pStyle w:val="TOC2"/>
        <w:rPr>
          <w:rFonts w:asciiTheme="minorHAnsi" w:eastAsiaTheme="minorEastAsia" w:hAnsiTheme="minorHAnsi" w:cstheme="minorBidi"/>
          <w:color w:val="auto"/>
          <w:sz w:val="22"/>
          <w:szCs w:val="22"/>
        </w:rPr>
      </w:pPr>
      <w:hyperlink w:anchor="_Toc2188948" w:history="1">
        <w:r w:rsidR="006D4203" w:rsidRPr="001535ED">
          <w:rPr>
            <w:rStyle w:val="Hyperlink"/>
          </w:rPr>
          <w:t>Business Enterprise Valuation Theory</w:t>
        </w:r>
        <w:r w:rsidR="006D4203">
          <w:rPr>
            <w:webHidden/>
          </w:rPr>
          <w:tab/>
        </w:r>
        <w:r w:rsidR="006D4203">
          <w:rPr>
            <w:webHidden/>
          </w:rPr>
          <w:fldChar w:fldCharType="begin"/>
        </w:r>
        <w:r w:rsidR="006D4203">
          <w:rPr>
            <w:webHidden/>
          </w:rPr>
          <w:instrText xml:space="preserve"> PAGEREF _Toc2188948 \h </w:instrText>
        </w:r>
        <w:r w:rsidR="006D4203">
          <w:rPr>
            <w:webHidden/>
          </w:rPr>
        </w:r>
        <w:r w:rsidR="006D4203">
          <w:rPr>
            <w:webHidden/>
          </w:rPr>
          <w:fldChar w:fldCharType="separate"/>
        </w:r>
        <w:r w:rsidR="00172EC5">
          <w:rPr>
            <w:webHidden/>
          </w:rPr>
          <w:t>15</w:t>
        </w:r>
        <w:r w:rsidR="006D4203">
          <w:rPr>
            <w:webHidden/>
          </w:rPr>
          <w:fldChar w:fldCharType="end"/>
        </w:r>
      </w:hyperlink>
    </w:p>
    <w:p w14:paraId="51CFA30B" w14:textId="79155798" w:rsidR="006D4203" w:rsidRDefault="00910E12">
      <w:pPr>
        <w:pStyle w:val="TOC2"/>
        <w:rPr>
          <w:rFonts w:asciiTheme="minorHAnsi" w:eastAsiaTheme="minorEastAsia" w:hAnsiTheme="minorHAnsi" w:cstheme="minorBidi"/>
          <w:color w:val="auto"/>
          <w:sz w:val="22"/>
          <w:szCs w:val="22"/>
        </w:rPr>
      </w:pPr>
      <w:hyperlink w:anchor="_Toc2188949" w:history="1">
        <w:r w:rsidR="006D4203" w:rsidRPr="001535ED">
          <w:rPr>
            <w:rStyle w:val="Hyperlink"/>
          </w:rPr>
          <w:t>Allocation Methodology Theory</w:t>
        </w:r>
        <w:r w:rsidR="006D4203">
          <w:rPr>
            <w:webHidden/>
          </w:rPr>
          <w:tab/>
        </w:r>
        <w:r w:rsidR="006D4203">
          <w:rPr>
            <w:webHidden/>
          </w:rPr>
          <w:fldChar w:fldCharType="begin"/>
        </w:r>
        <w:r w:rsidR="006D4203">
          <w:rPr>
            <w:webHidden/>
          </w:rPr>
          <w:instrText xml:space="preserve"> PAGEREF _Toc2188949 \h </w:instrText>
        </w:r>
        <w:r w:rsidR="006D4203">
          <w:rPr>
            <w:webHidden/>
          </w:rPr>
        </w:r>
        <w:r w:rsidR="006D4203">
          <w:rPr>
            <w:webHidden/>
          </w:rPr>
          <w:fldChar w:fldCharType="separate"/>
        </w:r>
        <w:r w:rsidR="00172EC5">
          <w:rPr>
            <w:webHidden/>
          </w:rPr>
          <w:t>16</w:t>
        </w:r>
        <w:r w:rsidR="006D4203">
          <w:rPr>
            <w:webHidden/>
          </w:rPr>
          <w:fldChar w:fldCharType="end"/>
        </w:r>
      </w:hyperlink>
    </w:p>
    <w:p w14:paraId="25AECF57" w14:textId="037A315C" w:rsidR="006D4203" w:rsidRDefault="00910E12">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2188950" w:history="1">
        <w:r w:rsidR="006D4203" w:rsidRPr="001535ED">
          <w:rPr>
            <w:rStyle w:val="Hyperlink"/>
            <w:noProof/>
          </w:rPr>
          <w:t>Valuation Analysis</w:t>
        </w:r>
        <w:r w:rsidR="006D4203">
          <w:rPr>
            <w:noProof/>
            <w:webHidden/>
          </w:rPr>
          <w:tab/>
        </w:r>
        <w:r w:rsidR="006D4203">
          <w:rPr>
            <w:noProof/>
            <w:webHidden/>
          </w:rPr>
          <w:fldChar w:fldCharType="begin"/>
        </w:r>
        <w:r w:rsidR="006D4203">
          <w:rPr>
            <w:noProof/>
            <w:webHidden/>
          </w:rPr>
          <w:instrText xml:space="preserve"> PAGEREF _Toc2188950 \h </w:instrText>
        </w:r>
        <w:r w:rsidR="006D4203">
          <w:rPr>
            <w:noProof/>
            <w:webHidden/>
          </w:rPr>
        </w:r>
        <w:r w:rsidR="006D4203">
          <w:rPr>
            <w:noProof/>
            <w:webHidden/>
          </w:rPr>
          <w:fldChar w:fldCharType="separate"/>
        </w:r>
        <w:r w:rsidR="00172EC5">
          <w:rPr>
            <w:noProof/>
            <w:webHidden/>
          </w:rPr>
          <w:t>20</w:t>
        </w:r>
        <w:r w:rsidR="006D4203">
          <w:rPr>
            <w:noProof/>
            <w:webHidden/>
          </w:rPr>
          <w:fldChar w:fldCharType="end"/>
        </w:r>
      </w:hyperlink>
    </w:p>
    <w:p w14:paraId="3E54F720" w14:textId="6405DAB2" w:rsidR="006D4203" w:rsidRDefault="00910E12">
      <w:pPr>
        <w:pStyle w:val="TOC2"/>
        <w:rPr>
          <w:rFonts w:asciiTheme="minorHAnsi" w:eastAsiaTheme="minorEastAsia" w:hAnsiTheme="minorHAnsi" w:cstheme="minorBidi"/>
          <w:color w:val="auto"/>
          <w:sz w:val="22"/>
          <w:szCs w:val="22"/>
        </w:rPr>
      </w:pPr>
      <w:hyperlink w:anchor="_Toc2188951" w:history="1">
        <w:r w:rsidR="006D4203" w:rsidRPr="001535ED">
          <w:rPr>
            <w:rStyle w:val="Hyperlink"/>
          </w:rPr>
          <w:t>Selected Valuation Approaches</w:t>
        </w:r>
        <w:r w:rsidR="006D4203">
          <w:rPr>
            <w:webHidden/>
          </w:rPr>
          <w:tab/>
        </w:r>
        <w:r w:rsidR="006D4203">
          <w:rPr>
            <w:webHidden/>
          </w:rPr>
          <w:fldChar w:fldCharType="begin"/>
        </w:r>
        <w:r w:rsidR="006D4203">
          <w:rPr>
            <w:webHidden/>
          </w:rPr>
          <w:instrText xml:space="preserve"> PAGEREF _Toc2188951 \h </w:instrText>
        </w:r>
        <w:r w:rsidR="006D4203">
          <w:rPr>
            <w:webHidden/>
          </w:rPr>
        </w:r>
        <w:r w:rsidR="006D4203">
          <w:rPr>
            <w:webHidden/>
          </w:rPr>
          <w:fldChar w:fldCharType="separate"/>
        </w:r>
        <w:r w:rsidR="00172EC5">
          <w:rPr>
            <w:webHidden/>
          </w:rPr>
          <w:t>20</w:t>
        </w:r>
        <w:r w:rsidR="006D4203">
          <w:rPr>
            <w:webHidden/>
          </w:rPr>
          <w:fldChar w:fldCharType="end"/>
        </w:r>
      </w:hyperlink>
    </w:p>
    <w:p w14:paraId="5C995B25" w14:textId="5B53C2B6" w:rsidR="006D4203" w:rsidRDefault="00910E12">
      <w:pPr>
        <w:pStyle w:val="TOC2"/>
        <w:rPr>
          <w:rFonts w:asciiTheme="minorHAnsi" w:eastAsiaTheme="minorEastAsia" w:hAnsiTheme="minorHAnsi" w:cstheme="minorBidi"/>
          <w:color w:val="auto"/>
          <w:sz w:val="22"/>
          <w:szCs w:val="22"/>
        </w:rPr>
      </w:pPr>
      <w:hyperlink w:anchor="_Toc2188952" w:history="1">
        <w:r w:rsidR="006D4203" w:rsidRPr="001535ED">
          <w:rPr>
            <w:rStyle w:val="Hyperlink"/>
          </w:rPr>
          <w:t>Allocation Analysis</w:t>
        </w:r>
        <w:r w:rsidR="006D4203">
          <w:rPr>
            <w:webHidden/>
          </w:rPr>
          <w:tab/>
        </w:r>
        <w:r w:rsidR="006D4203">
          <w:rPr>
            <w:webHidden/>
          </w:rPr>
          <w:fldChar w:fldCharType="begin"/>
        </w:r>
        <w:r w:rsidR="006D4203">
          <w:rPr>
            <w:webHidden/>
          </w:rPr>
          <w:instrText xml:space="preserve"> PAGEREF _Toc2188952 \h </w:instrText>
        </w:r>
        <w:r w:rsidR="006D4203">
          <w:rPr>
            <w:webHidden/>
          </w:rPr>
        </w:r>
        <w:r w:rsidR="006D4203">
          <w:rPr>
            <w:webHidden/>
          </w:rPr>
          <w:fldChar w:fldCharType="separate"/>
        </w:r>
        <w:r w:rsidR="00172EC5">
          <w:rPr>
            <w:webHidden/>
          </w:rPr>
          <w:t>23</w:t>
        </w:r>
        <w:r w:rsidR="006D4203">
          <w:rPr>
            <w:webHidden/>
          </w:rPr>
          <w:fldChar w:fldCharType="end"/>
        </w:r>
      </w:hyperlink>
    </w:p>
    <w:p w14:paraId="024A7017" w14:textId="396FBA3E" w:rsidR="006D4203" w:rsidRDefault="00910E12">
      <w:pPr>
        <w:pStyle w:val="TOC2"/>
        <w:rPr>
          <w:rFonts w:asciiTheme="minorHAnsi" w:eastAsiaTheme="minorEastAsia" w:hAnsiTheme="minorHAnsi" w:cstheme="minorBidi"/>
          <w:color w:val="auto"/>
          <w:sz w:val="22"/>
          <w:szCs w:val="22"/>
        </w:rPr>
      </w:pPr>
      <w:hyperlink w:anchor="_Toc2188953" w:history="1">
        <w:r w:rsidR="006D4203" w:rsidRPr="001535ED">
          <w:rPr>
            <w:rStyle w:val="Hyperlink"/>
          </w:rPr>
          <w:t>Discounts and Premiums</w:t>
        </w:r>
        <w:r w:rsidR="006D4203">
          <w:rPr>
            <w:webHidden/>
          </w:rPr>
          <w:tab/>
        </w:r>
        <w:r w:rsidR="006D4203">
          <w:rPr>
            <w:webHidden/>
          </w:rPr>
          <w:fldChar w:fldCharType="begin"/>
        </w:r>
        <w:r w:rsidR="006D4203">
          <w:rPr>
            <w:webHidden/>
          </w:rPr>
          <w:instrText xml:space="preserve"> PAGEREF _Toc2188953 \h </w:instrText>
        </w:r>
        <w:r w:rsidR="006D4203">
          <w:rPr>
            <w:webHidden/>
          </w:rPr>
        </w:r>
        <w:r w:rsidR="006D4203">
          <w:rPr>
            <w:webHidden/>
          </w:rPr>
          <w:fldChar w:fldCharType="separate"/>
        </w:r>
        <w:r w:rsidR="00172EC5">
          <w:rPr>
            <w:webHidden/>
          </w:rPr>
          <w:t>25</w:t>
        </w:r>
        <w:r w:rsidR="006D4203">
          <w:rPr>
            <w:webHidden/>
          </w:rPr>
          <w:fldChar w:fldCharType="end"/>
        </w:r>
      </w:hyperlink>
    </w:p>
    <w:p w14:paraId="7CBAC711" w14:textId="13F97CF2" w:rsidR="006D4203" w:rsidRDefault="00910E12">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2188954" w:history="1">
        <w:r w:rsidR="006D4203" w:rsidRPr="001535ED">
          <w:rPr>
            <w:rStyle w:val="Hyperlink"/>
            <w:noProof/>
          </w:rPr>
          <w:t>Conclusion</w:t>
        </w:r>
        <w:r w:rsidR="006D4203">
          <w:rPr>
            <w:noProof/>
            <w:webHidden/>
          </w:rPr>
          <w:tab/>
        </w:r>
        <w:r w:rsidR="006D4203">
          <w:rPr>
            <w:noProof/>
            <w:webHidden/>
          </w:rPr>
          <w:fldChar w:fldCharType="begin"/>
        </w:r>
        <w:r w:rsidR="006D4203">
          <w:rPr>
            <w:noProof/>
            <w:webHidden/>
          </w:rPr>
          <w:instrText xml:space="preserve"> PAGEREF _Toc2188954 \h </w:instrText>
        </w:r>
        <w:r w:rsidR="006D4203">
          <w:rPr>
            <w:noProof/>
            <w:webHidden/>
          </w:rPr>
        </w:r>
        <w:r w:rsidR="006D4203">
          <w:rPr>
            <w:noProof/>
            <w:webHidden/>
          </w:rPr>
          <w:fldChar w:fldCharType="separate"/>
        </w:r>
        <w:r w:rsidR="00172EC5">
          <w:rPr>
            <w:noProof/>
            <w:webHidden/>
          </w:rPr>
          <w:t>28</w:t>
        </w:r>
        <w:r w:rsidR="006D4203">
          <w:rPr>
            <w:noProof/>
            <w:webHidden/>
          </w:rPr>
          <w:fldChar w:fldCharType="end"/>
        </w:r>
      </w:hyperlink>
    </w:p>
    <w:p w14:paraId="2473D788" w14:textId="26C10530" w:rsidR="006D4203" w:rsidRDefault="00910E12">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2188955" w:history="1">
        <w:r w:rsidR="006D4203" w:rsidRPr="001535ED">
          <w:rPr>
            <w:rStyle w:val="Hyperlink"/>
            <w:noProof/>
          </w:rPr>
          <w:t>Statement of Limiting Conditions</w:t>
        </w:r>
        <w:r w:rsidR="006D4203">
          <w:rPr>
            <w:noProof/>
            <w:webHidden/>
          </w:rPr>
          <w:tab/>
        </w:r>
        <w:r w:rsidR="006D4203">
          <w:rPr>
            <w:noProof/>
            <w:webHidden/>
          </w:rPr>
          <w:fldChar w:fldCharType="begin"/>
        </w:r>
        <w:r w:rsidR="006D4203">
          <w:rPr>
            <w:noProof/>
            <w:webHidden/>
          </w:rPr>
          <w:instrText xml:space="preserve"> PAGEREF _Toc2188955 \h </w:instrText>
        </w:r>
        <w:r w:rsidR="006D4203">
          <w:rPr>
            <w:noProof/>
            <w:webHidden/>
          </w:rPr>
        </w:r>
        <w:r w:rsidR="006D4203">
          <w:rPr>
            <w:noProof/>
            <w:webHidden/>
          </w:rPr>
          <w:fldChar w:fldCharType="separate"/>
        </w:r>
        <w:r w:rsidR="00172EC5">
          <w:rPr>
            <w:noProof/>
            <w:webHidden/>
          </w:rPr>
          <w:t>29</w:t>
        </w:r>
        <w:r w:rsidR="006D4203">
          <w:rPr>
            <w:noProof/>
            <w:webHidden/>
          </w:rPr>
          <w:fldChar w:fldCharType="end"/>
        </w:r>
      </w:hyperlink>
    </w:p>
    <w:p w14:paraId="0B204CA8" w14:textId="11BB7E70" w:rsidR="006D4203" w:rsidRDefault="00910E12">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2188956" w:history="1">
        <w:r w:rsidR="006D4203" w:rsidRPr="001535ED">
          <w:rPr>
            <w:rStyle w:val="Hyperlink"/>
            <w:noProof/>
          </w:rPr>
          <w:t>Qualifications</w:t>
        </w:r>
        <w:r w:rsidR="006D4203">
          <w:rPr>
            <w:noProof/>
            <w:webHidden/>
          </w:rPr>
          <w:tab/>
        </w:r>
        <w:r w:rsidR="006D4203">
          <w:rPr>
            <w:noProof/>
            <w:webHidden/>
          </w:rPr>
          <w:fldChar w:fldCharType="begin"/>
        </w:r>
        <w:r w:rsidR="006D4203">
          <w:rPr>
            <w:noProof/>
            <w:webHidden/>
          </w:rPr>
          <w:instrText xml:space="preserve"> PAGEREF _Toc2188956 \h </w:instrText>
        </w:r>
        <w:r w:rsidR="006D4203">
          <w:rPr>
            <w:noProof/>
            <w:webHidden/>
          </w:rPr>
        </w:r>
        <w:r w:rsidR="006D4203">
          <w:rPr>
            <w:noProof/>
            <w:webHidden/>
          </w:rPr>
          <w:fldChar w:fldCharType="separate"/>
        </w:r>
        <w:r w:rsidR="00172EC5">
          <w:rPr>
            <w:noProof/>
            <w:webHidden/>
          </w:rPr>
          <w:t>30</w:t>
        </w:r>
        <w:r w:rsidR="006D4203">
          <w:rPr>
            <w:noProof/>
            <w:webHidden/>
          </w:rPr>
          <w:fldChar w:fldCharType="end"/>
        </w:r>
      </w:hyperlink>
    </w:p>
    <w:p w14:paraId="7129911C" w14:textId="2FB7D392" w:rsidR="006D4203" w:rsidRDefault="00910E12">
      <w:pPr>
        <w:pStyle w:val="TOC2"/>
        <w:rPr>
          <w:rFonts w:asciiTheme="minorHAnsi" w:eastAsiaTheme="minorEastAsia" w:hAnsiTheme="minorHAnsi" w:cstheme="minorBidi"/>
          <w:color w:val="auto"/>
          <w:sz w:val="22"/>
          <w:szCs w:val="22"/>
        </w:rPr>
      </w:pPr>
      <w:hyperlink w:anchor="_Toc2188957" w:history="1">
        <w:r w:rsidR="006D4203" w:rsidRPr="001535ED">
          <w:rPr>
            <w:rStyle w:val="Hyperlink"/>
          </w:rPr>
          <w:t>Samuel Renwick, CFA</w:t>
        </w:r>
        <w:r w:rsidR="006D4203">
          <w:rPr>
            <w:webHidden/>
          </w:rPr>
          <w:tab/>
        </w:r>
        <w:r w:rsidR="006D4203">
          <w:rPr>
            <w:webHidden/>
          </w:rPr>
          <w:fldChar w:fldCharType="begin"/>
        </w:r>
        <w:r w:rsidR="006D4203">
          <w:rPr>
            <w:webHidden/>
          </w:rPr>
          <w:instrText xml:space="preserve"> PAGEREF _Toc2188957 \h </w:instrText>
        </w:r>
        <w:r w:rsidR="006D4203">
          <w:rPr>
            <w:webHidden/>
          </w:rPr>
        </w:r>
        <w:r w:rsidR="006D4203">
          <w:rPr>
            <w:webHidden/>
          </w:rPr>
          <w:fldChar w:fldCharType="separate"/>
        </w:r>
        <w:r w:rsidR="00172EC5">
          <w:rPr>
            <w:webHidden/>
          </w:rPr>
          <w:t>30</w:t>
        </w:r>
        <w:r w:rsidR="006D4203">
          <w:rPr>
            <w:webHidden/>
          </w:rPr>
          <w:fldChar w:fldCharType="end"/>
        </w:r>
      </w:hyperlink>
    </w:p>
    <w:p w14:paraId="62B0D555" w14:textId="34E37BB2" w:rsidR="006D4203" w:rsidRDefault="00910E12">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2188958" w:history="1">
        <w:r w:rsidR="006D4203" w:rsidRPr="001535ED">
          <w:rPr>
            <w:rStyle w:val="Hyperlink"/>
            <w:noProof/>
          </w:rPr>
          <w:t>Certification</w:t>
        </w:r>
        <w:r w:rsidR="006D4203">
          <w:rPr>
            <w:noProof/>
            <w:webHidden/>
          </w:rPr>
          <w:tab/>
        </w:r>
        <w:r w:rsidR="006D4203">
          <w:rPr>
            <w:noProof/>
            <w:webHidden/>
          </w:rPr>
          <w:fldChar w:fldCharType="begin"/>
        </w:r>
        <w:r w:rsidR="006D4203">
          <w:rPr>
            <w:noProof/>
            <w:webHidden/>
          </w:rPr>
          <w:instrText xml:space="preserve"> PAGEREF _Toc2188958 \h </w:instrText>
        </w:r>
        <w:r w:rsidR="006D4203">
          <w:rPr>
            <w:noProof/>
            <w:webHidden/>
          </w:rPr>
        </w:r>
        <w:r w:rsidR="006D4203">
          <w:rPr>
            <w:noProof/>
            <w:webHidden/>
          </w:rPr>
          <w:fldChar w:fldCharType="separate"/>
        </w:r>
        <w:r w:rsidR="00172EC5">
          <w:rPr>
            <w:noProof/>
            <w:webHidden/>
          </w:rPr>
          <w:t>32</w:t>
        </w:r>
        <w:r w:rsidR="006D4203">
          <w:rPr>
            <w:noProof/>
            <w:webHidden/>
          </w:rPr>
          <w:fldChar w:fldCharType="end"/>
        </w:r>
      </w:hyperlink>
    </w:p>
    <w:p w14:paraId="34F508F4" w14:textId="0F74D975" w:rsidR="006D4203" w:rsidRDefault="00910E12">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2188959" w:history="1">
        <w:r w:rsidR="006D4203" w:rsidRPr="001535ED">
          <w:rPr>
            <w:rStyle w:val="Hyperlink"/>
            <w:noProof/>
          </w:rPr>
          <w:t>Exhibits</w:t>
        </w:r>
        <w:r w:rsidR="006D4203">
          <w:rPr>
            <w:noProof/>
            <w:webHidden/>
          </w:rPr>
          <w:tab/>
        </w:r>
        <w:r w:rsidR="006D4203">
          <w:rPr>
            <w:noProof/>
            <w:webHidden/>
          </w:rPr>
          <w:fldChar w:fldCharType="begin"/>
        </w:r>
        <w:r w:rsidR="006D4203">
          <w:rPr>
            <w:noProof/>
            <w:webHidden/>
          </w:rPr>
          <w:instrText xml:space="preserve"> PAGEREF _Toc2188959 \h </w:instrText>
        </w:r>
        <w:r w:rsidR="006D4203">
          <w:rPr>
            <w:noProof/>
            <w:webHidden/>
          </w:rPr>
        </w:r>
        <w:r w:rsidR="006D4203">
          <w:rPr>
            <w:noProof/>
            <w:webHidden/>
          </w:rPr>
          <w:fldChar w:fldCharType="separate"/>
        </w:r>
        <w:r w:rsidR="00172EC5">
          <w:rPr>
            <w:noProof/>
            <w:webHidden/>
          </w:rPr>
          <w:t>33</w:t>
        </w:r>
        <w:r w:rsidR="006D4203">
          <w:rPr>
            <w:noProof/>
            <w:webHidden/>
          </w:rPr>
          <w:fldChar w:fldCharType="end"/>
        </w:r>
      </w:hyperlink>
    </w:p>
    <w:p w14:paraId="7194FE45" w14:textId="0712237C" w:rsidR="00573796" w:rsidRPr="00E06744" w:rsidRDefault="00575DEC" w:rsidP="00565DEF">
      <w:pPr>
        <w:pStyle w:val="TOC1"/>
        <w:tabs>
          <w:tab w:val="right" w:leader="dot" w:pos="10070"/>
        </w:tabs>
      </w:pPr>
      <w:r>
        <w:rPr>
          <w:rFonts w:ascii="Arial" w:hAnsi="Arial"/>
        </w:rPr>
        <w:fldChar w:fldCharType="end"/>
      </w:r>
    </w:p>
    <w:p w14:paraId="7BEBA1D6" w14:textId="77777777" w:rsidR="007C77D3" w:rsidRDefault="00573796" w:rsidP="007C77D3">
      <w:pPr>
        <w:pStyle w:val="RNAHeadlineA"/>
      </w:pPr>
      <w:r w:rsidRPr="007007F4">
        <w:br w:type="page"/>
      </w:r>
      <w:bookmarkStart w:id="6" w:name="_Toc432004231"/>
    </w:p>
    <w:p w14:paraId="19AC89DA" w14:textId="4D01863C" w:rsidR="007C77D3" w:rsidRPr="007C77D3" w:rsidRDefault="007C77D3" w:rsidP="00565DEF">
      <w:pPr>
        <w:pStyle w:val="RNAHeadlineA"/>
        <w:outlineLvl w:val="0"/>
        <w:rPr>
          <w:rFonts w:ascii="Times New Roman" w:hAnsi="Times New Roman"/>
          <w:sz w:val="22"/>
          <w:szCs w:val="22"/>
        </w:rPr>
      </w:pPr>
      <w:bookmarkStart w:id="7" w:name="_Toc2188932"/>
      <w:r w:rsidRPr="007C77D3">
        <w:t xml:space="preserve">Engagement </w:t>
      </w:r>
      <w:r w:rsidR="0062007E">
        <w:t>O</w:t>
      </w:r>
      <w:r w:rsidRPr="007C77D3">
        <w:t>verview</w:t>
      </w:r>
      <w:bookmarkEnd w:id="7"/>
    </w:p>
    <w:p w14:paraId="0B313475" w14:textId="77777777" w:rsidR="007C77D3" w:rsidRDefault="007C77D3" w:rsidP="007C77D3">
      <w:pPr>
        <w:pStyle w:val="RNAHeadlineB"/>
      </w:pPr>
    </w:p>
    <w:p w14:paraId="79B6322F" w14:textId="7B9791EB" w:rsidR="00573796" w:rsidRPr="00565DEF" w:rsidRDefault="00575DEC" w:rsidP="00DE5618">
      <w:pPr>
        <w:pStyle w:val="RNA-Heading2"/>
      </w:pPr>
      <w:bookmarkStart w:id="8" w:name="_Toc2188933"/>
      <w:r>
        <w:t>Purpose</w:t>
      </w:r>
      <w:bookmarkEnd w:id="6"/>
      <w:bookmarkEnd w:id="8"/>
    </w:p>
    <w:p w14:paraId="5DB0326E" w14:textId="45CFAEBE" w:rsidR="00573796" w:rsidRPr="005203C8" w:rsidRDefault="00573796" w:rsidP="00DE5618">
      <w:pPr>
        <w:pStyle w:val="RNABodyCopy"/>
        <w:keepNext/>
      </w:pPr>
      <w:r w:rsidRPr="00127B83">
        <w:t>RNA</w:t>
      </w:r>
      <w:r w:rsidRPr="005203C8">
        <w:t xml:space="preserve"> has completed an analysis of </w:t>
      </w:r>
      <w:r>
        <w:t xml:space="preserve">the </w:t>
      </w:r>
      <w:r w:rsidRPr="00934225">
        <w:t xml:space="preserve">Company </w:t>
      </w:r>
      <w:r w:rsidRPr="005203C8">
        <w:t>as of the Valuation Date to determine the fair market value of the Common Stock on a non-marketable</w:t>
      </w:r>
      <w:r w:rsidR="00AA3F4F">
        <w:t xml:space="preserve">, </w:t>
      </w:r>
      <w:r w:rsidR="00AA3F4F" w:rsidRPr="005203C8">
        <w:t>minority</w:t>
      </w:r>
      <w:r w:rsidRPr="005203C8">
        <w:t xml:space="preserve"> interest basis</w:t>
      </w:r>
      <w:r>
        <w:t xml:space="preserve">.  </w:t>
      </w:r>
      <w:r w:rsidRPr="005203C8">
        <w:t>This analysis has been performed in recognition of IRC 409A</w:t>
      </w:r>
      <w:r>
        <w:t xml:space="preserve">.  </w:t>
      </w:r>
      <w:r w:rsidRPr="005203C8">
        <w:t>This analysis uses the methods and techniques outlined in the Practice Aid</w:t>
      </w:r>
      <w:r w:rsidRPr="00127B83">
        <w:t>,</w:t>
      </w:r>
      <w:r w:rsidRPr="005203C8">
        <w:t xml:space="preserve"> which are relevant to the valuation of the Common Stock</w:t>
      </w:r>
      <w:r>
        <w:t xml:space="preserve">.  </w:t>
      </w:r>
      <w:r w:rsidRPr="005203C8">
        <w:t>The definition of fair market value is predicated on IRS Revenue Ruling 59-60.</w:t>
      </w:r>
      <w:r>
        <w:t xml:space="preserve">  </w:t>
      </w:r>
    </w:p>
    <w:p w14:paraId="4B8B7B74" w14:textId="77777777" w:rsidR="00573796" w:rsidRPr="00565DEF" w:rsidRDefault="00573796" w:rsidP="00573796">
      <w:pPr>
        <w:rPr>
          <w:rFonts w:ascii="Georgia" w:hAnsi="Georgia"/>
        </w:rPr>
      </w:pPr>
    </w:p>
    <w:p w14:paraId="410BF4A5" w14:textId="4116F3C9" w:rsidR="00573796" w:rsidRPr="00521FB5" w:rsidRDefault="00573796" w:rsidP="00DE5618">
      <w:pPr>
        <w:pStyle w:val="RNA-Heading2"/>
      </w:pPr>
      <w:bookmarkStart w:id="9" w:name="_Toc432004232"/>
      <w:bookmarkStart w:id="10" w:name="_Toc2188934"/>
      <w:r w:rsidRPr="00331A25">
        <w:t>Scope</w:t>
      </w:r>
      <w:bookmarkEnd w:id="9"/>
      <w:bookmarkEnd w:id="10"/>
    </w:p>
    <w:p w14:paraId="02B5402D" w14:textId="715AAF35" w:rsidR="00573796" w:rsidRPr="005203C8" w:rsidRDefault="00573796" w:rsidP="00DE5618">
      <w:pPr>
        <w:pStyle w:val="RNABodyCopy"/>
        <w:keepNext/>
      </w:pPr>
      <w:r w:rsidRPr="005203C8">
        <w:t>RNA has based this Opinion on information provided and represented by Management</w:t>
      </w:r>
      <w:r>
        <w:t xml:space="preserve">.  </w:t>
      </w:r>
      <w:r w:rsidRPr="005203C8">
        <w:t>Our review and analysis included, but was not necessarily limited to, the following steps:</w:t>
      </w:r>
    </w:p>
    <w:p w14:paraId="7E6BB6D7" w14:textId="77777777" w:rsidR="00573796" w:rsidRPr="005203C8" w:rsidRDefault="00573796" w:rsidP="00573796"/>
    <w:p w14:paraId="055254AA" w14:textId="4B6F784E" w:rsidR="00573796" w:rsidRPr="0038539A" w:rsidRDefault="00573796" w:rsidP="00DE5618">
      <w:pPr>
        <w:pStyle w:val="RNABodyCopy-bullets"/>
        <w:numPr>
          <w:ilvl w:val="0"/>
          <w:numId w:val="47"/>
        </w:numPr>
        <w:ind w:left="1080" w:hanging="720"/>
      </w:pPr>
      <w:r w:rsidRPr="00A71F2E">
        <w:t>Reviewed the Previous Valuation report (defined below);</w:t>
      </w:r>
    </w:p>
    <w:p w14:paraId="4286C038" w14:textId="0E67148B" w:rsidR="00573796" w:rsidRPr="0038539A" w:rsidRDefault="00573796" w:rsidP="00DE5618">
      <w:pPr>
        <w:pStyle w:val="RNABodyCopy-bullets"/>
        <w:numPr>
          <w:ilvl w:val="0"/>
          <w:numId w:val="47"/>
        </w:numPr>
        <w:ind w:left="1080" w:hanging="720"/>
      </w:pPr>
      <w:r>
        <w:t xml:space="preserve">Discussed </w:t>
      </w:r>
      <w:r w:rsidRPr="00474556">
        <w:t xml:space="preserve">the </w:t>
      </w:r>
      <w:r w:rsidR="00FE78A1">
        <w:t xml:space="preserve">expected </w:t>
      </w:r>
      <w:r w:rsidRPr="00474556">
        <w:t>operations, financial condition,</w:t>
      </w:r>
      <w:r w:rsidR="00F16079">
        <w:t xml:space="preserve"> and</w:t>
      </w:r>
      <w:r w:rsidRPr="00474556">
        <w:t xml:space="preserve"> </w:t>
      </w:r>
      <w:proofErr w:type="gramStart"/>
      <w:r w:rsidRPr="00474556">
        <w:t>future prospects</w:t>
      </w:r>
      <w:proofErr w:type="gramEnd"/>
      <w:r w:rsidRPr="00474556">
        <w:t xml:space="preserve"> </w:t>
      </w:r>
      <w:r w:rsidR="00FB66CB" w:rsidRPr="00474556">
        <w:t xml:space="preserve">with Management </w:t>
      </w:r>
      <w:r w:rsidR="00FB66CB">
        <w:t>in ord</w:t>
      </w:r>
      <w:r w:rsidR="00FB66CB" w:rsidRPr="0038539A">
        <w:t xml:space="preserve">er </w:t>
      </w:r>
      <w:r w:rsidRPr="0038539A">
        <w:t>to understand the performance of the Company;</w:t>
      </w:r>
    </w:p>
    <w:p w14:paraId="1135BB1E" w14:textId="13562AC0" w:rsidR="00573796" w:rsidRPr="00A71F2E" w:rsidRDefault="00573796" w:rsidP="00DE5618">
      <w:pPr>
        <w:pStyle w:val="RNABodyCopy-bullets"/>
        <w:numPr>
          <w:ilvl w:val="0"/>
          <w:numId w:val="47"/>
        </w:numPr>
        <w:ind w:left="1080" w:hanging="720"/>
      </w:pPr>
      <w:r w:rsidRPr="0038539A">
        <w:t xml:space="preserve">Reviewed the Company’s financial statements for the years ended </w:t>
      </w:r>
      <w:r w:rsidRPr="00A71F2E">
        <w:t xml:space="preserve">December 31, </w:t>
      </w:r>
      <w:r w:rsidR="0038539A" w:rsidRPr="007058FB">
        <w:rPr>
          <w:noProof/>
        </w:rPr>
        <w:t>2015</w:t>
      </w:r>
      <w:r w:rsidR="0038539A" w:rsidRPr="00A71F2E">
        <w:t xml:space="preserve"> </w:t>
      </w:r>
      <w:r w:rsidR="005F3838" w:rsidRPr="00A71F2E">
        <w:t>to</w:t>
      </w:r>
      <w:r w:rsidRPr="00A71F2E">
        <w:t xml:space="preserve"> December 31, </w:t>
      </w:r>
      <w:r w:rsidR="0038539A" w:rsidRPr="00A71F2E">
        <w:t>2018</w:t>
      </w:r>
      <w:r w:rsidR="00DC4117">
        <w:t>, which Management indicated was the latest available as of the Valuation Date</w:t>
      </w:r>
      <w:r w:rsidRPr="00A71F2E">
        <w:t>;</w:t>
      </w:r>
    </w:p>
    <w:p w14:paraId="55583A53" w14:textId="091722E7" w:rsidR="00573796" w:rsidRPr="00474556" w:rsidRDefault="00573796" w:rsidP="00DE5618">
      <w:pPr>
        <w:pStyle w:val="RNABodyCopy-bullets"/>
        <w:numPr>
          <w:ilvl w:val="0"/>
          <w:numId w:val="47"/>
        </w:numPr>
        <w:ind w:left="1080" w:hanging="720"/>
      </w:pPr>
      <w:r w:rsidRPr="00474556">
        <w:t xml:space="preserve">Reviewed consolidated forecasts prepared by Management for </w:t>
      </w:r>
      <w:r>
        <w:t xml:space="preserve">the </w:t>
      </w:r>
      <w:r w:rsidRPr="00934225">
        <w:t>Company</w:t>
      </w:r>
      <w:r w:rsidRPr="00474556">
        <w:t>;</w:t>
      </w:r>
    </w:p>
    <w:p w14:paraId="34C2667B" w14:textId="77777777" w:rsidR="00573796" w:rsidRPr="0080026C" w:rsidRDefault="00573796" w:rsidP="00DE5618">
      <w:pPr>
        <w:pStyle w:val="RNABodyCopy-bullets"/>
        <w:numPr>
          <w:ilvl w:val="0"/>
          <w:numId w:val="47"/>
        </w:numPr>
        <w:ind w:left="1080" w:hanging="720"/>
      </w:pPr>
      <w:r w:rsidRPr="0080026C">
        <w:t>Reviewed a capitalization summary of the Company as prepared by Management;</w:t>
      </w:r>
    </w:p>
    <w:p w14:paraId="20E25ED8" w14:textId="77777777" w:rsidR="00573796" w:rsidRPr="0080026C" w:rsidRDefault="00573796" w:rsidP="00DE5618">
      <w:pPr>
        <w:pStyle w:val="RNABodyCopy-bullets"/>
        <w:numPr>
          <w:ilvl w:val="0"/>
          <w:numId w:val="47"/>
        </w:numPr>
        <w:ind w:left="1080" w:hanging="720"/>
      </w:pPr>
      <w:r w:rsidRPr="0080026C">
        <w:t>Reviewed a copy of the Company's Articles of Incorporation;</w:t>
      </w:r>
    </w:p>
    <w:p w14:paraId="275D3600" w14:textId="77777777" w:rsidR="00573796" w:rsidRPr="0080026C" w:rsidRDefault="00573796" w:rsidP="00DE5618">
      <w:pPr>
        <w:pStyle w:val="RNABodyCopy-bullets"/>
        <w:numPr>
          <w:ilvl w:val="0"/>
          <w:numId w:val="47"/>
        </w:numPr>
        <w:ind w:left="1080" w:hanging="720"/>
      </w:pPr>
      <w:r w:rsidRPr="0080026C">
        <w:t xml:space="preserve">Reviewed copies of certain documents pertaining to various securities underlying the Company's capital structure, such as preferred and </w:t>
      </w:r>
      <w:r>
        <w:t>c</w:t>
      </w:r>
      <w:r w:rsidRPr="006E7021">
        <w:t>ommon stock;</w:t>
      </w:r>
    </w:p>
    <w:p w14:paraId="3DED53F3" w14:textId="77777777" w:rsidR="00573796" w:rsidRPr="0080026C" w:rsidRDefault="00573796" w:rsidP="00DE5618">
      <w:pPr>
        <w:pStyle w:val="RNABodyCopy-bullets"/>
        <w:numPr>
          <w:ilvl w:val="0"/>
          <w:numId w:val="47"/>
        </w:numPr>
        <w:ind w:left="1080" w:hanging="720"/>
      </w:pPr>
      <w:r w:rsidRPr="0080026C">
        <w:t>Reviewed certain publicly available financial data for companies that we deemed comparable to the Company;</w:t>
      </w:r>
    </w:p>
    <w:p w14:paraId="54BA62B9" w14:textId="77777777" w:rsidR="00573796" w:rsidRPr="0080026C" w:rsidRDefault="00573796" w:rsidP="00DE5618">
      <w:pPr>
        <w:pStyle w:val="RNABodyCopy-bullets"/>
        <w:numPr>
          <w:ilvl w:val="0"/>
          <w:numId w:val="47"/>
        </w:numPr>
        <w:ind w:left="1080" w:hanging="720"/>
      </w:pPr>
      <w:r w:rsidRPr="0080026C">
        <w:t>Conducted research concerning the economic conditions and outlook for the US economy generally as of the Valuation Date; and</w:t>
      </w:r>
    </w:p>
    <w:p w14:paraId="0D6A3E0F" w14:textId="77777777" w:rsidR="00573796" w:rsidRPr="005203C8" w:rsidRDefault="00573796" w:rsidP="00DE5618">
      <w:pPr>
        <w:pStyle w:val="RNABodyCopy-bullets"/>
        <w:numPr>
          <w:ilvl w:val="0"/>
          <w:numId w:val="47"/>
        </w:numPr>
        <w:ind w:left="1080" w:hanging="720"/>
      </w:pPr>
      <w:r w:rsidRPr="005203C8">
        <w:t xml:space="preserve">Conducted other studies, analyses </w:t>
      </w:r>
      <w:r w:rsidRPr="007058FB">
        <w:rPr>
          <w:noProof/>
        </w:rPr>
        <w:t>and</w:t>
      </w:r>
      <w:r w:rsidRPr="005203C8">
        <w:t xml:space="preserve"> inquiries, as we deemed appropriate.</w:t>
      </w:r>
      <w:r>
        <w:t xml:space="preserve">  </w:t>
      </w:r>
    </w:p>
    <w:p w14:paraId="3FDB79AD" w14:textId="77777777" w:rsidR="00573796" w:rsidRPr="005203C8" w:rsidRDefault="00573796" w:rsidP="00573796"/>
    <w:p w14:paraId="61D7AC79" w14:textId="03153CAE" w:rsidR="007C77D3" w:rsidRDefault="00573796" w:rsidP="007C77D3">
      <w:pPr>
        <w:pStyle w:val="RNABodyCopy"/>
        <w:rPr>
          <w:color w:val="2F75B5"/>
          <w:sz w:val="28"/>
          <w:szCs w:val="24"/>
        </w:rPr>
      </w:pPr>
      <w:r w:rsidRPr="005203C8">
        <w:t>RNA did not independently verify the information provided</w:t>
      </w:r>
      <w:r w:rsidR="00FB66CB">
        <w:t>;</w:t>
      </w:r>
      <w:r w:rsidRPr="005203C8">
        <w:t xml:space="preserve"> </w:t>
      </w:r>
      <w:r w:rsidR="00FB66CB">
        <w:t>therefore</w:t>
      </w:r>
      <w:r w:rsidRPr="005203C8">
        <w:t xml:space="preserve">, the validity of </w:t>
      </w:r>
      <w:r>
        <w:t>our</w:t>
      </w:r>
      <w:r w:rsidRPr="005203C8">
        <w:t xml:space="preserve"> Opinion depends on the completeness and accuracy of the information provided to RNA by Management</w:t>
      </w:r>
      <w:r>
        <w:t xml:space="preserve">.  </w:t>
      </w:r>
      <w:r w:rsidRPr="005203C8">
        <w:t>Management warranted to RNA that the information supplied was complete and accurate to the best of its knowledge</w:t>
      </w:r>
      <w:r>
        <w:t xml:space="preserve">.  </w:t>
      </w:r>
      <w:r w:rsidRPr="005203C8">
        <w:t>Information furnished by the Company and others, upon which all or portions of our Opinion are based, is believed to be reliable and we have assumed that all facts and circumstances that would significantly affect the results of the Valuation have been disclosed to us</w:t>
      </w:r>
      <w:r>
        <w:t xml:space="preserve">.  </w:t>
      </w:r>
      <w:r w:rsidRPr="005203C8">
        <w:t>However, RNA provides no warranty as to the accuracy of such information</w:t>
      </w:r>
      <w:r>
        <w:t xml:space="preserve">.  </w:t>
      </w:r>
      <w:r w:rsidRPr="005203C8">
        <w:t>Our fee for this service is not contingent upon the Valuation expressed herein.</w:t>
      </w:r>
      <w:r>
        <w:t xml:space="preserve">  </w:t>
      </w:r>
      <w:bookmarkStart w:id="11" w:name="_Toc418529102"/>
      <w:bookmarkStart w:id="12" w:name="_Toc432004233"/>
    </w:p>
    <w:p w14:paraId="7441E241" w14:textId="265EDAF0" w:rsidR="00573796" w:rsidRPr="00565DEF" w:rsidRDefault="00573796" w:rsidP="006657AF">
      <w:pPr>
        <w:pStyle w:val="RNAHeadlineB"/>
        <w:outlineLvl w:val="1"/>
        <w:rPr>
          <w:rFonts w:ascii="Georgia" w:hAnsi="Georgia"/>
          <w:color w:val="2F75B5"/>
          <w:sz w:val="28"/>
          <w:szCs w:val="24"/>
        </w:rPr>
      </w:pPr>
      <w:bookmarkStart w:id="13" w:name="_Toc2188935"/>
      <w:r w:rsidRPr="00565DEF">
        <w:rPr>
          <w:rFonts w:ascii="Georgia" w:hAnsi="Georgia"/>
        </w:rPr>
        <w:t xml:space="preserve">Key </w:t>
      </w:r>
      <w:bookmarkEnd w:id="11"/>
      <w:bookmarkEnd w:id="12"/>
      <w:r w:rsidRPr="00565DEF">
        <w:rPr>
          <w:rFonts w:ascii="Georgia" w:hAnsi="Georgia"/>
        </w:rPr>
        <w:t>Definitions</w:t>
      </w:r>
      <w:bookmarkEnd w:id="13"/>
    </w:p>
    <w:p w14:paraId="090490CB" w14:textId="042C8621" w:rsidR="00FA5703" w:rsidRDefault="00FA5703" w:rsidP="00DE5618">
      <w:pPr>
        <w:pStyle w:val="RNABodyCopy"/>
        <w:keepNext/>
      </w:pPr>
      <w:r>
        <w:t xml:space="preserve">The term “BMP”, as used herein, refers to </w:t>
      </w:r>
      <w:r w:rsidRPr="00FA5703">
        <w:t>bone morphogenetic protein</w:t>
      </w:r>
      <w:r>
        <w:t>.</w:t>
      </w:r>
    </w:p>
    <w:p w14:paraId="0F335E5E" w14:textId="77777777" w:rsidR="00FA5703" w:rsidRDefault="00FA5703" w:rsidP="00DE5618">
      <w:pPr>
        <w:pStyle w:val="RNABodyCopy"/>
        <w:keepNext/>
      </w:pPr>
    </w:p>
    <w:p w14:paraId="1E91CCE1" w14:textId="77777777" w:rsidR="00573796" w:rsidRPr="00474556" w:rsidRDefault="00573796" w:rsidP="00DE5618">
      <w:pPr>
        <w:pStyle w:val="RNABodyCopy"/>
        <w:keepNext/>
      </w:pPr>
      <w:r w:rsidRPr="00474556">
        <w:t>The term “CAGR”, as used herein, refers to compound annual growth rate.</w:t>
      </w:r>
      <w:r>
        <w:t xml:space="preserve">  </w:t>
      </w:r>
    </w:p>
    <w:p w14:paraId="5A6D918E" w14:textId="77777777" w:rsidR="00573796" w:rsidRPr="00474556" w:rsidRDefault="00573796" w:rsidP="00DE5618">
      <w:pPr>
        <w:pStyle w:val="RNABodyCopy"/>
        <w:keepNext/>
      </w:pPr>
    </w:p>
    <w:p w14:paraId="2E0FF1C0" w14:textId="58F7F19E" w:rsidR="00442A56" w:rsidRPr="00474556" w:rsidRDefault="00442A56" w:rsidP="00442A56">
      <w:pPr>
        <w:pStyle w:val="RNABodyCopy"/>
        <w:keepNext/>
      </w:pPr>
      <w:r>
        <w:t>The term “CA</w:t>
      </w:r>
      <w:r w:rsidRPr="00474556">
        <w:t>R</w:t>
      </w:r>
      <w:r>
        <w:t>-T</w:t>
      </w:r>
      <w:r w:rsidRPr="00474556">
        <w:t xml:space="preserve">”, as used herein, refers to </w:t>
      </w:r>
      <w:r>
        <w:t>the chimeric antigen receptor T-cell</w:t>
      </w:r>
      <w:r w:rsidRPr="00474556">
        <w:t>.</w:t>
      </w:r>
      <w:r>
        <w:t xml:space="preserve">  </w:t>
      </w:r>
    </w:p>
    <w:p w14:paraId="34BA23AC" w14:textId="77777777" w:rsidR="00442A56" w:rsidRPr="00474556" w:rsidRDefault="00442A56" w:rsidP="00442A56">
      <w:pPr>
        <w:pStyle w:val="RNABodyCopy"/>
        <w:keepNext/>
      </w:pPr>
    </w:p>
    <w:p w14:paraId="7E30CCA7" w14:textId="71EFAA9D" w:rsidR="00442A56" w:rsidRPr="00474556" w:rsidRDefault="00442A56" w:rsidP="00442A56">
      <w:pPr>
        <w:pStyle w:val="RNABodyCopy"/>
        <w:keepNext/>
      </w:pPr>
      <w:r w:rsidRPr="00474556">
        <w:t>The term “C</w:t>
      </w:r>
      <w:r>
        <w:t>D80</w:t>
      </w:r>
      <w:r w:rsidRPr="00474556">
        <w:t xml:space="preserve">”, as used herein, refers to </w:t>
      </w:r>
      <w:r w:rsidRPr="00951B5C">
        <w:rPr>
          <w:noProof/>
        </w:rPr>
        <w:t>cluster</w:t>
      </w:r>
      <w:r>
        <w:t xml:space="preserve"> of differentiation 80 protein</w:t>
      </w:r>
      <w:r w:rsidRPr="00474556">
        <w:t>.</w:t>
      </w:r>
      <w:r>
        <w:t xml:space="preserve">  </w:t>
      </w:r>
    </w:p>
    <w:p w14:paraId="31281E00" w14:textId="77777777" w:rsidR="00442A56" w:rsidRPr="00474556" w:rsidRDefault="00442A56" w:rsidP="00442A56">
      <w:pPr>
        <w:pStyle w:val="RNABodyCopy"/>
        <w:keepNext/>
      </w:pPr>
    </w:p>
    <w:p w14:paraId="2AFC3BC9" w14:textId="77777777" w:rsidR="00C82C48" w:rsidRDefault="00C82C48" w:rsidP="00C82C48">
      <w:pPr>
        <w:pStyle w:val="RNABodyCopy"/>
      </w:pPr>
      <w:r>
        <w:t xml:space="preserve">The term “DCF”, as used herein, refers to discounted cash flow method.  </w:t>
      </w:r>
    </w:p>
    <w:p w14:paraId="5B31DD07" w14:textId="77777777" w:rsidR="00C248F1" w:rsidRDefault="00C248F1" w:rsidP="00C248F1">
      <w:pPr>
        <w:pStyle w:val="RNABodyCopy"/>
      </w:pPr>
    </w:p>
    <w:p w14:paraId="7A936702" w14:textId="1FB069E4" w:rsidR="00543F11" w:rsidRDefault="00543F11" w:rsidP="00C248F1">
      <w:pPr>
        <w:pStyle w:val="RNABodyCopy"/>
      </w:pPr>
      <w:r>
        <w:t>The term “DLOM”, as used herein, refers to discount for lack of marketability.</w:t>
      </w:r>
    </w:p>
    <w:p w14:paraId="03E3B0BD" w14:textId="77777777" w:rsidR="00543F11" w:rsidRDefault="00543F11" w:rsidP="00C248F1">
      <w:pPr>
        <w:pStyle w:val="RNABodyCopy"/>
      </w:pPr>
    </w:p>
    <w:p w14:paraId="0D337460" w14:textId="77777777" w:rsidR="00AB0FC3" w:rsidRPr="00C41226" w:rsidRDefault="00AB0FC3" w:rsidP="00AB0FC3">
      <w:pPr>
        <w:pStyle w:val="RNABodyCopy"/>
      </w:pPr>
      <w:r w:rsidRPr="00E866C3">
        <w:t xml:space="preserve">The term “FDA”, as used herein, refers to </w:t>
      </w:r>
      <w:r w:rsidRPr="00C41226">
        <w:t>the US Food and Drug Administration.</w:t>
      </w:r>
    </w:p>
    <w:p w14:paraId="0835F68E" w14:textId="77777777" w:rsidR="00442A56" w:rsidRDefault="00442A56" w:rsidP="00442A56">
      <w:pPr>
        <w:pStyle w:val="RNABodyCopy"/>
      </w:pPr>
    </w:p>
    <w:p w14:paraId="1940485B" w14:textId="07BF10CD" w:rsidR="00442A56" w:rsidRDefault="00442A56" w:rsidP="00442A56">
      <w:pPr>
        <w:pStyle w:val="RNABodyCopy"/>
      </w:pPr>
      <w:r>
        <w:t>The term “HIV”, as used herein, refers to human immunodeficiency virus.</w:t>
      </w:r>
    </w:p>
    <w:p w14:paraId="27160A8F" w14:textId="77777777" w:rsidR="00442A56" w:rsidRDefault="00442A56" w:rsidP="00442A56">
      <w:pPr>
        <w:pStyle w:val="RNABodyCopy"/>
      </w:pPr>
    </w:p>
    <w:p w14:paraId="139FCA9F" w14:textId="77777777" w:rsidR="00442A56" w:rsidRDefault="00442A56" w:rsidP="00442A56">
      <w:pPr>
        <w:pStyle w:val="RNABodyCopy"/>
      </w:pPr>
      <w:r>
        <w:t>The term “IL”, as used herein, refers to interleukin.</w:t>
      </w:r>
    </w:p>
    <w:p w14:paraId="4AA2534E" w14:textId="6A8BCA5C" w:rsidR="007C63B0" w:rsidRDefault="00442A56" w:rsidP="00951B5C">
      <w:pPr>
        <w:pStyle w:val="RNABodyCopy"/>
        <w:tabs>
          <w:tab w:val="left" w:pos="3818"/>
        </w:tabs>
      </w:pPr>
      <w:r>
        <w:tab/>
      </w:r>
    </w:p>
    <w:p w14:paraId="3875C8CE" w14:textId="77777777" w:rsidR="00573796" w:rsidRDefault="00573796" w:rsidP="007C77D3">
      <w:pPr>
        <w:pStyle w:val="RNABodyCopy"/>
      </w:pPr>
      <w:r>
        <w:t xml:space="preserve">The term “IPO”, as used herein, refers to an initial public offering.  </w:t>
      </w:r>
    </w:p>
    <w:p w14:paraId="19A566F9" w14:textId="04A3BC44" w:rsidR="00573796" w:rsidRDefault="00EA4D87" w:rsidP="00951B5C">
      <w:pPr>
        <w:pStyle w:val="RNABodyCopy"/>
        <w:tabs>
          <w:tab w:val="left" w:pos="7033"/>
        </w:tabs>
      </w:pPr>
      <w:r>
        <w:tab/>
      </w:r>
    </w:p>
    <w:p w14:paraId="3E077CDA" w14:textId="0A12F093" w:rsidR="00442A56" w:rsidRDefault="00442A56" w:rsidP="00442A56">
      <w:pPr>
        <w:pStyle w:val="RNABodyCopy"/>
      </w:pPr>
      <w:r w:rsidRPr="00A71F2E">
        <w:t>The term “P</w:t>
      </w:r>
      <w:r>
        <w:t>CR</w:t>
      </w:r>
      <w:r w:rsidRPr="00A71F2E">
        <w:t xml:space="preserve">”, as used herein, refers to </w:t>
      </w:r>
      <w:r w:rsidRPr="006D4203">
        <w:rPr>
          <w:noProof/>
        </w:rPr>
        <w:t>polymerase</w:t>
      </w:r>
      <w:r>
        <w:t xml:space="preserve"> chain reaction</w:t>
      </w:r>
      <w:r w:rsidRPr="00A71F2E">
        <w:t>.</w:t>
      </w:r>
    </w:p>
    <w:p w14:paraId="4E645668" w14:textId="77777777" w:rsidR="00442A56" w:rsidRDefault="00442A56" w:rsidP="00442A56">
      <w:pPr>
        <w:pStyle w:val="RNABodyCopy"/>
      </w:pPr>
    </w:p>
    <w:p w14:paraId="3BA61591" w14:textId="575C1400" w:rsidR="00442A56" w:rsidRDefault="00442A56" w:rsidP="00442A56">
      <w:pPr>
        <w:pStyle w:val="RNABodyCopy"/>
      </w:pPr>
      <w:r w:rsidRPr="00A71F2E">
        <w:t>The term “P</w:t>
      </w:r>
      <w:r>
        <w:t>D-1</w:t>
      </w:r>
      <w:r w:rsidRPr="00A71F2E">
        <w:t xml:space="preserve">”, as used herein, refers to </w:t>
      </w:r>
      <w:r>
        <w:t>p</w:t>
      </w:r>
      <w:r w:rsidRPr="00442A56">
        <w:t xml:space="preserve">rogrammed </w:t>
      </w:r>
      <w:r>
        <w:t xml:space="preserve">cell </w:t>
      </w:r>
      <w:r w:rsidRPr="00442A56">
        <w:t>death</w:t>
      </w:r>
      <w:r>
        <w:t xml:space="preserve"> protein 1.</w:t>
      </w:r>
    </w:p>
    <w:p w14:paraId="6D961FEF" w14:textId="77777777" w:rsidR="00442A56" w:rsidRDefault="00442A56" w:rsidP="00442A56">
      <w:pPr>
        <w:pStyle w:val="RNABodyCopy"/>
      </w:pPr>
    </w:p>
    <w:p w14:paraId="65D03C44" w14:textId="54D895E1" w:rsidR="00442A56" w:rsidRDefault="00442A56" w:rsidP="00442A56">
      <w:pPr>
        <w:pStyle w:val="RNABodyCopy"/>
      </w:pPr>
      <w:r w:rsidRPr="00A71F2E">
        <w:t>The term “P</w:t>
      </w:r>
      <w:r>
        <w:t>D-L1</w:t>
      </w:r>
      <w:r w:rsidRPr="00A71F2E">
        <w:t xml:space="preserve">”, as used herein, refers to </w:t>
      </w:r>
      <w:r>
        <w:t>programmed death-ligand 1</w:t>
      </w:r>
      <w:r w:rsidRPr="00A71F2E">
        <w:t>.</w:t>
      </w:r>
    </w:p>
    <w:p w14:paraId="00A4F1AC" w14:textId="77777777" w:rsidR="00442A56" w:rsidRDefault="00442A56" w:rsidP="00442A56">
      <w:pPr>
        <w:pStyle w:val="RNABodyCopy"/>
      </w:pPr>
    </w:p>
    <w:p w14:paraId="48807A67" w14:textId="0FA1B098" w:rsidR="00442A56" w:rsidRDefault="00442A56" w:rsidP="00442A56">
      <w:pPr>
        <w:pStyle w:val="RNABodyCopy"/>
      </w:pPr>
      <w:r w:rsidRPr="00A71F2E">
        <w:t>The term “Previous Valuation”, as used herein, refers to the valuation of Common Stock performed by RNA as of September 30, 2016.</w:t>
      </w:r>
    </w:p>
    <w:p w14:paraId="5CEB9D0A" w14:textId="77777777" w:rsidR="00573796" w:rsidRDefault="00573796" w:rsidP="007C77D3">
      <w:pPr>
        <w:pStyle w:val="RNABodyCopy"/>
      </w:pPr>
    </w:p>
    <w:p w14:paraId="1FC9462F" w14:textId="75F9A3A0" w:rsidR="00AA3F4F" w:rsidRDefault="00AA3F4F" w:rsidP="007C77D3">
      <w:pPr>
        <w:pStyle w:val="RNABodyCopy"/>
      </w:pPr>
      <w:r w:rsidRPr="00AA3F4F">
        <w:t>The term “</w:t>
      </w:r>
      <w:proofErr w:type="spellStart"/>
      <w:r w:rsidRPr="00AA3F4F">
        <w:t>rNPV</w:t>
      </w:r>
      <w:proofErr w:type="spellEnd"/>
      <w:r w:rsidRPr="00AA3F4F">
        <w:t xml:space="preserve">”, as used herein, refers to </w:t>
      </w:r>
      <w:r w:rsidRPr="006D4203">
        <w:rPr>
          <w:noProof/>
        </w:rPr>
        <w:t>risk-adjusted</w:t>
      </w:r>
      <w:r w:rsidRPr="00AA3F4F">
        <w:t xml:space="preserve"> net present value.</w:t>
      </w:r>
    </w:p>
    <w:p w14:paraId="1C7DE19B" w14:textId="77777777" w:rsidR="00573796" w:rsidRDefault="00573796" w:rsidP="007C77D3">
      <w:pPr>
        <w:pStyle w:val="RNABodyCopy"/>
      </w:pPr>
    </w:p>
    <w:p w14:paraId="2444AAB6" w14:textId="77777777" w:rsidR="00573796" w:rsidRDefault="00573796" w:rsidP="007C77D3">
      <w:pPr>
        <w:pStyle w:val="RNABodyCopy"/>
      </w:pPr>
      <w:r>
        <w:t xml:space="preserve">The term “US”, as used herein, refers to the United States of America and its major territories.  </w:t>
      </w:r>
    </w:p>
    <w:p w14:paraId="7955D2D1" w14:textId="77777777" w:rsidR="00573796" w:rsidRDefault="00573796" w:rsidP="007C77D3">
      <w:pPr>
        <w:pStyle w:val="RNABodyCopy"/>
      </w:pPr>
    </w:p>
    <w:p w14:paraId="6C859FCC" w14:textId="77777777" w:rsidR="00573796" w:rsidRDefault="00573796" w:rsidP="007C77D3">
      <w:pPr>
        <w:pStyle w:val="RNABodyCopy"/>
      </w:pPr>
      <w:r>
        <w:t xml:space="preserve">The term “USD”, as used herein, refers to US Dollars.  Unless otherwise noted, all currency figures in this Opinion are expressed in USD.  </w:t>
      </w:r>
    </w:p>
    <w:p w14:paraId="3E8B101F" w14:textId="77777777" w:rsidR="00B711D5" w:rsidRDefault="00B711D5" w:rsidP="00B711D5">
      <w:pPr>
        <w:pStyle w:val="RNABodyCopy"/>
      </w:pPr>
    </w:p>
    <w:p w14:paraId="5D504952" w14:textId="77777777" w:rsidR="00573796" w:rsidRPr="00474556" w:rsidRDefault="00573796" w:rsidP="007C77D3">
      <w:pPr>
        <w:pStyle w:val="RNABodyCopy"/>
        <w:rPr>
          <w:color w:val="1F4E79" w:themeColor="accent2" w:themeShade="80"/>
          <w:spacing w:val="20"/>
          <w:sz w:val="28"/>
        </w:rPr>
      </w:pPr>
      <w:r w:rsidRPr="00474556">
        <w:br w:type="page"/>
      </w:r>
    </w:p>
    <w:p w14:paraId="6C19C480" w14:textId="7C269B84" w:rsidR="00573796" w:rsidRPr="005203C8" w:rsidRDefault="00573796" w:rsidP="00565DEF">
      <w:pPr>
        <w:pStyle w:val="RNAHeadlineA"/>
        <w:outlineLvl w:val="0"/>
      </w:pPr>
      <w:bookmarkStart w:id="14" w:name="_Toc432004234"/>
      <w:bookmarkStart w:id="15" w:name="_Toc2188936"/>
      <w:r w:rsidRPr="005203C8">
        <w:t>Standard of Value</w:t>
      </w:r>
      <w:bookmarkEnd w:id="14"/>
      <w:bookmarkEnd w:id="15"/>
    </w:p>
    <w:p w14:paraId="33944A0D" w14:textId="77777777" w:rsidR="00573796" w:rsidRPr="00565DEF" w:rsidRDefault="00573796" w:rsidP="00573796">
      <w:pPr>
        <w:rPr>
          <w:rFonts w:ascii="Georgia" w:hAnsi="Georgia"/>
        </w:rPr>
      </w:pPr>
    </w:p>
    <w:p w14:paraId="5AE9AFC2" w14:textId="5B4F820B" w:rsidR="00573796" w:rsidRPr="00565DEF" w:rsidRDefault="00573796" w:rsidP="006657AF">
      <w:pPr>
        <w:pStyle w:val="RNAHeadlineB"/>
        <w:outlineLvl w:val="1"/>
        <w:rPr>
          <w:rFonts w:ascii="Georgia" w:hAnsi="Georgia"/>
        </w:rPr>
      </w:pPr>
      <w:bookmarkStart w:id="16" w:name="_Toc432004235"/>
      <w:bookmarkStart w:id="17" w:name="_Toc2188937"/>
      <w:r w:rsidRPr="00565DEF">
        <w:rPr>
          <w:rFonts w:ascii="Georgia" w:hAnsi="Georgia"/>
        </w:rPr>
        <w:t>Definition of Fair Market Value</w:t>
      </w:r>
      <w:bookmarkEnd w:id="16"/>
      <w:bookmarkEnd w:id="17"/>
    </w:p>
    <w:p w14:paraId="520899EA" w14:textId="77777777" w:rsidR="00573796" w:rsidRPr="005203C8" w:rsidRDefault="00573796" w:rsidP="00DE5618">
      <w:pPr>
        <w:pStyle w:val="RNABodyCopy"/>
        <w:keepNext/>
      </w:pPr>
      <w:r w:rsidRPr="005203C8">
        <w:t>For tax purposes, the appropriate standard of value is fair market value</w:t>
      </w:r>
      <w:r w:rsidRPr="00127B83">
        <w:t>,</w:t>
      </w:r>
      <w:r w:rsidRPr="005203C8">
        <w:t xml:space="preserve"> which is defined as:</w:t>
      </w:r>
    </w:p>
    <w:p w14:paraId="2F058A30" w14:textId="77777777" w:rsidR="00573796" w:rsidRPr="005203C8" w:rsidRDefault="00573796" w:rsidP="00DE5618">
      <w:pPr>
        <w:pStyle w:val="RNABodyCopy"/>
        <w:keepNext/>
      </w:pPr>
    </w:p>
    <w:p w14:paraId="029327A9" w14:textId="686B82FB" w:rsidR="00573796" w:rsidRPr="005203C8" w:rsidRDefault="00573796" w:rsidP="007C77D3">
      <w:pPr>
        <w:pStyle w:val="RNABodyCopy"/>
      </w:pPr>
      <w:r w:rsidRPr="005203C8">
        <w:t>“The price, expressed in terms of cash equivalents, at which such property would change hands between a hypothetical willing and able buyer and a hypothetical willing and able seller, acting at arms’ length in an open and unrestricted market, when neither is under compulsion to buy or to sell, and when both have reasonable knowledge of relevant facts.”</w:t>
      </w:r>
      <w:r w:rsidRPr="005203C8">
        <w:rPr>
          <w:vertAlign w:val="superscript"/>
        </w:rPr>
        <w:footnoteReference w:id="1"/>
      </w:r>
      <w:r w:rsidR="00941C39">
        <w:t xml:space="preserve">  </w:t>
      </w:r>
    </w:p>
    <w:p w14:paraId="1D74E34D" w14:textId="77777777" w:rsidR="00573796" w:rsidRPr="005203C8" w:rsidRDefault="00573796" w:rsidP="007C77D3">
      <w:pPr>
        <w:pStyle w:val="RNABodyCopy"/>
      </w:pPr>
      <w:r w:rsidRPr="005203C8">
        <w:br w:type="page"/>
      </w:r>
    </w:p>
    <w:p w14:paraId="595103AB" w14:textId="75A46563" w:rsidR="00573796" w:rsidRPr="00474556" w:rsidRDefault="00573796" w:rsidP="00565DEF">
      <w:pPr>
        <w:pStyle w:val="RNAHeadlineA"/>
        <w:outlineLvl w:val="0"/>
      </w:pPr>
      <w:bookmarkStart w:id="18" w:name="_Toc432004237"/>
      <w:bookmarkStart w:id="19" w:name="_Toc2188938"/>
      <w:r w:rsidRPr="00474556">
        <w:t>Company Overview</w:t>
      </w:r>
      <w:bookmarkEnd w:id="18"/>
      <w:bookmarkEnd w:id="19"/>
    </w:p>
    <w:p w14:paraId="14068F77" w14:textId="77777777" w:rsidR="00573796" w:rsidRPr="00565DEF" w:rsidRDefault="00573796" w:rsidP="00573796">
      <w:pPr>
        <w:rPr>
          <w:rFonts w:ascii="Georgia" w:hAnsi="Georgia"/>
        </w:rPr>
      </w:pPr>
    </w:p>
    <w:p w14:paraId="5ABA81A0" w14:textId="3824339A" w:rsidR="00573796" w:rsidRPr="00565DEF" w:rsidRDefault="00573796" w:rsidP="00557D41">
      <w:pPr>
        <w:pStyle w:val="RNAHeadlineB"/>
        <w:outlineLvl w:val="1"/>
        <w:rPr>
          <w:rFonts w:ascii="Georgia" w:hAnsi="Georgia"/>
        </w:rPr>
      </w:pPr>
      <w:bookmarkStart w:id="20" w:name="_Toc432004238"/>
      <w:bookmarkStart w:id="21" w:name="_Toc2188939"/>
      <w:r w:rsidRPr="00565DEF">
        <w:rPr>
          <w:rFonts w:ascii="Georgia" w:hAnsi="Georgia"/>
        </w:rPr>
        <w:t>Background</w:t>
      </w:r>
      <w:bookmarkEnd w:id="20"/>
      <w:bookmarkEnd w:id="21"/>
    </w:p>
    <w:p w14:paraId="400BB636" w14:textId="6326F754" w:rsidR="00573796" w:rsidRDefault="000E2DE1" w:rsidP="00DE5618">
      <w:pPr>
        <w:pStyle w:val="RNABodyCopy"/>
        <w:keepNext/>
      </w:pPr>
      <w:r w:rsidRPr="00951B5C">
        <w:rPr>
          <w:noProof/>
        </w:rPr>
        <w:t>Med</w:t>
      </w:r>
      <w:r w:rsidR="00677EC4" w:rsidRPr="00951B5C">
        <w:rPr>
          <w:noProof/>
        </w:rPr>
        <w:t>ikine</w:t>
      </w:r>
      <w:r>
        <w:t xml:space="preserve"> is a private</w:t>
      </w:r>
      <w:r w:rsidR="00167040">
        <w:t>ly</w:t>
      </w:r>
      <w:r w:rsidR="00A73576">
        <w:t>-held, seed-stage</w:t>
      </w:r>
      <w:r w:rsidR="00167040">
        <w:t xml:space="preserve"> biotech company</w:t>
      </w:r>
      <w:r w:rsidR="00A73576">
        <w:t xml:space="preserve">, discovering </w:t>
      </w:r>
      <w:r w:rsidR="006C3102">
        <w:t xml:space="preserve">IL-based </w:t>
      </w:r>
      <w:r w:rsidR="00A73576">
        <w:t>agonists of clinically</w:t>
      </w:r>
      <w:r w:rsidR="006C3102">
        <w:t xml:space="preserve"> relevant cytokine receptors</w:t>
      </w:r>
      <w:r w:rsidR="00EC06F2" w:rsidRPr="003E1AB5">
        <w:t>.</w:t>
      </w:r>
      <w:r w:rsidR="00677EC4">
        <w:t xml:space="preserve">  The Company </w:t>
      </w:r>
      <w:r w:rsidR="006C3102">
        <w:t>is utilizing</w:t>
      </w:r>
      <w:r w:rsidR="006C3102" w:rsidRPr="00677EC4">
        <w:t xml:space="preserve"> </w:t>
      </w:r>
      <w:r w:rsidR="00677EC4" w:rsidRPr="00A71F2E">
        <w:rPr>
          <w:noProof/>
        </w:rPr>
        <w:t>proprietary</w:t>
      </w:r>
      <w:r w:rsidR="00677EC4" w:rsidRPr="00677EC4">
        <w:t xml:space="preserve"> technology to identify novel cytokine receptor agonists based on low molecular weight peptides, unrelated in sequence to the natural cytokine proteins, which can be engineered to have distinct advantages over the natural cytokines.</w:t>
      </w:r>
      <w:r w:rsidR="00677EC4">
        <w:rPr>
          <w:rStyle w:val="FootnoteReference"/>
        </w:rPr>
        <w:footnoteReference w:id="2"/>
      </w:r>
      <w:r w:rsidR="00677EC4">
        <w:t xml:space="preserve">  As of the </w:t>
      </w:r>
      <w:r w:rsidR="00AD08AA">
        <w:t xml:space="preserve">Previous </w:t>
      </w:r>
      <w:r w:rsidR="00677EC4">
        <w:t>Valuation</w:t>
      </w:r>
      <w:r w:rsidR="00AD08AA">
        <w:t>,</w:t>
      </w:r>
      <w:r w:rsidR="00677EC4">
        <w:t xml:space="preserve"> the Company’s initial </w:t>
      </w:r>
      <w:r w:rsidR="00AD08AA">
        <w:t xml:space="preserve">focus was </w:t>
      </w:r>
      <w:r w:rsidR="00FA5703">
        <w:t>the development of a treatment for renal fibrosis using selective-activation of BMP receptors</w:t>
      </w:r>
      <w:r w:rsidR="00445CF6">
        <w:t xml:space="preserve"> (the “BMP Program”)</w:t>
      </w:r>
      <w:r w:rsidR="00FA5703">
        <w:t xml:space="preserve">.  </w:t>
      </w:r>
      <w:r w:rsidR="00445CF6">
        <w:t xml:space="preserve">However, the Company discontinued the development of the BMP Program as it </w:t>
      </w:r>
      <w:r w:rsidR="00677EC4">
        <w:t xml:space="preserve">failed </w:t>
      </w:r>
      <w:r w:rsidR="00445CF6">
        <w:t>in</w:t>
      </w:r>
      <w:r w:rsidR="00677EC4">
        <w:t xml:space="preserve"> preclinical </w:t>
      </w:r>
      <w:r w:rsidR="00445CF6">
        <w:t xml:space="preserve">development </w:t>
      </w:r>
      <w:r w:rsidR="00677EC4">
        <w:t xml:space="preserve">for the treatment of </w:t>
      </w:r>
      <w:r w:rsidR="00445CF6">
        <w:t xml:space="preserve">renal </w:t>
      </w:r>
      <w:r w:rsidR="00677EC4">
        <w:t xml:space="preserve">fibrosis, </w:t>
      </w:r>
      <w:r w:rsidR="0055246A">
        <w:t>and/or, chronic kidney (“CKD”)</w:t>
      </w:r>
      <w:r w:rsidR="00445CF6">
        <w:t xml:space="preserve">. </w:t>
      </w:r>
      <w:r w:rsidR="0055246A">
        <w:t xml:space="preserve"> </w:t>
      </w:r>
      <w:r w:rsidR="00445CF6">
        <w:t>Notwithstanding, t</w:t>
      </w:r>
      <w:r w:rsidR="0055246A">
        <w:t xml:space="preserve">he </w:t>
      </w:r>
      <w:r w:rsidR="00445CF6">
        <w:t xml:space="preserve">Company is discovering </w:t>
      </w:r>
      <w:r w:rsidR="00EC0BD0">
        <w:t>IL-2</w:t>
      </w:r>
      <w:r w:rsidR="00445CF6">
        <w:t xml:space="preserve"> based agonists</w:t>
      </w:r>
      <w:r w:rsidR="00EC0BD0">
        <w:t xml:space="preserve"> for the </w:t>
      </w:r>
      <w:r w:rsidR="0055246A">
        <w:t xml:space="preserve">development </w:t>
      </w:r>
      <w:r w:rsidR="00EC0BD0">
        <w:t xml:space="preserve">of therapies </w:t>
      </w:r>
      <w:r w:rsidR="00671E92">
        <w:t>targeting</w:t>
      </w:r>
      <w:r w:rsidR="0055246A">
        <w:t xml:space="preserve"> </w:t>
      </w:r>
      <w:r w:rsidR="00445CF6">
        <w:t>immuno</w:t>
      </w:r>
      <w:r w:rsidR="0055246A">
        <w:t>-oncology</w:t>
      </w:r>
      <w:r w:rsidR="00445CF6">
        <w:t xml:space="preserve"> (“IO”)</w:t>
      </w:r>
      <w:r w:rsidR="0055246A">
        <w:t xml:space="preserve"> </w:t>
      </w:r>
      <w:r w:rsidR="00671E92" w:rsidRPr="00892140">
        <w:rPr>
          <w:noProof/>
        </w:rPr>
        <w:t>and</w:t>
      </w:r>
      <w:r w:rsidR="00671E92">
        <w:t xml:space="preserve"> </w:t>
      </w:r>
      <w:r w:rsidR="0055246A">
        <w:t>autoimmune disease</w:t>
      </w:r>
      <w:r w:rsidR="00445CF6">
        <w:t>s</w:t>
      </w:r>
      <w:r w:rsidR="00671E92">
        <w:t>.</w:t>
      </w:r>
      <w:r w:rsidR="00671E92">
        <w:rPr>
          <w:rStyle w:val="FootnoteReference"/>
        </w:rPr>
        <w:footnoteReference w:id="3"/>
      </w:r>
    </w:p>
    <w:p w14:paraId="1C59FC5A" w14:textId="77777777" w:rsidR="00573796" w:rsidRPr="00951B5C" w:rsidRDefault="00573796" w:rsidP="00573796">
      <w:pPr>
        <w:rPr>
          <w:rFonts w:ascii="Georgia" w:hAnsi="Georgia"/>
        </w:rPr>
      </w:pPr>
    </w:p>
    <w:p w14:paraId="4332CE27" w14:textId="68EB4FFE" w:rsidR="00573796" w:rsidRPr="00C304F2" w:rsidRDefault="00573796" w:rsidP="00557D41">
      <w:pPr>
        <w:pStyle w:val="RNAHeadlineB"/>
        <w:outlineLvl w:val="1"/>
        <w:rPr>
          <w:rFonts w:ascii="Georgia" w:hAnsi="Georgia"/>
        </w:rPr>
      </w:pPr>
      <w:bookmarkStart w:id="22" w:name="_Toc2188940"/>
      <w:bookmarkStart w:id="23" w:name="_Toc432004241"/>
      <w:r w:rsidRPr="00C304F2">
        <w:rPr>
          <w:rFonts w:ascii="Georgia" w:hAnsi="Georgia"/>
        </w:rPr>
        <w:t>Product Pipeline</w:t>
      </w:r>
      <w:bookmarkEnd w:id="22"/>
      <w:r w:rsidRPr="00C304F2">
        <w:rPr>
          <w:rFonts w:ascii="Georgia" w:hAnsi="Georgia"/>
        </w:rPr>
        <w:t xml:space="preserve"> </w:t>
      </w:r>
    </w:p>
    <w:p w14:paraId="0F1B969F" w14:textId="39B14347" w:rsidR="00573796" w:rsidRDefault="00573796" w:rsidP="00DE5618">
      <w:pPr>
        <w:pStyle w:val="RNABodyCopy"/>
        <w:keepNext/>
      </w:pPr>
      <w:r w:rsidRPr="004457CB">
        <w:t xml:space="preserve">As of the Valuation Date, </w:t>
      </w:r>
      <w:r>
        <w:t xml:space="preserve">the </w:t>
      </w:r>
      <w:r w:rsidRPr="00934225">
        <w:t>Company’s</w:t>
      </w:r>
      <w:r w:rsidRPr="004457CB">
        <w:t xml:space="preserve"> primary product pipeline and development timelines are </w:t>
      </w:r>
      <w:r w:rsidR="0079183B">
        <w:t>discussed</w:t>
      </w:r>
      <w:r w:rsidR="0079183B" w:rsidRPr="004457CB">
        <w:t xml:space="preserve"> </w:t>
      </w:r>
      <w:r w:rsidRPr="004457CB">
        <w:t>below:</w:t>
      </w:r>
    </w:p>
    <w:p w14:paraId="306E0D2E" w14:textId="75702971" w:rsidR="00573796" w:rsidRDefault="00573796" w:rsidP="00B802C4">
      <w:pPr>
        <w:pStyle w:val="RNABodyCopy"/>
      </w:pPr>
    </w:p>
    <w:p w14:paraId="6AF2DDB1" w14:textId="779BC3CA" w:rsidR="00B65A29" w:rsidRPr="00951B5C" w:rsidRDefault="00B65A29" w:rsidP="00C744AA">
      <w:pPr>
        <w:pStyle w:val="RNABodyCopy-Numbered"/>
        <w:rPr>
          <w:lang w:eastAsia="zh-CN"/>
        </w:rPr>
      </w:pPr>
      <w:r w:rsidRPr="00172EC5">
        <w:rPr>
          <w:b/>
        </w:rPr>
        <w:t>IL-2Rβ/</w:t>
      </w:r>
      <w:r w:rsidRPr="00172EC5">
        <w:rPr>
          <w:b/>
          <w:lang w:eastAsia="zh-CN"/>
        </w:rPr>
        <w:t>γ Agonists</w:t>
      </w:r>
      <w:r w:rsidR="00D578C3" w:rsidRPr="00172EC5">
        <w:rPr>
          <w:b/>
          <w:lang w:eastAsia="zh-CN"/>
        </w:rPr>
        <w:t xml:space="preserve"> </w:t>
      </w:r>
      <w:r w:rsidR="00104C6F" w:rsidRPr="00172EC5">
        <w:rPr>
          <w:b/>
          <w:lang w:eastAsia="zh-CN"/>
        </w:rPr>
        <w:t>IO</w:t>
      </w:r>
      <w:r w:rsidRPr="00172EC5">
        <w:rPr>
          <w:b/>
          <w:lang w:eastAsia="zh-CN"/>
        </w:rPr>
        <w:t xml:space="preserve">: </w:t>
      </w:r>
      <w:r w:rsidRPr="00FA5703">
        <w:rPr>
          <w:lang w:eastAsia="zh-CN"/>
        </w:rPr>
        <w:t xml:space="preserve">The </w:t>
      </w:r>
      <w:r w:rsidR="00D578C3" w:rsidRPr="00FA5703">
        <w:rPr>
          <w:lang w:eastAsia="zh-CN"/>
        </w:rPr>
        <w:t>C</w:t>
      </w:r>
      <w:r w:rsidRPr="00FA5703">
        <w:rPr>
          <w:lang w:eastAsia="zh-CN"/>
        </w:rPr>
        <w:t xml:space="preserve">ompany is </w:t>
      </w:r>
      <w:r w:rsidR="00EF1914">
        <w:rPr>
          <w:lang w:eastAsia="zh-CN"/>
        </w:rPr>
        <w:t>discovering</w:t>
      </w:r>
      <w:r w:rsidR="00EF1914" w:rsidRPr="00FA5703">
        <w:rPr>
          <w:lang w:eastAsia="zh-CN"/>
        </w:rPr>
        <w:t xml:space="preserve"> </w:t>
      </w:r>
      <w:r w:rsidR="00E46EDF" w:rsidRPr="00FA5703">
        <w:rPr>
          <w:lang w:eastAsia="zh-CN"/>
        </w:rPr>
        <w:t>selective cytokine agonists not based on IL-2 protein</w:t>
      </w:r>
      <w:r w:rsidR="00EF1914">
        <w:rPr>
          <w:lang w:eastAsia="zh-CN"/>
        </w:rPr>
        <w:t xml:space="preserve">, </w:t>
      </w:r>
      <w:r w:rsidR="00E46EDF" w:rsidRPr="00445CF6">
        <w:rPr>
          <w:lang w:eastAsia="zh-CN"/>
        </w:rPr>
        <w:t>currently</w:t>
      </w:r>
      <w:r w:rsidR="00B403FC" w:rsidRPr="00445CF6">
        <w:rPr>
          <w:lang w:eastAsia="zh-CN"/>
        </w:rPr>
        <w:t xml:space="preserve"> in the lead optimization phase.  The therapeutic agonist also has the potential for</w:t>
      </w:r>
      <w:r w:rsidR="00EF1914">
        <w:rPr>
          <w:lang w:eastAsia="zh-CN"/>
        </w:rPr>
        <w:t xml:space="preserve"> targeting tumor microenvironment and</w:t>
      </w:r>
      <w:r w:rsidR="00B403FC" w:rsidRPr="00445CF6">
        <w:rPr>
          <w:lang w:eastAsia="zh-CN"/>
        </w:rPr>
        <w:t xml:space="preserve"> use as a </w:t>
      </w:r>
      <w:r w:rsidR="00B403FC" w:rsidRPr="00EF1914">
        <w:rPr>
          <w:lang w:eastAsia="zh-CN"/>
        </w:rPr>
        <w:t>bi-specific peptide</w:t>
      </w:r>
      <w:r w:rsidR="00204DC9" w:rsidRPr="00EF1914">
        <w:rPr>
          <w:lang w:eastAsia="zh-CN"/>
        </w:rPr>
        <w:t xml:space="preserve"> for applications in </w:t>
      </w:r>
      <w:r w:rsidR="007C6859">
        <w:rPr>
          <w:lang w:eastAsia="zh-CN"/>
        </w:rPr>
        <w:t>IO</w:t>
      </w:r>
      <w:r w:rsidR="00204DC9" w:rsidRPr="007C6859">
        <w:rPr>
          <w:lang w:eastAsia="zh-CN"/>
        </w:rPr>
        <w:t>.</w:t>
      </w:r>
      <w:r w:rsidR="002402CA" w:rsidRPr="007C6859">
        <w:rPr>
          <w:rStyle w:val="FootnoteReference"/>
          <w:lang w:eastAsia="zh-CN"/>
        </w:rPr>
        <w:footnoteReference w:id="4"/>
      </w:r>
      <w:r w:rsidR="00204DC9" w:rsidRPr="007C6859">
        <w:rPr>
          <w:lang w:eastAsia="zh-CN"/>
        </w:rPr>
        <w:t xml:space="preserve"> </w:t>
      </w:r>
    </w:p>
    <w:p w14:paraId="728C0BE4" w14:textId="7CC90A33" w:rsidR="00D578C3" w:rsidRPr="00951B5C" w:rsidRDefault="00D578C3" w:rsidP="00C744AA">
      <w:pPr>
        <w:pStyle w:val="RNABodyCopy-Numbered"/>
        <w:rPr>
          <w:lang w:eastAsia="zh-CN"/>
        </w:rPr>
      </w:pPr>
      <w:r w:rsidRPr="00AD08AA">
        <w:rPr>
          <w:b/>
        </w:rPr>
        <w:t>IL-2R</w:t>
      </w:r>
      <w:r w:rsidR="002402CA" w:rsidRPr="00AD08AA">
        <w:rPr>
          <w:b/>
        </w:rPr>
        <w:t>α/</w:t>
      </w:r>
      <w:r w:rsidRPr="00FA5703">
        <w:rPr>
          <w:b/>
        </w:rPr>
        <w:t>β/</w:t>
      </w:r>
      <w:r w:rsidRPr="00FA5703">
        <w:rPr>
          <w:b/>
          <w:lang w:eastAsia="zh-CN"/>
        </w:rPr>
        <w:t>γ Agonists for Auto</w:t>
      </w:r>
      <w:r w:rsidR="00445CF6">
        <w:rPr>
          <w:b/>
          <w:lang w:eastAsia="zh-CN"/>
        </w:rPr>
        <w:t>i</w:t>
      </w:r>
      <w:r w:rsidRPr="00FA5703">
        <w:rPr>
          <w:b/>
          <w:lang w:eastAsia="zh-CN"/>
        </w:rPr>
        <w:t>mmune Disease:</w:t>
      </w:r>
      <w:r w:rsidRPr="00FA5703">
        <w:rPr>
          <w:lang w:eastAsia="zh-CN"/>
        </w:rPr>
        <w:t xml:space="preserve"> The Company is leveraging existing β/γ</w:t>
      </w:r>
      <w:r w:rsidR="002402CA" w:rsidRPr="00FA5703">
        <w:rPr>
          <w:lang w:eastAsia="zh-CN"/>
        </w:rPr>
        <w:t xml:space="preserve"> peptides to develop therapeutics for autoimmune diseases</w:t>
      </w:r>
      <w:r w:rsidR="00BE6559">
        <w:rPr>
          <w:lang w:eastAsia="zh-CN"/>
        </w:rPr>
        <w:t xml:space="preserve"> and</w:t>
      </w:r>
      <w:r w:rsidR="002402CA" w:rsidRPr="00FA5703">
        <w:rPr>
          <w:lang w:eastAsia="zh-CN"/>
        </w:rPr>
        <w:t xml:space="preserve"> has identified multiple families of IL-2Rα binding peptide</w:t>
      </w:r>
      <w:r w:rsidRPr="00BE6559">
        <w:rPr>
          <w:lang w:eastAsia="zh-CN"/>
        </w:rPr>
        <w:t>.</w:t>
      </w:r>
      <w:r w:rsidR="00AC6637" w:rsidRPr="00951B5C">
        <w:rPr>
          <w:rStyle w:val="FootnoteReference"/>
          <w:lang w:eastAsia="zh-CN"/>
        </w:rPr>
        <w:footnoteReference w:id="5"/>
      </w:r>
    </w:p>
    <w:p w14:paraId="148B8558" w14:textId="01B29A17" w:rsidR="00B52A4E" w:rsidRPr="00951B5C" w:rsidRDefault="00AC6637" w:rsidP="00C744AA">
      <w:pPr>
        <w:pStyle w:val="RNABodyCopy-Numbered"/>
        <w:rPr>
          <w:lang w:eastAsia="zh-CN"/>
        </w:rPr>
      </w:pPr>
      <w:r w:rsidRPr="00AD08AA">
        <w:rPr>
          <w:b/>
        </w:rPr>
        <w:t>IL-27</w:t>
      </w:r>
      <w:r w:rsidRPr="00FA5703">
        <w:rPr>
          <w:b/>
        </w:rPr>
        <w:t xml:space="preserve">R </w:t>
      </w:r>
      <w:r w:rsidRPr="00FA5703">
        <w:rPr>
          <w:b/>
          <w:lang w:eastAsia="zh-CN"/>
        </w:rPr>
        <w:t>Agonists for IBD and Other Auto</w:t>
      </w:r>
      <w:r w:rsidR="007C6859">
        <w:rPr>
          <w:b/>
          <w:lang w:eastAsia="zh-CN"/>
        </w:rPr>
        <w:t>i</w:t>
      </w:r>
      <w:r w:rsidRPr="00FA5703">
        <w:rPr>
          <w:b/>
          <w:lang w:eastAsia="zh-CN"/>
        </w:rPr>
        <w:t>mmune Disease:</w:t>
      </w:r>
      <w:r w:rsidRPr="00FA5703">
        <w:rPr>
          <w:lang w:eastAsia="zh-CN"/>
        </w:rPr>
        <w:t xml:space="preserve"> The Company </w:t>
      </w:r>
      <w:r w:rsidR="00511B7D" w:rsidRPr="00FA5703">
        <w:rPr>
          <w:lang w:eastAsia="zh-CN"/>
        </w:rPr>
        <w:t>al</w:t>
      </w:r>
      <w:r w:rsidRPr="00FA5703">
        <w:rPr>
          <w:lang w:eastAsia="zh-CN"/>
        </w:rPr>
        <w:t>s</w:t>
      </w:r>
      <w:r w:rsidR="00511B7D" w:rsidRPr="00FA5703">
        <w:rPr>
          <w:lang w:eastAsia="zh-CN"/>
        </w:rPr>
        <w:t>o</w:t>
      </w:r>
      <w:r w:rsidRPr="00FA5703">
        <w:rPr>
          <w:lang w:eastAsia="zh-CN"/>
        </w:rPr>
        <w:t xml:space="preserve"> </w:t>
      </w:r>
      <w:r w:rsidRPr="00D5390D">
        <w:rPr>
          <w:noProof/>
          <w:lang w:eastAsia="zh-CN"/>
        </w:rPr>
        <w:t>identified</w:t>
      </w:r>
      <w:r w:rsidR="00511B7D" w:rsidRPr="00D5390D">
        <w:rPr>
          <w:noProof/>
          <w:lang w:eastAsia="zh-CN"/>
        </w:rPr>
        <w:t xml:space="preserve"> a</w:t>
      </w:r>
      <w:r w:rsidRPr="00D5390D">
        <w:rPr>
          <w:noProof/>
          <w:lang w:eastAsia="zh-CN"/>
        </w:rPr>
        <w:t xml:space="preserve"> </w:t>
      </w:r>
      <w:r w:rsidR="00511B7D" w:rsidRPr="00D5390D">
        <w:rPr>
          <w:noProof/>
          <w:lang w:eastAsia="zh-CN"/>
        </w:rPr>
        <w:t xml:space="preserve">set of </w:t>
      </w:r>
      <w:r w:rsidRPr="00D5390D">
        <w:rPr>
          <w:noProof/>
          <w:lang w:eastAsia="zh-CN"/>
        </w:rPr>
        <w:t>high</w:t>
      </w:r>
      <w:r w:rsidR="00511B7D" w:rsidRPr="00D5390D">
        <w:rPr>
          <w:noProof/>
          <w:lang w:eastAsia="zh-CN"/>
        </w:rPr>
        <w:t>-</w:t>
      </w:r>
      <w:r w:rsidRPr="00D5390D">
        <w:rPr>
          <w:noProof/>
          <w:lang w:eastAsia="zh-CN"/>
        </w:rPr>
        <w:t>affinity</w:t>
      </w:r>
      <w:r w:rsidRPr="00D5390D">
        <w:rPr>
          <w:lang w:eastAsia="zh-CN"/>
        </w:rPr>
        <w:t xml:space="preserve"> peptide ligands with applications </w:t>
      </w:r>
      <w:r w:rsidR="00D5390D">
        <w:rPr>
          <w:lang w:eastAsia="zh-CN"/>
        </w:rPr>
        <w:t>for the</w:t>
      </w:r>
      <w:r w:rsidR="00D5390D" w:rsidRPr="00D5390D">
        <w:rPr>
          <w:lang w:eastAsia="zh-CN"/>
        </w:rPr>
        <w:t xml:space="preserve"> treat</w:t>
      </w:r>
      <w:r w:rsidR="00D5390D">
        <w:rPr>
          <w:lang w:eastAsia="zh-CN"/>
        </w:rPr>
        <w:t>ment of</w:t>
      </w:r>
      <w:r w:rsidR="00D5390D" w:rsidRPr="00D5390D">
        <w:rPr>
          <w:lang w:eastAsia="zh-CN"/>
        </w:rPr>
        <w:t xml:space="preserve"> </w:t>
      </w:r>
      <w:r w:rsidRPr="00D5390D">
        <w:rPr>
          <w:lang w:eastAsia="zh-CN"/>
        </w:rPr>
        <w:t>IBD and other autoimmune diseases</w:t>
      </w:r>
      <w:r w:rsidRPr="00951B5C">
        <w:rPr>
          <w:lang w:eastAsia="zh-CN"/>
        </w:rPr>
        <w:t>.</w:t>
      </w:r>
      <w:r w:rsidR="00B52A4E" w:rsidRPr="00951B5C">
        <w:rPr>
          <w:rStyle w:val="FootnoteReference"/>
          <w:lang w:eastAsia="zh-CN"/>
        </w:rPr>
        <w:t xml:space="preserve"> </w:t>
      </w:r>
      <w:r w:rsidR="00B52A4E" w:rsidRPr="00951B5C">
        <w:rPr>
          <w:rStyle w:val="FootnoteReference"/>
          <w:lang w:eastAsia="zh-CN"/>
        </w:rPr>
        <w:footnoteReference w:id="6"/>
      </w:r>
    </w:p>
    <w:p w14:paraId="0510B11C" w14:textId="4B8DD8D1" w:rsidR="00511B7D" w:rsidRDefault="00511B7D" w:rsidP="00C744AA">
      <w:pPr>
        <w:pStyle w:val="RNABodyCopy-Numbered"/>
        <w:numPr>
          <w:ilvl w:val="0"/>
          <w:numId w:val="0"/>
        </w:numPr>
        <w:ind w:left="360"/>
        <w:rPr>
          <w:lang w:eastAsia="zh-CN"/>
        </w:rPr>
      </w:pPr>
    </w:p>
    <w:p w14:paraId="419BBA1F" w14:textId="1B6DC2D2" w:rsidR="00511B7D" w:rsidRDefault="00511B7D" w:rsidP="00C744AA">
      <w:pPr>
        <w:pStyle w:val="RNABodyCopy-Numbered"/>
        <w:numPr>
          <w:ilvl w:val="0"/>
          <w:numId w:val="0"/>
        </w:numPr>
        <w:ind w:left="360"/>
        <w:rPr>
          <w:lang w:eastAsia="zh-CN"/>
        </w:rPr>
      </w:pPr>
      <w:r>
        <w:rPr>
          <w:lang w:eastAsia="zh-CN"/>
        </w:rPr>
        <w:t xml:space="preserve">All the above indications are </w:t>
      </w:r>
      <w:r w:rsidRPr="00892140">
        <w:rPr>
          <w:noProof/>
          <w:lang w:eastAsia="zh-CN"/>
        </w:rPr>
        <w:t>cytokine</w:t>
      </w:r>
      <w:r w:rsidR="00CB584E">
        <w:rPr>
          <w:noProof/>
          <w:lang w:eastAsia="zh-CN"/>
        </w:rPr>
        <w:t>-</w:t>
      </w:r>
      <w:r w:rsidRPr="00A71F2E">
        <w:rPr>
          <w:noProof/>
          <w:lang w:eastAsia="zh-CN"/>
        </w:rPr>
        <w:t>based</w:t>
      </w:r>
      <w:r>
        <w:rPr>
          <w:lang w:eastAsia="zh-CN"/>
        </w:rPr>
        <w:t xml:space="preserve"> and are still either in lead optimization or target identification phases of development. </w:t>
      </w:r>
      <w:r w:rsidR="007C63B0">
        <w:rPr>
          <w:lang w:eastAsia="zh-CN"/>
        </w:rPr>
        <w:t xml:space="preserve"> </w:t>
      </w:r>
    </w:p>
    <w:p w14:paraId="08FC7921" w14:textId="77777777" w:rsidR="00573796" w:rsidRPr="00565DEF" w:rsidRDefault="00573796" w:rsidP="00557D41">
      <w:pPr>
        <w:pStyle w:val="RNAHeadlineB"/>
        <w:outlineLvl w:val="1"/>
        <w:rPr>
          <w:rFonts w:ascii="Georgia" w:hAnsi="Georgia"/>
        </w:rPr>
      </w:pPr>
      <w:bookmarkStart w:id="24" w:name="_Toc2188941"/>
      <w:r w:rsidRPr="00565DEF">
        <w:rPr>
          <w:rFonts w:ascii="Georgia" w:hAnsi="Georgia"/>
        </w:rPr>
        <w:t>Recent Developments</w:t>
      </w:r>
      <w:bookmarkEnd w:id="24"/>
    </w:p>
    <w:p w14:paraId="58DD3923" w14:textId="15C38954" w:rsidR="00B65A29" w:rsidRPr="00196784" w:rsidRDefault="00B52A4E" w:rsidP="00172EC5">
      <w:pPr>
        <w:pStyle w:val="RNABodyCopy-Numbered"/>
        <w:numPr>
          <w:ilvl w:val="0"/>
          <w:numId w:val="60"/>
        </w:numPr>
        <w:ind w:left="1080" w:hanging="720"/>
      </w:pPr>
      <w:r w:rsidRPr="00196784">
        <w:t xml:space="preserve">On November 8, 2018, the Company raised $4.0 million </w:t>
      </w:r>
      <w:r w:rsidRPr="00196784">
        <w:rPr>
          <w:noProof/>
        </w:rPr>
        <w:t>i</w:t>
      </w:r>
      <w:r w:rsidR="00511B7D" w:rsidRPr="00196784">
        <w:rPr>
          <w:noProof/>
        </w:rPr>
        <w:t>n</w:t>
      </w:r>
      <w:r w:rsidRPr="00196784">
        <w:t xml:space="preserve"> Series Seed 2 preferred financing, led by Lightspeed Ventures</w:t>
      </w:r>
      <w:r w:rsidR="007679E2" w:rsidRPr="00196784">
        <w:t xml:space="preserve"> and Jonathan </w:t>
      </w:r>
      <w:proofErr w:type="spellStart"/>
      <w:r w:rsidR="007679E2" w:rsidRPr="00196784">
        <w:t>MacQuitty</w:t>
      </w:r>
      <w:proofErr w:type="spellEnd"/>
      <w:r w:rsidRPr="00196784">
        <w:t xml:space="preserve">.  In </w:t>
      </w:r>
      <w:r w:rsidRPr="00196784">
        <w:rPr>
          <w:noProof/>
        </w:rPr>
        <w:t>l</w:t>
      </w:r>
      <w:r w:rsidR="00511B7D" w:rsidRPr="00196784">
        <w:rPr>
          <w:noProof/>
        </w:rPr>
        <w:t>i</w:t>
      </w:r>
      <w:r w:rsidRPr="00196784">
        <w:rPr>
          <w:noProof/>
        </w:rPr>
        <w:t>eu</w:t>
      </w:r>
      <w:r w:rsidRPr="00196784">
        <w:t xml:space="preserve"> of the </w:t>
      </w:r>
      <w:r w:rsidRPr="00196784">
        <w:rPr>
          <w:noProof/>
        </w:rPr>
        <w:t>raise</w:t>
      </w:r>
      <w:r w:rsidR="00511B7D" w:rsidRPr="00196784">
        <w:rPr>
          <w:noProof/>
        </w:rPr>
        <w:t>,</w:t>
      </w:r>
      <w:r w:rsidRPr="00196784">
        <w:t xml:space="preserve"> the Company issued 2,666,667 Series Seed 2 shares for an original issue price of $1.50.</w:t>
      </w:r>
      <w:r w:rsidR="007679E2" w:rsidRPr="00172EC5">
        <w:rPr>
          <w:rStyle w:val="FootnoteReference"/>
          <w:lang w:eastAsia="zh-CN"/>
        </w:rPr>
        <w:t xml:space="preserve"> </w:t>
      </w:r>
      <w:r w:rsidR="007679E2" w:rsidRPr="00172EC5">
        <w:rPr>
          <w:rStyle w:val="FootnoteReference"/>
          <w:lang w:eastAsia="zh-CN"/>
        </w:rPr>
        <w:footnoteReference w:id="7"/>
      </w:r>
    </w:p>
    <w:p w14:paraId="3639C423" w14:textId="4B74431A" w:rsidR="00B52A4E" w:rsidRPr="00196784" w:rsidRDefault="00B52A4E" w:rsidP="00172EC5">
      <w:pPr>
        <w:pStyle w:val="RNABodyCopy-Numbered"/>
        <w:numPr>
          <w:ilvl w:val="0"/>
          <w:numId w:val="60"/>
        </w:numPr>
        <w:ind w:left="1080" w:hanging="720"/>
      </w:pPr>
      <w:r w:rsidRPr="00196784">
        <w:t xml:space="preserve">Relative to the Previous Valuation, the </w:t>
      </w:r>
      <w:r w:rsidR="001C16B3" w:rsidRPr="00196784">
        <w:t>Company discontinued the development of the BMP Program as it failed in preclinical development for the treatment of renal fibrosis, and/or, CKD</w:t>
      </w:r>
      <w:r w:rsidR="007679E2" w:rsidRPr="00196784">
        <w:t xml:space="preserve">.  </w:t>
      </w:r>
      <w:r w:rsidR="00511B7D" w:rsidRPr="00196784">
        <w:rPr>
          <w:noProof/>
        </w:rPr>
        <w:t>T</w:t>
      </w:r>
      <w:r w:rsidR="007679E2" w:rsidRPr="00196784">
        <w:t xml:space="preserve">he </w:t>
      </w:r>
      <w:r w:rsidR="001C16B3" w:rsidRPr="00196784">
        <w:t xml:space="preserve">Company is discovering </w:t>
      </w:r>
      <w:r w:rsidR="007679E2" w:rsidRPr="00196784">
        <w:t>I</w:t>
      </w:r>
      <w:r w:rsidR="00BC2603" w:rsidRPr="00196784">
        <w:t>L</w:t>
      </w:r>
      <w:r w:rsidR="007679E2" w:rsidRPr="00196784">
        <w:t xml:space="preserve">-2 based </w:t>
      </w:r>
      <w:r w:rsidR="001C16B3" w:rsidRPr="00196784">
        <w:t xml:space="preserve">agonists </w:t>
      </w:r>
      <w:r w:rsidR="007679E2" w:rsidRPr="00196784">
        <w:t xml:space="preserve">for </w:t>
      </w:r>
      <w:r w:rsidR="001C16B3" w:rsidRPr="00196784">
        <w:t xml:space="preserve">the development of therapies </w:t>
      </w:r>
      <w:r w:rsidR="002D74F5" w:rsidRPr="00196784">
        <w:t>in IO</w:t>
      </w:r>
      <w:r w:rsidR="007679E2" w:rsidRPr="00196784">
        <w:t xml:space="preserve"> and autoimmune </w:t>
      </w:r>
      <w:r w:rsidR="001C16B3" w:rsidRPr="00196784">
        <w:t>diseases</w:t>
      </w:r>
      <w:r w:rsidR="007679E2" w:rsidRPr="00196784">
        <w:t>.</w:t>
      </w:r>
      <w:r w:rsidR="007679E2" w:rsidRPr="00196784">
        <w:rPr>
          <w:rStyle w:val="FootnoteReference"/>
          <w:lang w:eastAsia="zh-CN"/>
        </w:rPr>
        <w:footnoteReference w:id="8"/>
      </w:r>
    </w:p>
    <w:p w14:paraId="5D372D43" w14:textId="77777777" w:rsidR="0071530C" w:rsidRPr="00DE5618" w:rsidRDefault="0071530C" w:rsidP="00573796">
      <w:pPr>
        <w:rPr>
          <w:rFonts w:ascii="Georgia" w:hAnsi="Georgia"/>
          <w:color w:val="595959" w:themeColor="text1" w:themeTint="A6"/>
        </w:rPr>
      </w:pPr>
    </w:p>
    <w:p w14:paraId="5BA3DE8B" w14:textId="33B2E098" w:rsidR="00557D41" w:rsidRPr="00565DEF" w:rsidRDefault="00557D41" w:rsidP="00557D41">
      <w:pPr>
        <w:pStyle w:val="RNAHeadlineB"/>
        <w:outlineLvl w:val="1"/>
        <w:rPr>
          <w:rFonts w:ascii="Georgia" w:hAnsi="Georgia"/>
        </w:rPr>
      </w:pPr>
      <w:bookmarkStart w:id="25" w:name="_Toc2188942"/>
      <w:r>
        <w:rPr>
          <w:rFonts w:ascii="Georgia" w:hAnsi="Georgia"/>
        </w:rPr>
        <w:t>Management Team</w:t>
      </w:r>
      <w:bookmarkEnd w:id="25"/>
    </w:p>
    <w:p w14:paraId="0353AE5D" w14:textId="32989D2E" w:rsidR="00573796" w:rsidRDefault="00573796" w:rsidP="00DE5618">
      <w:pPr>
        <w:pStyle w:val="RNABodyCopy"/>
        <w:keepNext/>
      </w:pPr>
      <w:r>
        <w:t>Key members of the Management team are:</w:t>
      </w:r>
    </w:p>
    <w:p w14:paraId="3C54C5DB" w14:textId="77777777" w:rsidR="00B802C4" w:rsidRPr="00193490" w:rsidRDefault="00B802C4" w:rsidP="00B802C4">
      <w:pPr>
        <w:pStyle w:val="RNABodyCopy"/>
      </w:pPr>
    </w:p>
    <w:p w14:paraId="4B21E68E" w14:textId="463F1AEE" w:rsidR="00555B83" w:rsidRDefault="00555B83" w:rsidP="00555B83">
      <w:pPr>
        <w:pStyle w:val="RNABodyCopy"/>
        <w:rPr>
          <w:b/>
          <w:i/>
        </w:rPr>
      </w:pPr>
      <w:r>
        <w:rPr>
          <w:b/>
        </w:rPr>
        <w:t xml:space="preserve">Dr. Ronald W. Barrett, Ph.D. – </w:t>
      </w:r>
      <w:r w:rsidR="00996500">
        <w:rPr>
          <w:b/>
          <w:i/>
        </w:rPr>
        <w:t>Chief Executive Officer (“CEO”)</w:t>
      </w:r>
    </w:p>
    <w:p w14:paraId="6E96B2B8" w14:textId="3C63E80B" w:rsidR="00555B83" w:rsidRDefault="00555B83" w:rsidP="00555B83">
      <w:pPr>
        <w:pStyle w:val="RNABodyCopy"/>
        <w:rPr>
          <w:shd w:val="clear" w:color="auto" w:fill="FFFFFF"/>
        </w:rPr>
      </w:pPr>
      <w:r>
        <w:rPr>
          <w:shd w:val="clear" w:color="auto" w:fill="FFFFFF"/>
        </w:rPr>
        <w:t xml:space="preserve">Dr. Barrett serves as the </w:t>
      </w:r>
      <w:r w:rsidR="00996500">
        <w:rPr>
          <w:shd w:val="clear" w:color="auto" w:fill="FFFFFF"/>
        </w:rPr>
        <w:t>CEO</w:t>
      </w:r>
      <w:r>
        <w:rPr>
          <w:shd w:val="clear" w:color="auto" w:fill="FFFFFF"/>
        </w:rPr>
        <w:t xml:space="preserve"> of the Company.  Dr. Barrett co-founded XenoPort, Inc., in 1999 and served as its </w:t>
      </w:r>
      <w:r w:rsidR="00996500">
        <w:rPr>
          <w:shd w:val="clear" w:color="auto" w:fill="FFFFFF"/>
        </w:rPr>
        <w:t>CEO</w:t>
      </w:r>
      <w:r>
        <w:rPr>
          <w:shd w:val="clear" w:color="auto" w:fill="FFFFFF"/>
        </w:rPr>
        <w:t xml:space="preserve"> </w:t>
      </w:r>
      <w:r>
        <w:rPr>
          <w:noProof/>
          <w:shd w:val="clear" w:color="auto" w:fill="FFFFFF"/>
        </w:rPr>
        <w:t>from</w:t>
      </w:r>
      <w:r>
        <w:rPr>
          <w:shd w:val="clear" w:color="auto" w:fill="FFFFFF"/>
        </w:rPr>
        <w:t xml:space="preserve"> September 2001 until October 1, 2015.  Dr. Barrett served as the Chief Scientific Officer</w:t>
      </w:r>
      <w:r w:rsidR="00996500">
        <w:rPr>
          <w:shd w:val="clear" w:color="auto" w:fill="FFFFFF"/>
        </w:rPr>
        <w:t xml:space="preserve"> (“CSO”)</w:t>
      </w:r>
      <w:r>
        <w:rPr>
          <w:shd w:val="clear" w:color="auto" w:fill="FFFFFF"/>
        </w:rPr>
        <w:t xml:space="preserve"> of Xenoport Inc. from 1999 to 2001.  He served as the Senior Vice President of Research at Affymax Research Institute from 1989 to 1999.  He served as a Molecular Pharmacologist in Neuroscience Group at Abbott Laboratories from 1986 to 1989.  He has industry and board experience, including as the </w:t>
      </w:r>
      <w:r w:rsidR="00996500">
        <w:rPr>
          <w:shd w:val="clear" w:color="auto" w:fill="FFFFFF"/>
        </w:rPr>
        <w:t>CEO</w:t>
      </w:r>
      <w:r>
        <w:rPr>
          <w:shd w:val="clear" w:color="auto" w:fill="FFFFFF"/>
        </w:rPr>
        <w:t xml:space="preserve"> of a publicly traded biopharmaceutical company.  Dr. Barrett has been an Independent Director of Concert Pharmaceuticals, Inc. since December 2007.  Dr. Barrett served as a Director of Xenoport, Inc. since August 1999.  He is the inventor on more than 40 US patents and has co-authored over 40 manuscripts in peer-reviewed journals.  In 1996, he was co-recipient of the Newcomb-Cleveland Award for the year's best manuscript in the publication Science.  Dr. Barrett received a Bachelor of Science from Bucknell University and </w:t>
      </w:r>
      <w:r w:rsidR="006D4203">
        <w:rPr>
          <w:shd w:val="clear" w:color="auto" w:fill="FFFFFF"/>
        </w:rPr>
        <w:t xml:space="preserve">a </w:t>
      </w:r>
      <w:r w:rsidRPr="00951B5C">
        <w:rPr>
          <w:noProof/>
          <w:shd w:val="clear" w:color="auto" w:fill="FFFFFF"/>
        </w:rPr>
        <w:t>Ph.D.</w:t>
      </w:r>
      <w:r>
        <w:rPr>
          <w:shd w:val="clear" w:color="auto" w:fill="FFFFFF"/>
        </w:rPr>
        <w:t xml:space="preserve"> in Pharmacology from Rutgers University.</w:t>
      </w:r>
      <w:r>
        <w:rPr>
          <w:rStyle w:val="FootnoteReference"/>
          <w:shd w:val="clear" w:color="auto" w:fill="FFFFFF"/>
        </w:rPr>
        <w:footnoteReference w:id="9"/>
      </w:r>
    </w:p>
    <w:p w14:paraId="26533495" w14:textId="77777777" w:rsidR="00555B83" w:rsidRDefault="00555B83" w:rsidP="00555B83">
      <w:pPr>
        <w:pStyle w:val="RNABodyCopy"/>
      </w:pPr>
    </w:p>
    <w:p w14:paraId="634D72AC" w14:textId="77777777" w:rsidR="007679E2" w:rsidRDefault="007679E2" w:rsidP="007679E2">
      <w:pPr>
        <w:pStyle w:val="RNABodyCopy"/>
        <w:rPr>
          <w:b/>
        </w:rPr>
      </w:pPr>
      <w:r>
        <w:rPr>
          <w:b/>
        </w:rPr>
        <w:t xml:space="preserve">Michael C. Needels, Ph.D. – </w:t>
      </w:r>
      <w:r>
        <w:rPr>
          <w:b/>
          <w:i/>
        </w:rPr>
        <w:t>Chief Operating Officer</w:t>
      </w:r>
    </w:p>
    <w:p w14:paraId="2D350C6C" w14:textId="4281F515" w:rsidR="007679E2" w:rsidRDefault="007679E2" w:rsidP="007679E2">
      <w:pPr>
        <w:pStyle w:val="RNABodyCopy"/>
        <w:rPr>
          <w:shd w:val="clear" w:color="auto" w:fill="FFFFFF"/>
        </w:rPr>
      </w:pPr>
      <w:r>
        <w:rPr>
          <w:shd w:val="clear" w:color="auto" w:fill="FFFFFF"/>
        </w:rPr>
        <w:t>Dr. Needels serves as the Chief Operating Officer of the Company.  He is a Co-</w:t>
      </w:r>
      <w:r w:rsidR="00DB5ADE">
        <w:rPr>
          <w:shd w:val="clear" w:color="auto" w:fill="FFFFFF"/>
        </w:rPr>
        <w:t xml:space="preserve">Founder </w:t>
      </w:r>
      <w:r>
        <w:rPr>
          <w:shd w:val="clear" w:color="auto" w:fill="FFFFFF"/>
        </w:rPr>
        <w:t>of Nodality Inc.</w:t>
      </w:r>
      <w:r w:rsidR="00DB5ADE">
        <w:rPr>
          <w:shd w:val="clear" w:color="auto" w:fill="FFFFFF"/>
        </w:rPr>
        <w:t xml:space="preserve"> (“Nodality”).</w:t>
      </w:r>
      <w:r>
        <w:rPr>
          <w:shd w:val="clear" w:color="auto" w:fill="FFFFFF"/>
        </w:rPr>
        <w:t xml:space="preserve"> </w:t>
      </w:r>
      <w:r w:rsidR="00DB5ADE">
        <w:rPr>
          <w:shd w:val="clear" w:color="auto" w:fill="FFFFFF"/>
        </w:rPr>
        <w:t xml:space="preserve"> </w:t>
      </w:r>
      <w:r>
        <w:rPr>
          <w:shd w:val="clear" w:color="auto" w:fill="FFFFFF"/>
        </w:rPr>
        <w:t xml:space="preserve">Prior to joining Nodality, Dr. Needels was an independent </w:t>
      </w:r>
      <w:r w:rsidR="00DB5ADE">
        <w:rPr>
          <w:shd w:val="clear" w:color="auto" w:fill="FFFFFF"/>
        </w:rPr>
        <w:t xml:space="preserve">Scientific Consultant </w:t>
      </w:r>
      <w:r>
        <w:rPr>
          <w:shd w:val="clear" w:color="auto" w:fill="FFFFFF"/>
        </w:rPr>
        <w:t xml:space="preserve">specializing in the areas of novel assay technology and drug discovery.  He held the position of Senior Research Fellow at XenoPort, Inc., responsible for directing new technology initiatives in the areas of drug delivery and drug targeting.  Prior to that, he was at Affymax Research Institute where he held the position of Research Unit Director, responsible for the leadership of an approximately 60-member team of biologists, chemists, and engineers pursuing technology development in the areas of novel screening formats and novel types of chemical diversity effective against historically intractable targets.  Dr. Needels joined Affymax Research Institute in 1992 to spearhead the then pioneering research effort focused on the development of technologies for the synthesis and screening of encoded, combinatorial libraries.  He is a co-inventor of this technology, along with Drs. Ron Barrett, Bill Dower, and Mark Gallop, which has received broad patent coverage.  Prior to that, he was employed at Roche Molecular Systems where he worked as a nucleic acid chemist in the group developing the first PCR-based diagnostic tests for such pathogens as HIV, chlamydia, and tuberculosis.  His postdoctoral training in molecular and cellular biology was in the laboratory of Prof. Herbert Boyer at the University of California, San Francisco.  Dr. Needels </w:t>
      </w:r>
      <w:r w:rsidR="00313E90">
        <w:rPr>
          <w:shd w:val="clear" w:color="auto" w:fill="FFFFFF"/>
        </w:rPr>
        <w:t xml:space="preserve">received his </w:t>
      </w:r>
      <w:r>
        <w:rPr>
          <w:shd w:val="clear" w:color="auto" w:fill="FFFFFF"/>
        </w:rPr>
        <w:t>M</w:t>
      </w:r>
      <w:r w:rsidR="00CB584E">
        <w:rPr>
          <w:shd w:val="clear" w:color="auto" w:fill="FFFFFF"/>
        </w:rPr>
        <w:t xml:space="preserve">aster of </w:t>
      </w:r>
      <w:r>
        <w:rPr>
          <w:shd w:val="clear" w:color="auto" w:fill="FFFFFF"/>
        </w:rPr>
        <w:t>S</w:t>
      </w:r>
      <w:r w:rsidR="00CB584E">
        <w:rPr>
          <w:shd w:val="clear" w:color="auto" w:fill="FFFFFF"/>
        </w:rPr>
        <w:t>cience (“M.S.”)</w:t>
      </w:r>
      <w:r>
        <w:rPr>
          <w:shd w:val="clear" w:color="auto" w:fill="FFFFFF"/>
        </w:rPr>
        <w:t xml:space="preserve"> and Ph.D. in Bioorganic Chemistry from Cornell University, and a </w:t>
      </w:r>
      <w:r w:rsidR="00996500" w:rsidRPr="00CB584E">
        <w:rPr>
          <w:shd w:val="clear" w:color="auto" w:fill="FFFFFF"/>
        </w:rPr>
        <w:t>Bachelor of Arts</w:t>
      </w:r>
      <w:r w:rsidR="00996500">
        <w:rPr>
          <w:shd w:val="clear" w:color="auto" w:fill="FFFFFF"/>
        </w:rPr>
        <w:t xml:space="preserve"> (“B.A.”) </w:t>
      </w:r>
      <w:r>
        <w:rPr>
          <w:shd w:val="clear" w:color="auto" w:fill="FFFFFF"/>
        </w:rPr>
        <w:t>degree in Biochemistry from the University of California, Berkeley.</w:t>
      </w:r>
      <w:r>
        <w:rPr>
          <w:rStyle w:val="FootnoteReference"/>
          <w:shd w:val="clear" w:color="auto" w:fill="FFFFFF"/>
        </w:rPr>
        <w:footnoteReference w:id="10"/>
      </w:r>
    </w:p>
    <w:p w14:paraId="41763B51" w14:textId="77777777" w:rsidR="00996500" w:rsidRDefault="00996500" w:rsidP="00996500">
      <w:pPr>
        <w:pStyle w:val="RNABodyCopy"/>
        <w:rPr>
          <w:b/>
        </w:rPr>
      </w:pPr>
    </w:p>
    <w:p w14:paraId="37B7943F" w14:textId="446250E3" w:rsidR="00996500" w:rsidRDefault="00996500" w:rsidP="00996500">
      <w:pPr>
        <w:pStyle w:val="RNABodyCopy"/>
        <w:rPr>
          <w:b/>
        </w:rPr>
      </w:pPr>
      <w:r>
        <w:rPr>
          <w:b/>
        </w:rPr>
        <w:t xml:space="preserve">William J. Dower, Ph.D. – </w:t>
      </w:r>
      <w:r w:rsidR="00DB5ADE">
        <w:rPr>
          <w:b/>
          <w:i/>
        </w:rPr>
        <w:t>CSO</w:t>
      </w:r>
      <w:r>
        <w:rPr>
          <w:b/>
        </w:rPr>
        <w:t xml:space="preserve"> </w:t>
      </w:r>
    </w:p>
    <w:p w14:paraId="18BEF94D" w14:textId="5D78540D" w:rsidR="00996500" w:rsidRDefault="00996500" w:rsidP="00996500">
      <w:pPr>
        <w:pStyle w:val="RNABodyCopy"/>
        <w:rPr>
          <w:shd w:val="clear" w:color="auto" w:fill="FFFFFF"/>
        </w:rPr>
      </w:pPr>
      <w:r>
        <w:rPr>
          <w:shd w:val="clear" w:color="auto" w:fill="FFFFFF"/>
        </w:rPr>
        <w:t xml:space="preserve">Dr. Dower serves as the </w:t>
      </w:r>
      <w:r w:rsidR="00DB5ADE">
        <w:rPr>
          <w:shd w:val="clear" w:color="auto" w:fill="FFFFFF"/>
        </w:rPr>
        <w:t>CSO</w:t>
      </w:r>
      <w:r>
        <w:rPr>
          <w:shd w:val="clear" w:color="auto" w:fill="FFFFFF"/>
        </w:rPr>
        <w:t xml:space="preserve"> of the Company.  He</w:t>
      </w:r>
      <w:r w:rsidR="00313E90">
        <w:rPr>
          <w:shd w:val="clear" w:color="auto" w:fill="FFFFFF"/>
        </w:rPr>
        <w:t xml:space="preserve"> previously</w:t>
      </w:r>
      <w:r>
        <w:rPr>
          <w:shd w:val="clear" w:color="auto" w:fill="FFFFFF"/>
        </w:rPr>
        <w:t xml:space="preserve"> </w:t>
      </w:r>
      <w:r w:rsidR="00313E90">
        <w:rPr>
          <w:shd w:val="clear" w:color="auto" w:fill="FFFFFF"/>
        </w:rPr>
        <w:t>served as</w:t>
      </w:r>
      <w:r>
        <w:rPr>
          <w:shd w:val="clear" w:color="auto" w:fill="FFFFFF"/>
        </w:rPr>
        <w:t xml:space="preserve"> Vice President of Discovery Biology of Xenoport Inc. since 1999.  Dr. Dower is one of Xenoport Inc.'s founders and has been Xenoport Inc.'s Vice President of </w:t>
      </w:r>
      <w:r w:rsidR="00313E90">
        <w:rPr>
          <w:shd w:val="clear" w:color="auto" w:fill="FFFFFF"/>
        </w:rPr>
        <w:t>D</w:t>
      </w:r>
      <w:r>
        <w:rPr>
          <w:shd w:val="clear" w:color="auto" w:fill="FFFFFF"/>
        </w:rPr>
        <w:t xml:space="preserve">iscovery </w:t>
      </w:r>
      <w:r w:rsidR="00313E90">
        <w:rPr>
          <w:shd w:val="clear" w:color="auto" w:fill="FFFFFF"/>
        </w:rPr>
        <w:t>B</w:t>
      </w:r>
      <w:r>
        <w:rPr>
          <w:shd w:val="clear" w:color="auto" w:fill="FFFFFF"/>
        </w:rPr>
        <w:t xml:space="preserve">iology since 1999.  From 1989 to 1999, he held various positions at Affymax Research Institute, the most recent of which was </w:t>
      </w:r>
      <w:r w:rsidR="00313E90">
        <w:rPr>
          <w:shd w:val="clear" w:color="auto" w:fill="FFFFFF"/>
        </w:rPr>
        <w:t>S</w:t>
      </w:r>
      <w:r>
        <w:rPr>
          <w:shd w:val="clear" w:color="auto" w:fill="FFFFFF"/>
        </w:rPr>
        <w:t xml:space="preserve">enior </w:t>
      </w:r>
      <w:r w:rsidR="00313E90">
        <w:rPr>
          <w:shd w:val="clear" w:color="auto" w:fill="FFFFFF"/>
        </w:rPr>
        <w:t>D</w:t>
      </w:r>
      <w:r>
        <w:rPr>
          <w:shd w:val="clear" w:color="auto" w:fill="FFFFFF"/>
        </w:rPr>
        <w:t xml:space="preserve">irector of </w:t>
      </w:r>
      <w:r w:rsidR="00313E90">
        <w:rPr>
          <w:shd w:val="clear" w:color="auto" w:fill="FFFFFF"/>
        </w:rPr>
        <w:t>M</w:t>
      </w:r>
      <w:r>
        <w:rPr>
          <w:shd w:val="clear" w:color="auto" w:fill="FFFFFF"/>
        </w:rPr>
        <w:t xml:space="preserve">olecular </w:t>
      </w:r>
      <w:r w:rsidR="00313E90">
        <w:rPr>
          <w:shd w:val="clear" w:color="auto" w:fill="FFFFFF"/>
        </w:rPr>
        <w:t>B</w:t>
      </w:r>
      <w:r>
        <w:rPr>
          <w:shd w:val="clear" w:color="auto" w:fill="FFFFFF"/>
        </w:rPr>
        <w:t xml:space="preserve">iology.  Prior to Affymax Research Institute, he held the position of </w:t>
      </w:r>
      <w:r w:rsidR="00313E90">
        <w:rPr>
          <w:shd w:val="clear" w:color="auto" w:fill="FFFFFF"/>
        </w:rPr>
        <w:t>S</w:t>
      </w:r>
      <w:r>
        <w:rPr>
          <w:shd w:val="clear" w:color="auto" w:fill="FFFFFF"/>
        </w:rPr>
        <w:t xml:space="preserve">enior </w:t>
      </w:r>
      <w:r w:rsidR="00313E90">
        <w:rPr>
          <w:shd w:val="clear" w:color="auto" w:fill="FFFFFF"/>
        </w:rPr>
        <w:t>R</w:t>
      </w:r>
      <w:r>
        <w:rPr>
          <w:shd w:val="clear" w:color="auto" w:fill="FFFFFF"/>
        </w:rPr>
        <w:t xml:space="preserve">esearch </w:t>
      </w:r>
      <w:r w:rsidR="00313E90">
        <w:rPr>
          <w:shd w:val="clear" w:color="auto" w:fill="FFFFFF"/>
        </w:rPr>
        <w:t>B</w:t>
      </w:r>
      <w:r>
        <w:rPr>
          <w:shd w:val="clear" w:color="auto" w:fill="FFFFFF"/>
        </w:rPr>
        <w:t xml:space="preserve">iochemist at Bio-Rad Laboratories, Inc., from 1984 to 1989.  He received </w:t>
      </w:r>
      <w:r w:rsidR="00313E90">
        <w:rPr>
          <w:shd w:val="clear" w:color="auto" w:fill="FFFFFF"/>
        </w:rPr>
        <w:t>his</w:t>
      </w:r>
      <w:r>
        <w:rPr>
          <w:shd w:val="clear" w:color="auto" w:fill="FFFFFF"/>
        </w:rPr>
        <w:t xml:space="preserve"> B.A. and Ph.D. in </w:t>
      </w:r>
      <w:r w:rsidR="00313E90">
        <w:rPr>
          <w:shd w:val="clear" w:color="auto" w:fill="FFFFFF"/>
        </w:rPr>
        <w:t>B</w:t>
      </w:r>
      <w:r>
        <w:rPr>
          <w:shd w:val="clear" w:color="auto" w:fill="FFFFFF"/>
        </w:rPr>
        <w:t xml:space="preserve">iological </w:t>
      </w:r>
      <w:r w:rsidR="00313E90">
        <w:rPr>
          <w:shd w:val="clear" w:color="auto" w:fill="FFFFFF"/>
        </w:rPr>
        <w:t>S</w:t>
      </w:r>
      <w:r>
        <w:rPr>
          <w:shd w:val="clear" w:color="auto" w:fill="FFFFFF"/>
        </w:rPr>
        <w:t>ciences from the University of California, San Diego.</w:t>
      </w:r>
      <w:r>
        <w:rPr>
          <w:rStyle w:val="FootnoteReference"/>
          <w:shd w:val="clear" w:color="auto" w:fill="FFFFFF"/>
        </w:rPr>
        <w:footnoteReference w:id="11"/>
      </w:r>
    </w:p>
    <w:p w14:paraId="672A6033" w14:textId="77777777" w:rsidR="007679E2" w:rsidRDefault="007679E2" w:rsidP="007679E2">
      <w:pPr>
        <w:pStyle w:val="RNABodyCopy"/>
        <w:rPr>
          <w:shd w:val="clear" w:color="auto" w:fill="FFFFFF"/>
        </w:rPr>
      </w:pPr>
    </w:p>
    <w:p w14:paraId="276B1FF2" w14:textId="77777777" w:rsidR="00554D0A" w:rsidRPr="00565DEF" w:rsidRDefault="00554D0A" w:rsidP="00554D0A">
      <w:pPr>
        <w:pStyle w:val="RNAHeadlineB"/>
        <w:outlineLvl w:val="1"/>
        <w:rPr>
          <w:rFonts w:ascii="Georgia" w:hAnsi="Georgia"/>
        </w:rPr>
      </w:pPr>
      <w:bookmarkStart w:id="26" w:name="_Toc2188943"/>
      <w:r w:rsidRPr="00565DEF">
        <w:rPr>
          <w:rFonts w:ascii="Georgia" w:hAnsi="Georgia"/>
        </w:rPr>
        <w:t>Capitalization and Ownership</w:t>
      </w:r>
      <w:bookmarkEnd w:id="26"/>
    </w:p>
    <w:p w14:paraId="60E1927C" w14:textId="5CBBE7C5" w:rsidR="00554D0A" w:rsidRPr="00A71F2E" w:rsidRDefault="00554D0A" w:rsidP="00A71F2E">
      <w:pPr>
        <w:tabs>
          <w:tab w:val="left" w:pos="1323"/>
        </w:tabs>
      </w:pPr>
      <w:r w:rsidRPr="00554D0A">
        <w:rPr>
          <w:rFonts w:ascii="Georgia" w:hAnsi="Georgia"/>
          <w:color w:val="595959" w:themeColor="text1" w:themeTint="A6"/>
        </w:rPr>
        <w:t>The Company is authorized to issue common and preferred stock.  As of the Valuation Date, the following</w:t>
      </w:r>
    </w:p>
    <w:bookmarkEnd w:id="23"/>
    <w:p w14:paraId="1C33D7DD" w14:textId="421C456A" w:rsidR="00573796" w:rsidRDefault="00573796" w:rsidP="00DE5618">
      <w:pPr>
        <w:pStyle w:val="RNABodyCopy"/>
        <w:keepNext/>
      </w:pPr>
      <w:r w:rsidRPr="00474556">
        <w:t>shares were issued and outstanding or anticipated to be issued and outstanding:</w:t>
      </w:r>
    </w:p>
    <w:p w14:paraId="326A9F26" w14:textId="77777777" w:rsidR="00B14CCF" w:rsidRPr="00474556" w:rsidRDefault="00B14CCF" w:rsidP="00DE5618">
      <w:pPr>
        <w:pStyle w:val="RNABodyCopy"/>
        <w:keepNext/>
      </w:pPr>
    </w:p>
    <w:p w14:paraId="04AC3086" w14:textId="1A88C3C2" w:rsidR="00CC54D1" w:rsidRDefault="00CC54D1" w:rsidP="00CC54D1">
      <w:pPr>
        <w:pStyle w:val="RNABodyCopy"/>
        <w:keepNext/>
        <w:keepLines/>
        <w:jc w:val="center"/>
        <w:rPr>
          <w:i/>
        </w:rPr>
      </w:pPr>
      <w:r w:rsidRPr="006B6651">
        <w:rPr>
          <w:i/>
        </w:rPr>
        <w:t xml:space="preserve">Table 1: </w:t>
      </w:r>
      <w:r>
        <w:rPr>
          <w:i/>
        </w:rPr>
        <w:t xml:space="preserve">Capitalization </w:t>
      </w:r>
      <w:r w:rsidR="00492136">
        <w:rPr>
          <w:i/>
        </w:rPr>
        <w:t>Table</w:t>
      </w:r>
    </w:p>
    <w:p w14:paraId="0BED0B2F" w14:textId="77777777" w:rsidR="00573796" w:rsidRPr="00565DEF" w:rsidRDefault="00573796" w:rsidP="00573796">
      <w:pPr>
        <w:keepNext/>
        <w:keepLines/>
        <w:rPr>
          <w:rFonts w:ascii="Georgia" w:hAnsi="Georgia"/>
        </w:rPr>
      </w:pPr>
    </w:p>
    <w:tbl>
      <w:tblPr>
        <w:tblW w:w="8703" w:type="dxa"/>
        <w:jc w:val="center"/>
        <w:tblLook w:val="04A0" w:firstRow="1" w:lastRow="0" w:firstColumn="1" w:lastColumn="0" w:noHBand="0" w:noVBand="1"/>
      </w:tblPr>
      <w:tblGrid>
        <w:gridCol w:w="1902"/>
        <w:gridCol w:w="2360"/>
        <w:gridCol w:w="2233"/>
        <w:gridCol w:w="2208"/>
      </w:tblGrid>
      <w:tr w:rsidR="00573796" w:rsidRPr="00941C39" w14:paraId="2750354A" w14:textId="77777777" w:rsidTr="00D55352">
        <w:trPr>
          <w:trHeight w:val="420"/>
          <w:jc w:val="center"/>
        </w:trPr>
        <w:tc>
          <w:tcPr>
            <w:tcW w:w="1902" w:type="dxa"/>
            <w:tcBorders>
              <w:top w:val="nil"/>
              <w:left w:val="nil"/>
              <w:bottom w:val="nil"/>
              <w:right w:val="nil"/>
            </w:tcBorders>
            <w:shd w:val="clear" w:color="000000" w:fill="6F929D" w:themeFill="accent5" w:themeFillShade="BF"/>
            <w:noWrap/>
            <w:vAlign w:val="center"/>
            <w:hideMark/>
          </w:tcPr>
          <w:p w14:paraId="1FD2D202"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EQUITY CLASS</w:t>
            </w:r>
          </w:p>
        </w:tc>
        <w:tc>
          <w:tcPr>
            <w:tcW w:w="2360" w:type="dxa"/>
            <w:tcBorders>
              <w:top w:val="nil"/>
              <w:left w:val="nil"/>
              <w:bottom w:val="nil"/>
              <w:right w:val="nil"/>
            </w:tcBorders>
            <w:shd w:val="clear" w:color="000000" w:fill="6F929D" w:themeFill="accent5" w:themeFillShade="BF"/>
            <w:noWrap/>
            <w:vAlign w:val="center"/>
            <w:hideMark/>
          </w:tcPr>
          <w:p w14:paraId="75CF5896"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AUTHORIZED</w:t>
            </w:r>
          </w:p>
        </w:tc>
        <w:tc>
          <w:tcPr>
            <w:tcW w:w="2233" w:type="dxa"/>
            <w:tcBorders>
              <w:top w:val="nil"/>
              <w:left w:val="nil"/>
              <w:bottom w:val="nil"/>
              <w:right w:val="nil"/>
            </w:tcBorders>
            <w:shd w:val="clear" w:color="000000" w:fill="6F929D" w:themeFill="accent5" w:themeFillShade="BF"/>
            <w:noWrap/>
            <w:vAlign w:val="center"/>
            <w:hideMark/>
          </w:tcPr>
          <w:p w14:paraId="2E8665BC"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OUTSTANDING</w:t>
            </w:r>
          </w:p>
        </w:tc>
        <w:tc>
          <w:tcPr>
            <w:tcW w:w="2208" w:type="dxa"/>
            <w:tcBorders>
              <w:top w:val="nil"/>
              <w:left w:val="nil"/>
              <w:bottom w:val="nil"/>
              <w:right w:val="nil"/>
            </w:tcBorders>
            <w:shd w:val="clear" w:color="000000" w:fill="6F929D" w:themeFill="accent5" w:themeFillShade="BF"/>
            <w:noWrap/>
            <w:vAlign w:val="center"/>
            <w:hideMark/>
          </w:tcPr>
          <w:p w14:paraId="74F99EDB"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AS CONVERTED</w:t>
            </w:r>
          </w:p>
        </w:tc>
      </w:tr>
      <w:tr w:rsidR="00573796" w:rsidRPr="00941C39" w14:paraId="4D2FD75B" w14:textId="77777777" w:rsidTr="00FE3044">
        <w:trPr>
          <w:trHeight w:val="420"/>
          <w:jc w:val="center"/>
        </w:trPr>
        <w:tc>
          <w:tcPr>
            <w:tcW w:w="1902" w:type="dxa"/>
            <w:tcBorders>
              <w:top w:val="nil"/>
              <w:left w:val="nil"/>
              <w:bottom w:val="single" w:sz="4" w:space="0" w:color="A5BBC2" w:themeColor="accent5"/>
              <w:right w:val="nil"/>
            </w:tcBorders>
            <w:shd w:val="clear" w:color="auto" w:fill="auto"/>
            <w:noWrap/>
            <w:vAlign w:val="center"/>
          </w:tcPr>
          <w:p w14:paraId="4B1929EE" w14:textId="519FCFF8" w:rsidR="00573796" w:rsidRPr="00565DEF" w:rsidRDefault="00573796" w:rsidP="00FE3044">
            <w:pPr>
              <w:keepNext/>
              <w:keepLines/>
              <w:jc w:val="left"/>
              <w:rPr>
                <w:rFonts w:ascii="Georgia" w:eastAsia="Times New Roman" w:hAnsi="Georgia" w:cs="Arial"/>
                <w:b/>
                <w:color w:val="48626B" w:themeColor="accent5" w:themeShade="80"/>
              </w:rPr>
            </w:pPr>
            <w:r w:rsidRPr="00565DEF">
              <w:rPr>
                <w:rFonts w:ascii="Georgia" w:eastAsia="Times New Roman" w:hAnsi="Georgia" w:cs="Arial"/>
                <w:b/>
                <w:color w:val="48626B" w:themeColor="accent5" w:themeShade="80"/>
              </w:rPr>
              <w:t xml:space="preserve">Series </w:t>
            </w:r>
            <w:r w:rsidR="00671E92">
              <w:rPr>
                <w:rFonts w:ascii="Georgia" w:eastAsia="Times New Roman" w:hAnsi="Georgia" w:cs="Arial"/>
                <w:b/>
                <w:color w:val="48626B" w:themeColor="accent5" w:themeShade="80"/>
              </w:rPr>
              <w:t>Seed 1</w:t>
            </w:r>
          </w:p>
        </w:tc>
        <w:tc>
          <w:tcPr>
            <w:tcW w:w="2360" w:type="dxa"/>
            <w:tcBorders>
              <w:top w:val="nil"/>
              <w:left w:val="nil"/>
              <w:bottom w:val="single" w:sz="4" w:space="0" w:color="A5BBC2" w:themeColor="accent5"/>
              <w:right w:val="nil"/>
            </w:tcBorders>
            <w:shd w:val="clear" w:color="auto" w:fill="auto"/>
            <w:noWrap/>
            <w:vAlign w:val="center"/>
          </w:tcPr>
          <w:p w14:paraId="1F6A6555" w14:textId="7AFA3C79" w:rsidR="00573796" w:rsidRPr="00565DEF" w:rsidRDefault="00671E92" w:rsidP="00FE3044">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1,235,000</w:t>
            </w:r>
          </w:p>
        </w:tc>
        <w:tc>
          <w:tcPr>
            <w:tcW w:w="2233" w:type="dxa"/>
            <w:tcBorders>
              <w:top w:val="nil"/>
              <w:left w:val="nil"/>
              <w:bottom w:val="single" w:sz="4" w:space="0" w:color="A5BBC2" w:themeColor="accent5"/>
              <w:right w:val="nil"/>
            </w:tcBorders>
            <w:shd w:val="clear" w:color="auto" w:fill="auto"/>
            <w:noWrap/>
            <w:vAlign w:val="center"/>
          </w:tcPr>
          <w:p w14:paraId="4FBE2780" w14:textId="6CEEF6EC" w:rsidR="00573796" w:rsidRPr="00565DEF" w:rsidRDefault="00671E92" w:rsidP="00FE3044">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1,235,000</w:t>
            </w:r>
          </w:p>
        </w:tc>
        <w:tc>
          <w:tcPr>
            <w:tcW w:w="2208" w:type="dxa"/>
            <w:tcBorders>
              <w:top w:val="nil"/>
              <w:left w:val="nil"/>
              <w:bottom w:val="single" w:sz="4" w:space="0" w:color="A5BBC2" w:themeColor="accent5"/>
              <w:right w:val="nil"/>
            </w:tcBorders>
            <w:shd w:val="clear" w:color="auto" w:fill="auto"/>
            <w:noWrap/>
            <w:vAlign w:val="center"/>
          </w:tcPr>
          <w:p w14:paraId="4CFE2720" w14:textId="2683BD70" w:rsidR="00573796" w:rsidRPr="00565DEF" w:rsidRDefault="00671E92" w:rsidP="00FE3044">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1,646,667</w:t>
            </w:r>
          </w:p>
        </w:tc>
      </w:tr>
      <w:tr w:rsidR="00671E92" w:rsidRPr="00941C39" w14:paraId="5A1571AE" w14:textId="77777777" w:rsidTr="00FE3044">
        <w:trPr>
          <w:trHeight w:val="420"/>
          <w:jc w:val="center"/>
        </w:trPr>
        <w:tc>
          <w:tcPr>
            <w:tcW w:w="1902" w:type="dxa"/>
            <w:tcBorders>
              <w:top w:val="nil"/>
              <w:left w:val="nil"/>
              <w:bottom w:val="single" w:sz="4" w:space="0" w:color="A5BBC2" w:themeColor="accent5"/>
              <w:right w:val="nil"/>
            </w:tcBorders>
            <w:shd w:val="clear" w:color="auto" w:fill="auto"/>
            <w:noWrap/>
            <w:vAlign w:val="center"/>
          </w:tcPr>
          <w:p w14:paraId="6331BE21" w14:textId="47A53E53" w:rsidR="00671E92" w:rsidRPr="00565DEF" w:rsidRDefault="00671E92" w:rsidP="00FE3044">
            <w:pPr>
              <w:keepNext/>
              <w:keepLines/>
              <w:jc w:val="left"/>
              <w:rPr>
                <w:rFonts w:ascii="Georgia" w:eastAsia="Times New Roman" w:hAnsi="Georgia" w:cs="Arial"/>
                <w:b/>
                <w:color w:val="48626B" w:themeColor="accent5" w:themeShade="80"/>
              </w:rPr>
            </w:pPr>
            <w:r w:rsidRPr="00565DEF">
              <w:rPr>
                <w:rFonts w:ascii="Georgia" w:eastAsia="Times New Roman" w:hAnsi="Georgia" w:cs="Arial"/>
                <w:b/>
                <w:color w:val="48626B" w:themeColor="accent5" w:themeShade="80"/>
              </w:rPr>
              <w:t xml:space="preserve">Series </w:t>
            </w:r>
            <w:r>
              <w:rPr>
                <w:rFonts w:ascii="Georgia" w:eastAsia="Times New Roman" w:hAnsi="Georgia" w:cs="Arial"/>
                <w:b/>
                <w:color w:val="48626B" w:themeColor="accent5" w:themeShade="80"/>
              </w:rPr>
              <w:t>Seed 2</w:t>
            </w:r>
          </w:p>
        </w:tc>
        <w:tc>
          <w:tcPr>
            <w:tcW w:w="2360" w:type="dxa"/>
            <w:tcBorders>
              <w:top w:val="nil"/>
              <w:left w:val="nil"/>
              <w:bottom w:val="single" w:sz="4" w:space="0" w:color="A5BBC2" w:themeColor="accent5"/>
              <w:right w:val="nil"/>
            </w:tcBorders>
            <w:shd w:val="clear" w:color="auto" w:fill="auto"/>
            <w:noWrap/>
            <w:vAlign w:val="center"/>
          </w:tcPr>
          <w:p w14:paraId="0657F426" w14:textId="714273DB" w:rsidR="00671E92" w:rsidRPr="00565DEF" w:rsidRDefault="00671E92" w:rsidP="00FE3044">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2,666,667</w:t>
            </w:r>
          </w:p>
        </w:tc>
        <w:tc>
          <w:tcPr>
            <w:tcW w:w="2233" w:type="dxa"/>
            <w:tcBorders>
              <w:top w:val="nil"/>
              <w:left w:val="nil"/>
              <w:bottom w:val="single" w:sz="4" w:space="0" w:color="A5BBC2" w:themeColor="accent5"/>
              <w:right w:val="nil"/>
            </w:tcBorders>
            <w:shd w:val="clear" w:color="auto" w:fill="auto"/>
            <w:noWrap/>
            <w:vAlign w:val="center"/>
          </w:tcPr>
          <w:p w14:paraId="773E0874" w14:textId="5D3F0633" w:rsidR="00671E92" w:rsidRPr="00565DEF" w:rsidRDefault="00671E92" w:rsidP="00FE3044">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2,666,667</w:t>
            </w:r>
          </w:p>
        </w:tc>
        <w:tc>
          <w:tcPr>
            <w:tcW w:w="2208" w:type="dxa"/>
            <w:tcBorders>
              <w:top w:val="nil"/>
              <w:left w:val="nil"/>
              <w:bottom w:val="single" w:sz="4" w:space="0" w:color="A5BBC2" w:themeColor="accent5"/>
              <w:right w:val="nil"/>
            </w:tcBorders>
            <w:shd w:val="clear" w:color="auto" w:fill="auto"/>
            <w:noWrap/>
            <w:vAlign w:val="center"/>
          </w:tcPr>
          <w:p w14:paraId="21D74241" w14:textId="6A624D40" w:rsidR="00671E92" w:rsidRPr="00565DEF" w:rsidRDefault="00671E92" w:rsidP="00FE3044">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2,666,667</w:t>
            </w:r>
          </w:p>
        </w:tc>
      </w:tr>
      <w:tr w:rsidR="00573796" w:rsidRPr="00941C39" w14:paraId="5C596290" w14:textId="77777777" w:rsidTr="00FE3044">
        <w:trPr>
          <w:trHeight w:val="420"/>
          <w:jc w:val="center"/>
        </w:trPr>
        <w:tc>
          <w:tcPr>
            <w:tcW w:w="1902" w:type="dxa"/>
            <w:tcBorders>
              <w:top w:val="single" w:sz="4" w:space="0" w:color="A5BBC2" w:themeColor="accent5"/>
              <w:left w:val="nil"/>
              <w:bottom w:val="single" w:sz="4" w:space="0" w:color="A5BBC2" w:themeColor="accent5"/>
              <w:right w:val="nil"/>
            </w:tcBorders>
            <w:shd w:val="clear" w:color="auto" w:fill="auto"/>
            <w:noWrap/>
            <w:vAlign w:val="center"/>
          </w:tcPr>
          <w:p w14:paraId="3F65AB01" w14:textId="77777777" w:rsidR="00573796" w:rsidRPr="00565DEF" w:rsidRDefault="00573796" w:rsidP="00FE3044">
            <w:pPr>
              <w:keepNext/>
              <w:keepLines/>
              <w:spacing w:after="120"/>
              <w:jc w:val="left"/>
              <w:rPr>
                <w:rFonts w:ascii="Georgia" w:hAnsi="Georgia" w:cs="Arial"/>
                <w:b/>
                <w:color w:val="48626B" w:themeColor="accent5" w:themeShade="80"/>
              </w:rPr>
            </w:pPr>
            <w:r w:rsidRPr="00565DEF">
              <w:rPr>
                <w:rFonts w:ascii="Georgia" w:hAnsi="Georgia" w:cs="Arial"/>
                <w:b/>
                <w:color w:val="48626B" w:themeColor="accent5" w:themeShade="80"/>
              </w:rPr>
              <w:t>Common</w:t>
            </w:r>
          </w:p>
        </w:tc>
        <w:tc>
          <w:tcPr>
            <w:tcW w:w="2360" w:type="dxa"/>
            <w:tcBorders>
              <w:top w:val="single" w:sz="4" w:space="0" w:color="A5BBC2" w:themeColor="accent5"/>
              <w:left w:val="nil"/>
              <w:bottom w:val="single" w:sz="4" w:space="0" w:color="A5BBC2" w:themeColor="accent5"/>
              <w:right w:val="nil"/>
            </w:tcBorders>
            <w:shd w:val="clear" w:color="auto" w:fill="auto"/>
            <w:noWrap/>
            <w:vAlign w:val="center"/>
          </w:tcPr>
          <w:p w14:paraId="3A5E2340" w14:textId="5A9671FE" w:rsidR="00573796" w:rsidRPr="00565DEF" w:rsidRDefault="00671E92" w:rsidP="00FE3044">
            <w:pPr>
              <w:keepNext/>
              <w:keepLines/>
              <w:spacing w:after="120"/>
              <w:jc w:val="center"/>
              <w:rPr>
                <w:rFonts w:ascii="Georgia" w:hAnsi="Georgia" w:cs="Arial"/>
                <w:color w:val="595959" w:themeColor="text1" w:themeTint="A6"/>
              </w:rPr>
            </w:pPr>
            <w:r>
              <w:rPr>
                <w:rFonts w:ascii="Georgia" w:hAnsi="Georgia" w:cs="Arial"/>
                <w:color w:val="595959" w:themeColor="text1" w:themeTint="A6"/>
              </w:rPr>
              <w:t>15,000,000</w:t>
            </w:r>
          </w:p>
        </w:tc>
        <w:tc>
          <w:tcPr>
            <w:tcW w:w="2233" w:type="dxa"/>
            <w:tcBorders>
              <w:top w:val="single" w:sz="4" w:space="0" w:color="A5BBC2" w:themeColor="accent5"/>
              <w:left w:val="nil"/>
              <w:bottom w:val="single" w:sz="4" w:space="0" w:color="A5BBC2" w:themeColor="accent5"/>
              <w:right w:val="nil"/>
            </w:tcBorders>
            <w:shd w:val="clear" w:color="auto" w:fill="auto"/>
            <w:noWrap/>
            <w:vAlign w:val="center"/>
          </w:tcPr>
          <w:p w14:paraId="487B1894" w14:textId="105B7139" w:rsidR="00573796" w:rsidRPr="00565DEF" w:rsidRDefault="00671E92" w:rsidP="00FE3044">
            <w:pPr>
              <w:keepNext/>
              <w:keepLines/>
              <w:spacing w:after="120"/>
              <w:jc w:val="center"/>
              <w:rPr>
                <w:rFonts w:ascii="Georgia" w:hAnsi="Georgia" w:cs="Arial"/>
                <w:color w:val="595959" w:themeColor="text1" w:themeTint="A6"/>
              </w:rPr>
            </w:pPr>
            <w:r>
              <w:rPr>
                <w:rFonts w:ascii="Georgia" w:hAnsi="Georgia" w:cs="Arial"/>
                <w:color w:val="595959" w:themeColor="text1" w:themeTint="A6"/>
              </w:rPr>
              <w:t>6,615,983</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356AC6CC" w14:textId="4118A8AE" w:rsidR="00573796" w:rsidRPr="00565DEF" w:rsidRDefault="00671E92" w:rsidP="00FE3044">
            <w:pPr>
              <w:keepNext/>
              <w:keepLines/>
              <w:spacing w:after="120"/>
              <w:jc w:val="center"/>
              <w:rPr>
                <w:rFonts w:ascii="Georgia" w:hAnsi="Georgia" w:cs="Arial"/>
                <w:color w:val="595959" w:themeColor="text1" w:themeTint="A6"/>
              </w:rPr>
            </w:pPr>
            <w:r>
              <w:rPr>
                <w:rFonts w:ascii="Georgia" w:hAnsi="Georgia" w:cs="Arial"/>
                <w:color w:val="595959" w:themeColor="text1" w:themeTint="A6"/>
              </w:rPr>
              <w:t>6,615,983</w:t>
            </w:r>
          </w:p>
        </w:tc>
      </w:tr>
    </w:tbl>
    <w:p w14:paraId="6C272213" w14:textId="77777777" w:rsidR="00573796" w:rsidRPr="00474556" w:rsidRDefault="00573796" w:rsidP="00B802C4">
      <w:pPr>
        <w:pStyle w:val="RNABodyCopy"/>
      </w:pPr>
    </w:p>
    <w:p w14:paraId="34532518" w14:textId="0E6EF0E0" w:rsidR="00573796" w:rsidRPr="00892140" w:rsidRDefault="00573796" w:rsidP="00B802C4">
      <w:pPr>
        <w:pStyle w:val="RNABodyCopy"/>
      </w:pPr>
      <w:r w:rsidRPr="00193490">
        <w:t xml:space="preserve">As of the Valuation Date, the </w:t>
      </w:r>
      <w:r w:rsidRPr="00474556">
        <w:t xml:space="preserve">Company </w:t>
      </w:r>
      <w:r w:rsidRPr="00164A70">
        <w:t>ha</w:t>
      </w:r>
      <w:r w:rsidR="005A0D8A" w:rsidRPr="00164A70">
        <w:t>d</w:t>
      </w:r>
      <w:r w:rsidRPr="00892140">
        <w:t xml:space="preserve"> </w:t>
      </w:r>
      <w:r w:rsidR="00B24BE1" w:rsidRPr="00892140">
        <w:t>1,</w:t>
      </w:r>
      <w:r w:rsidR="00B24BE1" w:rsidRPr="00A71F2E">
        <w:t>706</w:t>
      </w:r>
      <w:r w:rsidRPr="00A71F2E">
        <w:t>,000</w:t>
      </w:r>
      <w:r w:rsidRPr="00164A70">
        <w:t xml:space="preserve"> C</w:t>
      </w:r>
      <w:r w:rsidRPr="00892140">
        <w:t xml:space="preserve">ommon Stock options outstanding and </w:t>
      </w:r>
      <w:r w:rsidR="00B24BE1" w:rsidRPr="00A71F2E">
        <w:t>394</w:t>
      </w:r>
      <w:r w:rsidRPr="00A71F2E">
        <w:t>,</w:t>
      </w:r>
      <w:r w:rsidR="00B24BE1" w:rsidRPr="00164A70">
        <w:t>000</w:t>
      </w:r>
      <w:r w:rsidR="00B24BE1" w:rsidRPr="00892140">
        <w:t xml:space="preserve"> </w:t>
      </w:r>
      <w:r w:rsidRPr="00892140">
        <w:t xml:space="preserve">Common Stock options reserved for future grants as part of Company’s equity-based compensation plan (the “Options Available”).  According to Management, </w:t>
      </w:r>
      <w:r w:rsidRPr="00A71F2E">
        <w:t>100.0</w:t>
      </w:r>
      <w:r w:rsidRPr="00164A70">
        <w:t xml:space="preserve">% of the Options Available </w:t>
      </w:r>
      <w:r w:rsidR="00AA3F4F" w:rsidRPr="00892140">
        <w:t xml:space="preserve">are </w:t>
      </w:r>
      <w:r w:rsidRPr="00892140">
        <w:t xml:space="preserve">expected to be granted </w:t>
      </w:r>
      <w:proofErr w:type="gramStart"/>
      <w:r w:rsidRPr="00892140">
        <w:t>in the near future</w:t>
      </w:r>
      <w:proofErr w:type="gramEnd"/>
      <w:r w:rsidRPr="00892140">
        <w:t xml:space="preserve"> and</w:t>
      </w:r>
      <w:r w:rsidR="005A0D8A" w:rsidRPr="00892140">
        <w:t xml:space="preserve"> prior to a possible exit/liquidity event for the Company.  As such</w:t>
      </w:r>
      <w:r w:rsidRPr="00892140">
        <w:t>, due to the dilutive impact of the option pool, we included the</w:t>
      </w:r>
      <w:r w:rsidR="00AA3F4F" w:rsidRPr="00892140">
        <w:t>se</w:t>
      </w:r>
      <w:r w:rsidRPr="00892140">
        <w:t xml:space="preserve"> shares in our analysis.  </w:t>
      </w:r>
    </w:p>
    <w:p w14:paraId="74C2DCA9" w14:textId="77777777" w:rsidR="00573796" w:rsidRPr="00892140" w:rsidRDefault="00573796" w:rsidP="00B802C4">
      <w:pPr>
        <w:pStyle w:val="RNABodyCopy"/>
      </w:pPr>
    </w:p>
    <w:p w14:paraId="710A88A5" w14:textId="62971315" w:rsidR="00CC54D1" w:rsidRPr="00892140" w:rsidRDefault="00573796" w:rsidP="00A71F2E">
      <w:pPr>
        <w:pStyle w:val="RNABodyCopy"/>
      </w:pPr>
      <w:r w:rsidRPr="00892140">
        <w:t>Below is a summary of Common Stock options</w:t>
      </w:r>
      <w:r w:rsidR="00AB49A9" w:rsidRPr="00892140">
        <w:t xml:space="preserve"> </w:t>
      </w:r>
      <w:r w:rsidRPr="00164A70">
        <w:t>outstanding as of the Valuation Date:</w:t>
      </w:r>
    </w:p>
    <w:p w14:paraId="5CCE4A70" w14:textId="29727A0B" w:rsidR="00CC54D1" w:rsidRPr="00164A70" w:rsidRDefault="00CC54D1" w:rsidP="00CC54D1">
      <w:pPr>
        <w:pStyle w:val="RNABodyCopy"/>
        <w:keepNext/>
        <w:keepLines/>
        <w:jc w:val="center"/>
        <w:rPr>
          <w:i/>
        </w:rPr>
      </w:pPr>
      <w:r w:rsidRPr="00892140">
        <w:rPr>
          <w:i/>
        </w:rPr>
        <w:t xml:space="preserve">Table 2: Common Stock </w:t>
      </w:r>
      <w:r w:rsidRPr="00A71F2E">
        <w:rPr>
          <w:i/>
        </w:rPr>
        <w:t>Options Summary</w:t>
      </w:r>
    </w:p>
    <w:p w14:paraId="040B2629" w14:textId="77777777" w:rsidR="00965E5A" w:rsidRPr="00892140" w:rsidRDefault="00965E5A" w:rsidP="00CC54D1">
      <w:pPr>
        <w:pStyle w:val="RNABodyCopy"/>
        <w:keepNext/>
        <w:keepLines/>
        <w:jc w:val="center"/>
        <w:rPr>
          <w:i/>
        </w:rPr>
      </w:pPr>
    </w:p>
    <w:tbl>
      <w:tblPr>
        <w:tblW w:w="7513" w:type="dxa"/>
        <w:jc w:val="center"/>
        <w:tblLook w:val="04A0" w:firstRow="1" w:lastRow="0" w:firstColumn="1" w:lastColumn="0" w:noHBand="0" w:noVBand="1"/>
      </w:tblPr>
      <w:tblGrid>
        <w:gridCol w:w="3060"/>
        <w:gridCol w:w="2160"/>
        <w:gridCol w:w="85"/>
        <w:gridCol w:w="2208"/>
      </w:tblGrid>
      <w:tr w:rsidR="00486B2B" w:rsidRPr="00892140" w14:paraId="1693015B" w14:textId="77777777" w:rsidTr="00DE5618">
        <w:trPr>
          <w:trHeight w:val="420"/>
          <w:jc w:val="center"/>
        </w:trPr>
        <w:tc>
          <w:tcPr>
            <w:tcW w:w="3060" w:type="dxa"/>
            <w:tcBorders>
              <w:top w:val="nil"/>
              <w:left w:val="nil"/>
              <w:bottom w:val="nil"/>
              <w:right w:val="nil"/>
            </w:tcBorders>
            <w:shd w:val="clear" w:color="000000" w:fill="6F929D" w:themeFill="accent5" w:themeFillShade="BF"/>
            <w:noWrap/>
            <w:vAlign w:val="center"/>
            <w:hideMark/>
          </w:tcPr>
          <w:p w14:paraId="66C3F47B" w14:textId="12CA504D" w:rsidR="00486B2B" w:rsidRPr="00892140" w:rsidRDefault="00486B2B" w:rsidP="00DE5618">
            <w:pPr>
              <w:keepNext/>
              <w:keepLines/>
              <w:jc w:val="left"/>
              <w:rPr>
                <w:rFonts w:ascii="Georgia" w:hAnsi="Georgia" w:cs="Arial"/>
                <w:color w:val="FFFFFF" w:themeColor="background1"/>
              </w:rPr>
            </w:pPr>
            <w:r w:rsidRPr="00892140">
              <w:rPr>
                <w:rFonts w:ascii="Georgia" w:hAnsi="Georgia" w:cs="Arial"/>
                <w:color w:val="FFFFFF" w:themeColor="background1"/>
              </w:rPr>
              <w:t>CLASS OF STOCK</w:t>
            </w:r>
          </w:p>
        </w:tc>
        <w:tc>
          <w:tcPr>
            <w:tcW w:w="2160" w:type="dxa"/>
            <w:tcBorders>
              <w:top w:val="nil"/>
              <w:left w:val="nil"/>
              <w:bottom w:val="nil"/>
              <w:right w:val="nil"/>
            </w:tcBorders>
            <w:shd w:val="clear" w:color="000000" w:fill="6F929D" w:themeFill="accent5" w:themeFillShade="BF"/>
            <w:noWrap/>
            <w:vAlign w:val="center"/>
            <w:hideMark/>
          </w:tcPr>
          <w:p w14:paraId="03576965" w14:textId="0A5DC123" w:rsidR="00486B2B" w:rsidRPr="00892140" w:rsidRDefault="00486B2B" w:rsidP="00B343E9">
            <w:pPr>
              <w:keepNext/>
              <w:keepLines/>
              <w:jc w:val="center"/>
              <w:rPr>
                <w:rFonts w:ascii="Georgia" w:hAnsi="Georgia" w:cs="Arial"/>
                <w:color w:val="FFFFFF" w:themeColor="background1"/>
              </w:rPr>
            </w:pPr>
            <w:r w:rsidRPr="00892140">
              <w:rPr>
                <w:rFonts w:ascii="Georgia" w:hAnsi="Georgia" w:cs="Arial"/>
                <w:color w:val="FFFFFF" w:themeColor="background1"/>
              </w:rPr>
              <w:t>EXERCISE PRICE</w:t>
            </w:r>
          </w:p>
        </w:tc>
        <w:tc>
          <w:tcPr>
            <w:tcW w:w="2293" w:type="dxa"/>
            <w:gridSpan w:val="2"/>
            <w:tcBorders>
              <w:top w:val="nil"/>
              <w:left w:val="nil"/>
              <w:bottom w:val="nil"/>
              <w:right w:val="nil"/>
            </w:tcBorders>
            <w:shd w:val="clear" w:color="000000" w:fill="6F929D" w:themeFill="accent5" w:themeFillShade="BF"/>
            <w:noWrap/>
            <w:vAlign w:val="center"/>
            <w:hideMark/>
          </w:tcPr>
          <w:p w14:paraId="4B7304FB" w14:textId="69C7477E" w:rsidR="00486B2B" w:rsidRPr="00892140" w:rsidRDefault="00486B2B" w:rsidP="00B343E9">
            <w:pPr>
              <w:keepNext/>
              <w:keepLines/>
              <w:jc w:val="center"/>
              <w:rPr>
                <w:rFonts w:ascii="Georgia" w:hAnsi="Georgia" w:cs="Arial"/>
                <w:color w:val="FFFFFF" w:themeColor="background1"/>
              </w:rPr>
            </w:pPr>
            <w:r w:rsidRPr="00892140">
              <w:rPr>
                <w:rFonts w:ascii="Georgia" w:hAnsi="Georgia" w:cs="Arial"/>
                <w:color w:val="FFFFFF" w:themeColor="background1"/>
              </w:rPr>
              <w:t>SHARES</w:t>
            </w:r>
          </w:p>
        </w:tc>
      </w:tr>
      <w:tr w:rsidR="00486B2B" w:rsidRPr="00892140" w14:paraId="3315D3AE" w14:textId="77777777" w:rsidTr="00DE5618">
        <w:trPr>
          <w:trHeight w:val="420"/>
          <w:jc w:val="center"/>
        </w:trPr>
        <w:tc>
          <w:tcPr>
            <w:tcW w:w="3060" w:type="dxa"/>
            <w:tcBorders>
              <w:top w:val="nil"/>
              <w:left w:val="nil"/>
              <w:bottom w:val="single" w:sz="4" w:space="0" w:color="A5BBC2" w:themeColor="accent5"/>
              <w:right w:val="nil"/>
            </w:tcBorders>
            <w:shd w:val="clear" w:color="auto" w:fill="auto"/>
            <w:noWrap/>
            <w:vAlign w:val="center"/>
          </w:tcPr>
          <w:p w14:paraId="20A7B051" w14:textId="7C069C62" w:rsidR="00486B2B" w:rsidRPr="00892140" w:rsidRDefault="00965E5A" w:rsidP="00B343E9">
            <w:pPr>
              <w:keepNext/>
              <w:keepLines/>
              <w:jc w:val="left"/>
              <w:rPr>
                <w:rFonts w:ascii="Georgia" w:eastAsia="Times New Roman" w:hAnsi="Georgia" w:cs="Arial"/>
                <w:b/>
                <w:color w:val="48626B" w:themeColor="accent5" w:themeShade="80"/>
              </w:rPr>
            </w:pPr>
            <w:r w:rsidRPr="00892140">
              <w:rPr>
                <w:rFonts w:ascii="Georgia" w:eastAsia="Times New Roman" w:hAnsi="Georgia" w:cs="Arial"/>
                <w:b/>
                <w:color w:val="48626B" w:themeColor="accent5" w:themeShade="80"/>
              </w:rPr>
              <w:t>Common Stock Options</w:t>
            </w:r>
          </w:p>
        </w:tc>
        <w:tc>
          <w:tcPr>
            <w:tcW w:w="2245" w:type="dxa"/>
            <w:gridSpan w:val="2"/>
            <w:tcBorders>
              <w:top w:val="nil"/>
              <w:left w:val="nil"/>
              <w:bottom w:val="single" w:sz="4" w:space="0" w:color="A5BBC2" w:themeColor="accent5"/>
              <w:right w:val="nil"/>
            </w:tcBorders>
            <w:shd w:val="clear" w:color="auto" w:fill="auto"/>
            <w:noWrap/>
            <w:vAlign w:val="center"/>
          </w:tcPr>
          <w:p w14:paraId="636FDF24" w14:textId="58C3F980" w:rsidR="00486B2B" w:rsidRPr="00892140" w:rsidRDefault="00CA5A41" w:rsidP="00B343E9">
            <w:pPr>
              <w:keepNext/>
              <w:keepLines/>
              <w:jc w:val="center"/>
              <w:rPr>
                <w:rFonts w:ascii="Georgia" w:eastAsia="Times New Roman" w:hAnsi="Georgia" w:cs="Arial"/>
                <w:color w:val="595959" w:themeColor="text1" w:themeTint="A6"/>
              </w:rPr>
            </w:pPr>
            <w:r w:rsidRPr="00892140">
              <w:rPr>
                <w:rFonts w:ascii="Georgia" w:eastAsia="Times New Roman" w:hAnsi="Georgia" w:cs="Arial"/>
                <w:color w:val="595959" w:themeColor="text1" w:themeTint="A6"/>
              </w:rPr>
              <w:t>$0.</w:t>
            </w:r>
            <w:r w:rsidR="006F667B" w:rsidRPr="00892140">
              <w:rPr>
                <w:rFonts w:ascii="Georgia" w:eastAsia="Times New Roman" w:hAnsi="Georgia" w:cs="Arial"/>
                <w:color w:val="595959" w:themeColor="text1" w:themeTint="A6"/>
              </w:rPr>
              <w:t>07</w:t>
            </w:r>
          </w:p>
        </w:tc>
        <w:tc>
          <w:tcPr>
            <w:tcW w:w="2208" w:type="dxa"/>
            <w:tcBorders>
              <w:top w:val="nil"/>
              <w:left w:val="nil"/>
              <w:bottom w:val="single" w:sz="4" w:space="0" w:color="A5BBC2" w:themeColor="accent5"/>
              <w:right w:val="nil"/>
            </w:tcBorders>
            <w:shd w:val="clear" w:color="auto" w:fill="auto"/>
            <w:noWrap/>
            <w:vAlign w:val="center"/>
          </w:tcPr>
          <w:p w14:paraId="55D04C8E" w14:textId="5E302952" w:rsidR="00486B2B" w:rsidRPr="00892140" w:rsidRDefault="006F667B" w:rsidP="00B343E9">
            <w:pPr>
              <w:keepNext/>
              <w:keepLines/>
              <w:jc w:val="center"/>
              <w:rPr>
                <w:rFonts w:ascii="Georgia" w:eastAsia="Times New Roman" w:hAnsi="Georgia" w:cs="Arial"/>
                <w:color w:val="595959" w:themeColor="text1" w:themeTint="A6"/>
              </w:rPr>
            </w:pPr>
            <w:r w:rsidRPr="00892140">
              <w:rPr>
                <w:rFonts w:ascii="Georgia" w:eastAsia="Times New Roman" w:hAnsi="Georgia" w:cs="Arial"/>
                <w:color w:val="595959" w:themeColor="text1" w:themeTint="A6"/>
              </w:rPr>
              <w:t>1,306,000</w:t>
            </w:r>
          </w:p>
        </w:tc>
      </w:tr>
      <w:tr w:rsidR="00486B2B" w:rsidRPr="00892140" w14:paraId="0B51FE22" w14:textId="77777777" w:rsidTr="00DE5618">
        <w:trPr>
          <w:trHeight w:val="420"/>
          <w:jc w:val="center"/>
        </w:trPr>
        <w:tc>
          <w:tcPr>
            <w:tcW w:w="3060" w:type="dxa"/>
            <w:tcBorders>
              <w:top w:val="single" w:sz="4" w:space="0" w:color="A5BBC2" w:themeColor="accent5"/>
              <w:left w:val="nil"/>
              <w:bottom w:val="single" w:sz="4" w:space="0" w:color="A5BBC2" w:themeColor="accent5"/>
              <w:right w:val="nil"/>
            </w:tcBorders>
            <w:shd w:val="clear" w:color="auto" w:fill="auto"/>
            <w:noWrap/>
            <w:vAlign w:val="center"/>
          </w:tcPr>
          <w:p w14:paraId="676689DC" w14:textId="24AA51B1" w:rsidR="00486B2B" w:rsidRPr="00892140" w:rsidRDefault="00486B2B" w:rsidP="00B343E9">
            <w:pPr>
              <w:keepNext/>
              <w:keepLines/>
              <w:spacing w:after="120"/>
              <w:jc w:val="left"/>
              <w:rPr>
                <w:rFonts w:ascii="Georgia" w:hAnsi="Georgia" w:cs="Arial"/>
                <w:b/>
                <w:color w:val="48626B" w:themeColor="accent5" w:themeShade="80"/>
              </w:rPr>
            </w:pPr>
            <w:r w:rsidRPr="00892140">
              <w:rPr>
                <w:rFonts w:ascii="Georgia" w:hAnsi="Georgia" w:cs="Arial"/>
                <w:b/>
                <w:color w:val="48626B" w:themeColor="accent5" w:themeShade="80"/>
              </w:rPr>
              <w:t>Common</w:t>
            </w:r>
            <w:r w:rsidR="00965E5A" w:rsidRPr="00892140">
              <w:rPr>
                <w:rFonts w:ascii="Georgia" w:hAnsi="Georgia" w:cs="Arial"/>
                <w:b/>
                <w:color w:val="48626B" w:themeColor="accent5" w:themeShade="80"/>
              </w:rPr>
              <w:t xml:space="preserve"> Stock Options</w:t>
            </w:r>
          </w:p>
        </w:tc>
        <w:tc>
          <w:tcPr>
            <w:tcW w:w="2245" w:type="dxa"/>
            <w:gridSpan w:val="2"/>
            <w:tcBorders>
              <w:top w:val="single" w:sz="4" w:space="0" w:color="A5BBC2" w:themeColor="accent5"/>
              <w:left w:val="nil"/>
              <w:bottom w:val="single" w:sz="4" w:space="0" w:color="A5BBC2" w:themeColor="accent5"/>
              <w:right w:val="nil"/>
            </w:tcBorders>
            <w:shd w:val="clear" w:color="auto" w:fill="auto"/>
            <w:noWrap/>
            <w:vAlign w:val="center"/>
          </w:tcPr>
          <w:p w14:paraId="61F722F3" w14:textId="039E0B50" w:rsidR="00486B2B" w:rsidRPr="00892140" w:rsidRDefault="00CA5A41" w:rsidP="00996500">
            <w:pPr>
              <w:keepNext/>
              <w:keepLines/>
              <w:spacing w:after="120"/>
              <w:jc w:val="center"/>
              <w:rPr>
                <w:rFonts w:ascii="Georgia" w:hAnsi="Georgia" w:cs="Arial"/>
                <w:color w:val="595959" w:themeColor="text1" w:themeTint="A6"/>
              </w:rPr>
            </w:pPr>
            <w:r w:rsidRPr="00892140">
              <w:rPr>
                <w:rFonts w:ascii="Georgia" w:eastAsia="Times New Roman" w:hAnsi="Georgia" w:cs="Arial"/>
                <w:color w:val="595959" w:themeColor="text1" w:themeTint="A6"/>
              </w:rPr>
              <w:t>$0.</w:t>
            </w:r>
            <w:r w:rsidR="00996500" w:rsidRPr="00892140">
              <w:rPr>
                <w:rFonts w:ascii="Georgia" w:eastAsia="Times New Roman" w:hAnsi="Georgia" w:cs="Arial"/>
                <w:color w:val="595959" w:themeColor="text1" w:themeTint="A6"/>
              </w:rPr>
              <w:t>0</w:t>
            </w:r>
            <w:r w:rsidR="00996500">
              <w:rPr>
                <w:rFonts w:ascii="Georgia" w:eastAsia="Times New Roman" w:hAnsi="Georgia" w:cs="Arial"/>
                <w:color w:val="595959" w:themeColor="text1" w:themeTint="A6"/>
              </w:rPr>
              <w:t>5</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6104AC47" w14:textId="0076C125" w:rsidR="00486B2B" w:rsidRPr="00892140" w:rsidRDefault="006F667B" w:rsidP="00B343E9">
            <w:pPr>
              <w:keepNext/>
              <w:keepLines/>
              <w:spacing w:after="120"/>
              <w:jc w:val="center"/>
              <w:rPr>
                <w:rFonts w:ascii="Georgia" w:hAnsi="Georgia" w:cs="Arial"/>
                <w:color w:val="595959" w:themeColor="text1" w:themeTint="A6"/>
              </w:rPr>
            </w:pPr>
            <w:r w:rsidRPr="00892140">
              <w:rPr>
                <w:rFonts w:ascii="Georgia" w:hAnsi="Georgia" w:cs="Arial"/>
                <w:color w:val="595959" w:themeColor="text1" w:themeTint="A6"/>
              </w:rPr>
              <w:t>400,000</w:t>
            </w:r>
          </w:p>
        </w:tc>
      </w:tr>
    </w:tbl>
    <w:p w14:paraId="24AF945E" w14:textId="77777777" w:rsidR="00573796" w:rsidRPr="00892140" w:rsidRDefault="00573796" w:rsidP="00573796">
      <w:pPr>
        <w:keepNext/>
      </w:pPr>
    </w:p>
    <w:p w14:paraId="4B6CF26A" w14:textId="3A0B4BD8" w:rsidR="00573796" w:rsidRPr="00565DEF" w:rsidRDefault="00573796" w:rsidP="00573796">
      <w:pPr>
        <w:rPr>
          <w:rFonts w:ascii="Georgia" w:hAnsi="Georgia"/>
          <w:color w:val="595959" w:themeColor="text1" w:themeTint="A6"/>
        </w:rPr>
      </w:pPr>
      <w:r w:rsidRPr="00892140">
        <w:rPr>
          <w:rFonts w:ascii="Georgia" w:hAnsi="Georgia"/>
          <w:color w:val="595959" w:themeColor="text1" w:themeTint="A6"/>
        </w:rPr>
        <w:t xml:space="preserve">Refer to </w:t>
      </w:r>
      <w:r w:rsidRPr="00A71F2E">
        <w:rPr>
          <w:rFonts w:ascii="Georgia" w:hAnsi="Georgia"/>
          <w:color w:val="595959" w:themeColor="text1" w:themeTint="A6"/>
        </w:rPr>
        <w:t xml:space="preserve">Exhibit </w:t>
      </w:r>
      <w:r w:rsidR="00196784">
        <w:rPr>
          <w:rFonts w:ascii="Georgia" w:hAnsi="Georgia"/>
          <w:color w:val="595959" w:themeColor="text1" w:themeTint="A6"/>
        </w:rPr>
        <w:t>E</w:t>
      </w:r>
      <w:r w:rsidRPr="00A71F2E">
        <w:rPr>
          <w:rFonts w:ascii="Georgia" w:hAnsi="Georgia"/>
          <w:color w:val="595959" w:themeColor="text1" w:themeTint="A6"/>
        </w:rPr>
        <w:t>.1</w:t>
      </w:r>
      <w:r w:rsidRPr="00164A70">
        <w:rPr>
          <w:rFonts w:ascii="Georgia" w:hAnsi="Georgia"/>
          <w:color w:val="595959" w:themeColor="text1" w:themeTint="A6"/>
        </w:rPr>
        <w:t xml:space="preserve"> for further details on the</w:t>
      </w:r>
      <w:r w:rsidRPr="00565DEF">
        <w:rPr>
          <w:rFonts w:ascii="Georgia" w:hAnsi="Georgia"/>
          <w:color w:val="595959" w:themeColor="text1" w:themeTint="A6"/>
        </w:rPr>
        <w:t xml:space="preserve"> Company’s capitalization.  </w:t>
      </w:r>
    </w:p>
    <w:p w14:paraId="6FD41CE9" w14:textId="77777777" w:rsidR="00573796" w:rsidRPr="00193490" w:rsidRDefault="00573796" w:rsidP="00573796"/>
    <w:p w14:paraId="24A7E216" w14:textId="2EB8523E" w:rsidR="00573796" w:rsidRPr="00565DEF" w:rsidRDefault="00573796" w:rsidP="00B14CCF">
      <w:pPr>
        <w:pStyle w:val="RNAHeadlineB"/>
        <w:outlineLvl w:val="1"/>
        <w:rPr>
          <w:rFonts w:ascii="Georgia" w:hAnsi="Georgia"/>
        </w:rPr>
      </w:pPr>
      <w:bookmarkStart w:id="27" w:name="_Toc432004244"/>
      <w:bookmarkStart w:id="28" w:name="_Toc2188944"/>
      <w:r w:rsidRPr="00565DEF">
        <w:rPr>
          <w:rFonts w:ascii="Georgia" w:hAnsi="Georgia"/>
        </w:rPr>
        <w:t>Stage of Development</w:t>
      </w:r>
      <w:bookmarkEnd w:id="27"/>
      <w:bookmarkEnd w:id="28"/>
    </w:p>
    <w:p w14:paraId="57991A84" w14:textId="6C1F5AA1" w:rsidR="00573796" w:rsidRPr="00474556" w:rsidRDefault="00573796" w:rsidP="00DE5618">
      <w:pPr>
        <w:pStyle w:val="RNABodyCopy"/>
        <w:keepNext/>
      </w:pPr>
      <w:r w:rsidRPr="006D4203">
        <w:rPr>
          <w:noProof/>
        </w:rPr>
        <w:t xml:space="preserve">The </w:t>
      </w:r>
      <w:r w:rsidR="0080569A" w:rsidRPr="006D4203">
        <w:rPr>
          <w:noProof/>
        </w:rPr>
        <w:t>Practice</w:t>
      </w:r>
      <w:r w:rsidR="0080569A" w:rsidRPr="00164A70">
        <w:t xml:space="preserve"> Aid</w:t>
      </w:r>
      <w:r w:rsidRPr="00892140">
        <w:t xml:space="preserve"> defines six</w:t>
      </w:r>
      <w:r w:rsidRPr="00474556">
        <w:t xml:space="preserve"> stages of development for start-up enterprises</w:t>
      </w:r>
      <w:r>
        <w:t xml:space="preserve">.  </w:t>
      </w:r>
    </w:p>
    <w:p w14:paraId="279B2075" w14:textId="77777777" w:rsidR="00573796" w:rsidRDefault="00573796" w:rsidP="00B802C4">
      <w:pPr>
        <w:pStyle w:val="RNABodyCopy"/>
      </w:pPr>
    </w:p>
    <w:p w14:paraId="0538EE91" w14:textId="5233F3A5" w:rsidR="00573796" w:rsidRDefault="00573796" w:rsidP="00B802C4">
      <w:pPr>
        <w:pStyle w:val="RNABodyCopy"/>
      </w:pPr>
      <w:r>
        <w:t>Stage 1 companies have no product revenue and limited expense history</w:t>
      </w:r>
      <w:r w:rsidR="00AA3F4F">
        <w:t>.</w:t>
      </w:r>
      <w:r>
        <w:t xml:space="preserve"> </w:t>
      </w:r>
      <w:r w:rsidR="00A549FD">
        <w:t xml:space="preserve"> </w:t>
      </w:r>
      <w:r w:rsidR="00AA3F4F">
        <w:t>T</w:t>
      </w:r>
      <w:r>
        <w:t xml:space="preserve">ypically, </w:t>
      </w:r>
      <w:r w:rsidR="00AA3F4F">
        <w:t xml:space="preserve">there is </w:t>
      </w:r>
      <w:r>
        <w:t>an incomplete management team with an idea, a plan, and possibly some initial product development.  Seed capital or first-round of financing is provided during this stage by friends and family, angels or venture-capital firms and the securities issued to these investors are in the form of common stock or preferred stock.</w:t>
      </w:r>
      <w:r w:rsidR="00A549FD">
        <w:t xml:space="preserve">  </w:t>
      </w:r>
    </w:p>
    <w:p w14:paraId="7424DDC8" w14:textId="77777777" w:rsidR="00573796" w:rsidRDefault="00573796" w:rsidP="00B802C4">
      <w:pPr>
        <w:pStyle w:val="RNABodyCopy"/>
      </w:pPr>
    </w:p>
    <w:p w14:paraId="3985A5DD" w14:textId="6FFCEBF9" w:rsidR="00573796" w:rsidRDefault="00573796" w:rsidP="00B802C4">
      <w:pPr>
        <w:pStyle w:val="RNABodyCopy"/>
      </w:pPr>
      <w:r w:rsidRPr="00892140">
        <w:t xml:space="preserve">RNA classifies this Company as a </w:t>
      </w:r>
      <w:r w:rsidRPr="00A71F2E">
        <w:t xml:space="preserve">Stage </w:t>
      </w:r>
      <w:r w:rsidR="002F2B49" w:rsidRPr="00A71F2E">
        <w:t xml:space="preserve">1 </w:t>
      </w:r>
      <w:r w:rsidRPr="00A71F2E">
        <w:t xml:space="preserve">company because </w:t>
      </w:r>
      <w:r w:rsidR="00E178F3" w:rsidRPr="00A71F2E">
        <w:t xml:space="preserve">it </w:t>
      </w:r>
      <w:r w:rsidRPr="00A71F2E">
        <w:t xml:space="preserve">has raised </w:t>
      </w:r>
      <w:r w:rsidR="002F2B49" w:rsidRPr="00A71F2E">
        <w:t>Series Seed</w:t>
      </w:r>
      <w:r w:rsidR="00996500">
        <w:t xml:space="preserve"> 1 and Seed 2</w:t>
      </w:r>
      <w:r w:rsidR="002F2B49" w:rsidRPr="00A71F2E">
        <w:t xml:space="preserve"> </w:t>
      </w:r>
      <w:r w:rsidRPr="00A71F2E">
        <w:t>round</w:t>
      </w:r>
      <w:r w:rsidR="002F2B49" w:rsidRPr="00A71F2E">
        <w:t>s</w:t>
      </w:r>
      <w:r w:rsidRPr="00A71F2E">
        <w:t xml:space="preserve"> of equity financing.  </w:t>
      </w:r>
      <w:r w:rsidR="002F2B49" w:rsidRPr="00164A70">
        <w:t>The Company</w:t>
      </w:r>
      <w:r w:rsidR="00996500">
        <w:t>’s products are</w:t>
      </w:r>
      <w:r w:rsidR="002F2B49" w:rsidRPr="00164A70">
        <w:t xml:space="preserve"> </w:t>
      </w:r>
      <w:r w:rsidR="00996500">
        <w:t>early</w:t>
      </w:r>
      <w:r w:rsidR="00996500" w:rsidRPr="00164A70">
        <w:t xml:space="preserve"> </w:t>
      </w:r>
      <w:r w:rsidR="002F2B49" w:rsidRPr="00164A70">
        <w:t xml:space="preserve">in the </w:t>
      </w:r>
      <w:r w:rsidR="00996500">
        <w:t>lead optimization and early discovery</w:t>
      </w:r>
      <w:r w:rsidR="00996500" w:rsidRPr="00164A70">
        <w:t xml:space="preserve"> </w:t>
      </w:r>
      <w:r w:rsidR="002F2B49" w:rsidRPr="00164A70">
        <w:t>stage</w:t>
      </w:r>
      <w:r w:rsidR="00996500">
        <w:t>s</w:t>
      </w:r>
      <w:r w:rsidR="002F2B49" w:rsidRPr="00164A70">
        <w:t xml:space="preserve"> of development, with </w:t>
      </w:r>
      <w:r w:rsidR="00996500">
        <w:t>limited</w:t>
      </w:r>
      <w:r w:rsidR="002F2B49" w:rsidRPr="00164A70">
        <w:t xml:space="preserve"> product development</w:t>
      </w:r>
      <w:r w:rsidR="00996500">
        <w:t xml:space="preserve"> relative to the Previous</w:t>
      </w:r>
      <w:r w:rsidR="002F2B49" w:rsidRPr="00164A70">
        <w:t xml:space="preserve"> Valuation</w:t>
      </w:r>
      <w:r w:rsidRPr="00A71F2E">
        <w:t>.</w:t>
      </w:r>
      <w:r>
        <w:t xml:space="preserve">  </w:t>
      </w:r>
    </w:p>
    <w:p w14:paraId="5738F02B" w14:textId="77777777" w:rsidR="00573796" w:rsidRPr="00474556" w:rsidRDefault="00573796" w:rsidP="00B802C4">
      <w:pPr>
        <w:pStyle w:val="RNABodyCopy"/>
      </w:pPr>
      <w:r w:rsidRPr="00474556">
        <w:br w:type="page"/>
      </w:r>
    </w:p>
    <w:p w14:paraId="3E627624" w14:textId="5E6F3365" w:rsidR="00573796" w:rsidRPr="00474556" w:rsidRDefault="00573796" w:rsidP="00565DEF">
      <w:pPr>
        <w:pStyle w:val="RNAHeadlineA"/>
        <w:outlineLvl w:val="0"/>
      </w:pPr>
      <w:bookmarkStart w:id="29" w:name="_Toc432004245"/>
      <w:bookmarkStart w:id="30" w:name="_Toc2188945"/>
      <w:r w:rsidRPr="00474556">
        <w:t>Industry Overview</w:t>
      </w:r>
      <w:bookmarkEnd w:id="29"/>
      <w:bookmarkEnd w:id="30"/>
    </w:p>
    <w:p w14:paraId="625B18B8" w14:textId="77777777" w:rsidR="00573796" w:rsidRPr="00565DEF" w:rsidRDefault="00573796" w:rsidP="00573796">
      <w:pPr>
        <w:rPr>
          <w:rFonts w:ascii="Georgia" w:hAnsi="Georgia"/>
        </w:rPr>
      </w:pPr>
    </w:p>
    <w:p w14:paraId="5BD03C49" w14:textId="2F25DCF7" w:rsidR="00573796" w:rsidRPr="00565DEF" w:rsidRDefault="00573796" w:rsidP="00B14CCF">
      <w:pPr>
        <w:pStyle w:val="RNAHeadlineB"/>
        <w:outlineLvl w:val="1"/>
        <w:rPr>
          <w:rFonts w:ascii="Georgia" w:hAnsi="Georgia"/>
        </w:rPr>
      </w:pPr>
      <w:bookmarkStart w:id="31" w:name="_Toc432004246"/>
      <w:bookmarkStart w:id="32" w:name="_Toc2188946"/>
      <w:r w:rsidRPr="00565DEF">
        <w:rPr>
          <w:rFonts w:ascii="Georgia" w:hAnsi="Georgia"/>
        </w:rPr>
        <w:t>Overview</w:t>
      </w:r>
      <w:bookmarkEnd w:id="31"/>
      <w:bookmarkEnd w:id="32"/>
    </w:p>
    <w:p w14:paraId="5EA59682" w14:textId="70A894D5" w:rsidR="00573796" w:rsidRPr="00193490" w:rsidRDefault="00573796" w:rsidP="00DE5618">
      <w:pPr>
        <w:pStyle w:val="RNABodyCopy"/>
        <w:keepNext/>
      </w:pPr>
      <w:r w:rsidRPr="00193490">
        <w:t xml:space="preserve">In valuing a business or its assets, it is important to consider the condition of, and </w:t>
      </w:r>
      <w:r w:rsidR="00FB66CB">
        <w:t xml:space="preserve">the </w:t>
      </w:r>
      <w:r w:rsidRPr="00193490">
        <w:t>outlook for, the industry in which the enterprise operates</w:t>
      </w:r>
      <w:r>
        <w:t xml:space="preserve">.  </w:t>
      </w:r>
      <w:r w:rsidRPr="00193490">
        <w:t>Depending upon the nature of the marketplace, industry conditions can significantly affect financial performance and, consequently, value</w:t>
      </w:r>
      <w:r>
        <w:t xml:space="preserve">.  </w:t>
      </w:r>
      <w:r w:rsidRPr="00193490">
        <w:t xml:space="preserve">The following section provides a brief </w:t>
      </w:r>
      <w:r w:rsidRPr="00892140">
        <w:t xml:space="preserve">overview of </w:t>
      </w:r>
      <w:r w:rsidR="00CB584E">
        <w:t xml:space="preserve">the </w:t>
      </w:r>
      <w:r w:rsidR="007679E2" w:rsidRPr="00A71F2E">
        <w:rPr>
          <w:noProof/>
        </w:rPr>
        <w:t>oncolog</w:t>
      </w:r>
      <w:r w:rsidR="00104C6F" w:rsidRPr="00A71F2E">
        <w:rPr>
          <w:noProof/>
        </w:rPr>
        <w:t>y</w:t>
      </w:r>
      <w:r w:rsidR="007679E2" w:rsidRPr="00A71F2E">
        <w:t xml:space="preserve"> </w:t>
      </w:r>
      <w:r w:rsidRPr="00A71F2E">
        <w:t>market</w:t>
      </w:r>
      <w:r w:rsidR="00104C6F" w:rsidRPr="00892140">
        <w:t xml:space="preserve"> with a focus on IO </w:t>
      </w:r>
      <w:r w:rsidR="00FB66CB" w:rsidRPr="00892140">
        <w:t>as well as a</w:t>
      </w:r>
      <w:r w:rsidRPr="00892140">
        <w:t xml:space="preserve"> discussion of the competitive environment in that space.</w:t>
      </w:r>
      <w:r>
        <w:t xml:space="preserve">  </w:t>
      </w:r>
    </w:p>
    <w:p w14:paraId="118BD8D7" w14:textId="77777777" w:rsidR="00573796" w:rsidRPr="00193490" w:rsidRDefault="00573796" w:rsidP="00FE3044">
      <w:pPr>
        <w:pStyle w:val="RNABodyCopy"/>
      </w:pPr>
    </w:p>
    <w:p w14:paraId="0661E868" w14:textId="77777777" w:rsidR="00104C6F" w:rsidRPr="00A71F2E" w:rsidRDefault="00104C6F" w:rsidP="00FE3044">
      <w:pPr>
        <w:pStyle w:val="RNABodyCopy"/>
        <w:rPr>
          <w:b/>
        </w:rPr>
      </w:pPr>
      <w:r w:rsidRPr="00A71F2E">
        <w:rPr>
          <w:b/>
        </w:rPr>
        <w:t>Global Oncology Drugs Market</w:t>
      </w:r>
      <w:r w:rsidRPr="00A71F2E" w:rsidDel="007679E2">
        <w:rPr>
          <w:b/>
        </w:rPr>
        <w:t xml:space="preserve"> </w:t>
      </w:r>
    </w:p>
    <w:p w14:paraId="3FB5703D" w14:textId="76F4871E" w:rsidR="00104C6F" w:rsidRPr="00D70343" w:rsidRDefault="00AC1958" w:rsidP="00164A70">
      <w:pPr>
        <w:pStyle w:val="RNABodyCopy"/>
      </w:pPr>
      <w:r>
        <w:t>The global oncology market was valued at $97.4 billion in 2017 and is estimated to reach $176.5 billion by 2025, growing at a CAGR of 7.6% from 2018 through 2025.</w:t>
      </w:r>
      <w:r>
        <w:rPr>
          <w:rStyle w:val="FootnoteReference"/>
        </w:rPr>
        <w:footnoteReference w:id="12"/>
      </w:r>
      <w:r>
        <w:t xml:space="preserve">  </w:t>
      </w:r>
      <w:r w:rsidR="009A6184">
        <w:t>In the US, c</w:t>
      </w:r>
      <w:r w:rsidR="00104C6F">
        <w:t>ancer is the second most common cause of death</w:t>
      </w:r>
      <w:r w:rsidR="009A6184">
        <w:t>,</w:t>
      </w:r>
      <w:r w:rsidR="00104C6F">
        <w:t xml:space="preserve"> account</w:t>
      </w:r>
      <w:r w:rsidR="009A6184">
        <w:t>ing</w:t>
      </w:r>
      <w:r w:rsidR="00104C6F">
        <w:t xml:space="preserve"> for 1 in every 4 deaths.  However, cancer incidence and mortality have been declining in recent times as the survival rates have increased in the past three decades.  </w:t>
      </w:r>
      <w:r w:rsidR="0024600D">
        <w:t>I</w:t>
      </w:r>
      <w:r w:rsidR="00104C6F">
        <w:t>n the US</w:t>
      </w:r>
      <w:r w:rsidR="0024600D">
        <w:t>,</w:t>
      </w:r>
      <w:r w:rsidR="00104C6F">
        <w:t xml:space="preserve"> </w:t>
      </w:r>
      <w:r w:rsidR="0024600D">
        <w:t>more than 15</w:t>
      </w:r>
      <w:r w:rsidR="009E7C6F">
        <w:t>.0</w:t>
      </w:r>
      <w:r w:rsidR="0024600D">
        <w:t xml:space="preserve"> million people </w:t>
      </w:r>
      <w:r w:rsidR="00104C6F">
        <w:t xml:space="preserve">are </w:t>
      </w:r>
      <w:r w:rsidR="0024600D">
        <w:t xml:space="preserve">cancer </w:t>
      </w:r>
      <w:r w:rsidR="00104C6F">
        <w:t xml:space="preserve">survivors.  </w:t>
      </w:r>
      <w:r w:rsidR="003D75F0">
        <w:t>Lower</w:t>
      </w:r>
      <w:r w:rsidR="003D75F0" w:rsidRPr="00D70343">
        <w:t xml:space="preserve"> </w:t>
      </w:r>
      <w:r w:rsidR="00104C6F" w:rsidRPr="00D70343">
        <w:t xml:space="preserve">incidence and improved survival rate have been attributed to </w:t>
      </w:r>
      <w:r w:rsidR="006D4203">
        <w:t xml:space="preserve">a </w:t>
      </w:r>
      <w:r w:rsidR="00104C6F" w:rsidRPr="00951B5C">
        <w:rPr>
          <w:noProof/>
        </w:rPr>
        <w:t>reduction</w:t>
      </w:r>
      <w:r w:rsidR="00104C6F" w:rsidRPr="00D70343">
        <w:t xml:space="preserve"> in smoking as well as advances in early detection and treatments.</w:t>
      </w:r>
    </w:p>
    <w:p w14:paraId="2E9FAEE6" w14:textId="77777777" w:rsidR="00104C6F" w:rsidRDefault="00104C6F" w:rsidP="00104C6F">
      <w:pPr>
        <w:pStyle w:val="RNABodyCopy"/>
      </w:pPr>
    </w:p>
    <w:p w14:paraId="3F05861F" w14:textId="6681514B" w:rsidR="00104C6F" w:rsidRDefault="003D75F0" w:rsidP="00104C6F">
      <w:pPr>
        <w:pStyle w:val="RNABodyCopy"/>
      </w:pPr>
      <w:r>
        <w:t xml:space="preserve">Currently, there are more than 200 cancer treatment agents with </w:t>
      </w:r>
      <w:r w:rsidR="0024600D">
        <w:t>t</w:t>
      </w:r>
      <w:r w:rsidR="00104C6F">
        <w:t>he FDA approv</w:t>
      </w:r>
      <w:r>
        <w:t>ing</w:t>
      </w:r>
      <w:r w:rsidR="00104C6F">
        <w:t xml:space="preserve"> 63 new cancer agents for 78 cancer indications</w:t>
      </w:r>
      <w:r>
        <w:t xml:space="preserve"> in the past five years</w:t>
      </w:r>
      <w:r w:rsidR="00104C6F">
        <w:t xml:space="preserve">.  In 2016, </w:t>
      </w:r>
      <w:r w:rsidR="00CB584E">
        <w:t xml:space="preserve">the </w:t>
      </w:r>
      <w:r w:rsidR="00104C6F" w:rsidRPr="00892140">
        <w:rPr>
          <w:noProof/>
        </w:rPr>
        <w:t>FDA</w:t>
      </w:r>
      <w:r w:rsidR="00104C6F">
        <w:t xml:space="preserve"> approved 5 new active substances and in 2017, 14 new targeted medicines were approved.  Of the 14 new active substances, 11 were designated breakthrough therapies, indicating that the drug may demonstrate a substantial improvement over available therapies on one or more clinically significant endpoint.  </w:t>
      </w:r>
      <w:r w:rsidR="0024600D">
        <w:t>T</w:t>
      </w:r>
      <w:r w:rsidR="00104C6F" w:rsidRPr="00BF2ECF">
        <w:t>he approval of precision oncology medicine</w:t>
      </w:r>
      <w:r w:rsidR="0024600D">
        <w:t xml:space="preserve"> in 2017, represented a</w:t>
      </w:r>
      <w:r w:rsidR="0024600D" w:rsidRPr="00BF2ECF">
        <w:t xml:space="preserve"> significant milestone </w:t>
      </w:r>
      <w:r w:rsidR="0024600D">
        <w:t>in the chronology of cancer therapeutics</w:t>
      </w:r>
      <w:r w:rsidR="00104C6F" w:rsidRPr="00BF2ECF">
        <w:t>.</w:t>
      </w:r>
      <w:r w:rsidR="00104C6F">
        <w:t xml:space="preserve">  </w:t>
      </w:r>
      <w:r w:rsidR="00104C6F" w:rsidRPr="00BF2ECF">
        <w:t xml:space="preserve">Precision oncology, a directing therapy based on genomic biomarkers and independent of cancer type, has demonstrated promising treatment outcomes and can significantly impact </w:t>
      </w:r>
      <w:r w:rsidR="00CB584E">
        <w:t xml:space="preserve">the </w:t>
      </w:r>
      <w:r w:rsidR="00104C6F" w:rsidRPr="00892140">
        <w:rPr>
          <w:noProof/>
        </w:rPr>
        <w:t>treatment</w:t>
      </w:r>
      <w:r w:rsidR="00104C6F" w:rsidRPr="00BF2ECF">
        <w:t xml:space="preserve"> of cancer. </w:t>
      </w:r>
    </w:p>
    <w:p w14:paraId="28CFB826" w14:textId="77777777" w:rsidR="003B1478" w:rsidRDefault="003B1478" w:rsidP="00104C6F">
      <w:pPr>
        <w:pStyle w:val="RNABodyCopy"/>
      </w:pPr>
    </w:p>
    <w:p w14:paraId="10CF6409" w14:textId="03BB5537" w:rsidR="00104C6F" w:rsidRDefault="0024600D" w:rsidP="00104C6F">
      <w:pPr>
        <w:pStyle w:val="RNABodyCopy"/>
      </w:pPr>
      <w:r>
        <w:t>O</w:t>
      </w:r>
      <w:r w:rsidR="00104C6F">
        <w:t xml:space="preserve">ncology drugs represent 5 of the top 15 bestselling drugs globally and the market for oncology drugs has been forecasted to grow at a CAGR of 10.9% to 2030.  </w:t>
      </w:r>
      <w:r>
        <w:t xml:space="preserve">The market growth is </w:t>
      </w:r>
      <w:r w:rsidR="00104C6F">
        <w:t xml:space="preserve">driven by the growing prevalence of various types of cancer, </w:t>
      </w:r>
      <w:r w:rsidR="00CB584E">
        <w:t xml:space="preserve">an </w:t>
      </w:r>
      <w:r w:rsidR="00104C6F" w:rsidRPr="00892140">
        <w:rPr>
          <w:noProof/>
        </w:rPr>
        <w:t>aging</w:t>
      </w:r>
      <w:r w:rsidR="00104C6F">
        <w:t xml:space="preserve"> population, </w:t>
      </w:r>
      <w:r>
        <w:t xml:space="preserve">changes in </w:t>
      </w:r>
      <w:r w:rsidR="00104C6F">
        <w:t xml:space="preserve">lifestyle and </w:t>
      </w:r>
      <w:r w:rsidR="00104C6F" w:rsidRPr="00892140">
        <w:rPr>
          <w:noProof/>
        </w:rPr>
        <w:t>increasing</w:t>
      </w:r>
      <w:r w:rsidR="00104C6F">
        <w:t xml:space="preserve"> demand </w:t>
      </w:r>
      <w:r w:rsidR="00CB584E">
        <w:rPr>
          <w:noProof/>
        </w:rPr>
        <w:t>for</w:t>
      </w:r>
      <w:r w:rsidR="00104C6F">
        <w:t xml:space="preserve"> biological and targeted drug therapies.  Global costs of oncology therapeutics and supportive care drugs increased from $96.0 billion in 2013 to $133.0 bill</w:t>
      </w:r>
      <w:r>
        <w:t>ion in 2017.  Developed markets such as</w:t>
      </w:r>
      <w:r w:rsidR="00104C6F">
        <w:t xml:space="preserve"> </w:t>
      </w:r>
      <w:r w:rsidR="00CB584E">
        <w:t xml:space="preserve">the </w:t>
      </w:r>
      <w:r w:rsidR="00104C6F" w:rsidRPr="00892140">
        <w:rPr>
          <w:noProof/>
        </w:rPr>
        <w:t>US</w:t>
      </w:r>
      <w:r w:rsidR="00104C6F">
        <w:t xml:space="preserve">, Europe, and Japan account for up to 74.0% of the total spending on oncology treatments.  </w:t>
      </w:r>
      <w:r>
        <w:t>The global</w:t>
      </w:r>
      <w:r w:rsidR="00104C6F">
        <w:t xml:space="preserve"> spending growth slowed </w:t>
      </w:r>
      <w:r>
        <w:t xml:space="preserve">down </w:t>
      </w:r>
      <w:r w:rsidR="00104C6F">
        <w:t xml:space="preserve">to 12.5% in 2017 </w:t>
      </w:r>
      <w:r>
        <w:t xml:space="preserve">from 14.0% in 2016, </w:t>
      </w:r>
      <w:r w:rsidR="00104C6F">
        <w:t>offset by slower spending growth in the US, Japan</w:t>
      </w:r>
      <w:r w:rsidR="006D4203">
        <w:t>,</w:t>
      </w:r>
      <w:r w:rsidR="00104C6F">
        <w:t xml:space="preserve"> </w:t>
      </w:r>
      <w:r w:rsidR="00104C6F" w:rsidRPr="006D4203">
        <w:rPr>
          <w:noProof/>
        </w:rPr>
        <w:t>and</w:t>
      </w:r>
      <w:r w:rsidR="00104C6F">
        <w:t xml:space="preserve"> the five major European markets.</w:t>
      </w:r>
    </w:p>
    <w:p w14:paraId="7F3D751F" w14:textId="77777777" w:rsidR="00104C6F" w:rsidRDefault="00104C6F" w:rsidP="00104C6F">
      <w:pPr>
        <w:pStyle w:val="RNABodyCopy"/>
      </w:pPr>
    </w:p>
    <w:p w14:paraId="65B8CC9A" w14:textId="3F9A860C" w:rsidR="00DB4B52" w:rsidRDefault="00104C6F" w:rsidP="00A71F2E">
      <w:pPr>
        <w:pStyle w:val="RNABodyCopy"/>
      </w:pPr>
      <w:r w:rsidRPr="006C0478">
        <w:t xml:space="preserve">In 2017, over 700 molecules were in </w:t>
      </w:r>
      <w:r w:rsidRPr="00892140">
        <w:rPr>
          <w:noProof/>
        </w:rPr>
        <w:t>late</w:t>
      </w:r>
      <w:r w:rsidR="00CB584E">
        <w:rPr>
          <w:noProof/>
        </w:rPr>
        <w:t>-</w:t>
      </w:r>
      <w:r w:rsidRPr="00892140">
        <w:rPr>
          <w:noProof/>
        </w:rPr>
        <w:t>stage</w:t>
      </w:r>
      <w:r w:rsidRPr="006C0478">
        <w:t xml:space="preserve"> development with almost 90% of the therapies being targeted treatments. </w:t>
      </w:r>
      <w:r>
        <w:t xml:space="preserve"> </w:t>
      </w:r>
      <w:r w:rsidRPr="006C0478">
        <w:t xml:space="preserve">Pipeline assets include small molecules, radiotherapies, </w:t>
      </w:r>
      <w:r w:rsidRPr="006D4203">
        <w:rPr>
          <w:noProof/>
        </w:rPr>
        <w:t>hormonals</w:t>
      </w:r>
      <w:r w:rsidRPr="006C0478">
        <w:t xml:space="preserve">, </w:t>
      </w:r>
      <w:proofErr w:type="spellStart"/>
      <w:r w:rsidRPr="006C0478">
        <w:t>cytotoxics</w:t>
      </w:r>
      <w:proofErr w:type="spellEnd"/>
      <w:r w:rsidR="006D4203">
        <w:t>,</w:t>
      </w:r>
      <w:r w:rsidRPr="006C0478">
        <w:t xml:space="preserve"> </w:t>
      </w:r>
      <w:r w:rsidRPr="006D4203">
        <w:rPr>
          <w:noProof/>
        </w:rPr>
        <w:t>and</w:t>
      </w:r>
      <w:r w:rsidRPr="006C0478">
        <w:t xml:space="preserve"> targeted therapies</w:t>
      </w:r>
      <w:r>
        <w:t>.</w:t>
      </w:r>
      <w:r>
        <w:rPr>
          <w:rStyle w:val="FootnoteReference"/>
        </w:rPr>
        <w:footnoteReference w:id="13"/>
      </w:r>
    </w:p>
    <w:p w14:paraId="5C8D6F12" w14:textId="77777777" w:rsidR="003B1478" w:rsidRDefault="003B1478" w:rsidP="00104C6F">
      <w:pPr>
        <w:pStyle w:val="RNAHeadlineD"/>
      </w:pPr>
    </w:p>
    <w:p w14:paraId="7A31ABA6" w14:textId="6F0D2106" w:rsidR="00104C6F" w:rsidRDefault="00104C6F" w:rsidP="00104C6F">
      <w:pPr>
        <w:pStyle w:val="RNAHeadlineD"/>
      </w:pPr>
      <w:r>
        <w:t>IO Market</w:t>
      </w:r>
    </w:p>
    <w:p w14:paraId="6C51248C" w14:textId="755956F8" w:rsidR="00C572C9" w:rsidRPr="002577DF" w:rsidRDefault="00C572C9" w:rsidP="00C572C9">
      <w:pPr>
        <w:rPr>
          <w:rFonts w:ascii="Georgia" w:hAnsi="Georgia"/>
          <w:color w:val="595959" w:themeColor="text1" w:themeTint="A6"/>
        </w:rPr>
      </w:pPr>
      <w:r w:rsidRPr="002577DF">
        <w:rPr>
          <w:rFonts w:ascii="Georgia" w:hAnsi="Georgia"/>
          <w:color w:val="595959" w:themeColor="text1" w:themeTint="A6"/>
        </w:rPr>
        <w:t xml:space="preserve">According to a report by Zion Market Research, </w:t>
      </w:r>
      <w:r>
        <w:rPr>
          <w:rFonts w:ascii="Georgia" w:hAnsi="Georgia"/>
          <w:color w:val="595959" w:themeColor="text1" w:themeTint="A6"/>
        </w:rPr>
        <w:t xml:space="preserve">the </w:t>
      </w:r>
      <w:r w:rsidRPr="002577DF">
        <w:rPr>
          <w:rFonts w:ascii="Georgia" w:hAnsi="Georgia"/>
          <w:color w:val="595959" w:themeColor="text1" w:themeTint="A6"/>
        </w:rPr>
        <w:t xml:space="preserve">global </w:t>
      </w:r>
      <w:r>
        <w:rPr>
          <w:rFonts w:ascii="Georgia" w:hAnsi="Georgia"/>
          <w:color w:val="595959" w:themeColor="text1" w:themeTint="A6"/>
        </w:rPr>
        <w:t>IO</w:t>
      </w:r>
      <w:r w:rsidRPr="002577DF">
        <w:rPr>
          <w:rFonts w:ascii="Georgia" w:hAnsi="Georgia"/>
          <w:color w:val="595959" w:themeColor="text1" w:themeTint="A6"/>
        </w:rPr>
        <w:t xml:space="preserve"> therapy market wa</w:t>
      </w:r>
      <w:r w:rsidRPr="003C71FE">
        <w:rPr>
          <w:rFonts w:ascii="Georgia" w:hAnsi="Georgia"/>
          <w:color w:val="595959" w:themeColor="text1" w:themeTint="A6"/>
        </w:rPr>
        <w:t>s valued at approximately $43.0</w:t>
      </w:r>
      <w:r w:rsidRPr="002577DF">
        <w:rPr>
          <w:rFonts w:ascii="Georgia" w:hAnsi="Georgia"/>
          <w:color w:val="595959" w:themeColor="text1" w:themeTint="A6"/>
        </w:rPr>
        <w:t xml:space="preserve"> billion in 2016 and is expected to generate revenue of around </w:t>
      </w:r>
      <w:r>
        <w:rPr>
          <w:rFonts w:ascii="Georgia" w:hAnsi="Georgia"/>
          <w:color w:val="595959" w:themeColor="text1" w:themeTint="A6"/>
        </w:rPr>
        <w:t>$</w:t>
      </w:r>
      <w:r w:rsidRPr="003C71FE">
        <w:rPr>
          <w:rFonts w:ascii="Georgia" w:hAnsi="Georgia"/>
          <w:color w:val="595959" w:themeColor="text1" w:themeTint="A6"/>
        </w:rPr>
        <w:t>97.3</w:t>
      </w:r>
      <w:r w:rsidRPr="002577DF">
        <w:rPr>
          <w:rFonts w:ascii="Georgia" w:hAnsi="Georgia"/>
          <w:color w:val="595959" w:themeColor="text1" w:themeTint="A6"/>
        </w:rPr>
        <w:t xml:space="preserve"> billion by 2022, growing a</w:t>
      </w:r>
      <w:r w:rsidRPr="003C71FE">
        <w:rPr>
          <w:rFonts w:ascii="Georgia" w:hAnsi="Georgia"/>
          <w:color w:val="595959" w:themeColor="text1" w:themeTint="A6"/>
        </w:rPr>
        <w:t xml:space="preserve">t a CAGR of around 14.6% </w:t>
      </w:r>
      <w:r>
        <w:rPr>
          <w:rFonts w:ascii="Georgia" w:hAnsi="Georgia"/>
          <w:color w:val="595959" w:themeColor="text1" w:themeTint="A6"/>
        </w:rPr>
        <w:t>for</w:t>
      </w:r>
      <w:r w:rsidRPr="003C71FE">
        <w:rPr>
          <w:rFonts w:ascii="Georgia" w:hAnsi="Georgia"/>
          <w:color w:val="595959" w:themeColor="text1" w:themeTint="A6"/>
        </w:rPr>
        <w:t xml:space="preserve"> the period</w:t>
      </w:r>
      <w:r w:rsidRPr="002577DF">
        <w:rPr>
          <w:rFonts w:ascii="Georgia" w:hAnsi="Georgia"/>
          <w:color w:val="595959" w:themeColor="text1" w:themeTint="A6"/>
        </w:rPr>
        <w:t xml:space="preserve"> 2017 </w:t>
      </w:r>
      <w:r>
        <w:rPr>
          <w:rFonts w:ascii="Georgia" w:hAnsi="Georgia"/>
          <w:color w:val="595959" w:themeColor="text1" w:themeTint="A6"/>
        </w:rPr>
        <w:t>through</w:t>
      </w:r>
      <w:r w:rsidRPr="002577DF">
        <w:rPr>
          <w:rFonts w:ascii="Georgia" w:hAnsi="Georgia"/>
          <w:color w:val="595959" w:themeColor="text1" w:themeTint="A6"/>
        </w:rPr>
        <w:t xml:space="preserve"> 2022.</w:t>
      </w:r>
      <w:r>
        <w:rPr>
          <w:rStyle w:val="FootnoteReference"/>
          <w:rFonts w:ascii="Georgia" w:hAnsi="Georgia"/>
          <w:color w:val="595959" w:themeColor="text1" w:themeTint="A6"/>
        </w:rPr>
        <w:footnoteReference w:id="14"/>
      </w:r>
    </w:p>
    <w:p w14:paraId="03E48FD4" w14:textId="77777777" w:rsidR="00C572C9" w:rsidRDefault="00C572C9" w:rsidP="00104C6F">
      <w:pPr>
        <w:rPr>
          <w:rFonts w:ascii="Georgia" w:hAnsi="Georgia"/>
          <w:color w:val="595959" w:themeColor="text1" w:themeTint="A6"/>
        </w:rPr>
      </w:pPr>
    </w:p>
    <w:p w14:paraId="5E92EAD3" w14:textId="7CFC1B6F" w:rsidR="00104C6F" w:rsidRPr="00031D4F" w:rsidRDefault="00104C6F" w:rsidP="00104C6F">
      <w:pPr>
        <w:rPr>
          <w:rFonts w:ascii="Georgia" w:hAnsi="Georgia"/>
          <w:color w:val="595959" w:themeColor="text1" w:themeTint="A6"/>
        </w:rPr>
      </w:pPr>
      <w:r w:rsidRPr="00031D4F">
        <w:rPr>
          <w:rFonts w:ascii="Georgia" w:hAnsi="Georgia"/>
          <w:color w:val="595959" w:themeColor="text1" w:themeTint="A6"/>
        </w:rPr>
        <w:t xml:space="preserve">The global IO market </w:t>
      </w:r>
      <w:r w:rsidR="00C572C9">
        <w:rPr>
          <w:rFonts w:ascii="Georgia" w:hAnsi="Georgia"/>
          <w:color w:val="595959" w:themeColor="text1" w:themeTint="A6"/>
        </w:rPr>
        <w:t>can be</w:t>
      </w:r>
      <w:r w:rsidRPr="00031D4F">
        <w:rPr>
          <w:rFonts w:ascii="Georgia" w:hAnsi="Georgia"/>
          <w:color w:val="595959" w:themeColor="text1" w:themeTint="A6"/>
        </w:rPr>
        <w:t xml:space="preserve"> segmented based on </w:t>
      </w:r>
      <w:r>
        <w:rPr>
          <w:rFonts w:ascii="Georgia" w:hAnsi="Georgia"/>
          <w:color w:val="595959" w:themeColor="text1" w:themeTint="A6"/>
        </w:rPr>
        <w:t xml:space="preserve">the </w:t>
      </w:r>
      <w:r w:rsidRPr="009E5445">
        <w:rPr>
          <w:rFonts w:ascii="Georgia" w:hAnsi="Georgia"/>
          <w:noProof/>
          <w:color w:val="595959" w:themeColor="text1" w:themeTint="A6"/>
        </w:rPr>
        <w:t>type</w:t>
      </w:r>
      <w:r w:rsidRPr="00031D4F">
        <w:rPr>
          <w:rFonts w:ascii="Georgia" w:hAnsi="Georgia"/>
          <w:color w:val="595959" w:themeColor="text1" w:themeTint="A6"/>
        </w:rPr>
        <w:t xml:space="preserve"> of product into </w:t>
      </w:r>
      <w:r w:rsidR="00C572C9">
        <w:rPr>
          <w:rFonts w:ascii="Georgia" w:hAnsi="Georgia"/>
          <w:color w:val="595959" w:themeColor="text1" w:themeTint="A6"/>
        </w:rPr>
        <w:t>monoclonal antibodies (“</w:t>
      </w:r>
      <w:r w:rsidR="00281459">
        <w:rPr>
          <w:rFonts w:ascii="Georgia" w:hAnsi="Georgia"/>
          <w:color w:val="595959" w:themeColor="text1" w:themeTint="A6"/>
        </w:rPr>
        <w:t>m</w:t>
      </w:r>
      <w:r w:rsidRPr="00031D4F">
        <w:rPr>
          <w:rFonts w:ascii="Georgia" w:hAnsi="Georgia"/>
          <w:color w:val="595959" w:themeColor="text1" w:themeTint="A6"/>
        </w:rPr>
        <w:t>Abs</w:t>
      </w:r>
      <w:r w:rsidR="00C572C9">
        <w:rPr>
          <w:rFonts w:ascii="Georgia" w:hAnsi="Georgia"/>
          <w:color w:val="595959" w:themeColor="text1" w:themeTint="A6"/>
        </w:rPr>
        <w:t>”),</w:t>
      </w:r>
      <w:r w:rsidRPr="00031D4F">
        <w:rPr>
          <w:rFonts w:ascii="Georgia" w:hAnsi="Georgia"/>
          <w:color w:val="595959" w:themeColor="text1" w:themeTint="A6"/>
        </w:rPr>
        <w:t xml:space="preserve"> therapeutic vaccines, immune checkpoint inhibitors</w:t>
      </w:r>
      <w:r w:rsidR="00CB584E">
        <w:rPr>
          <w:rFonts w:ascii="Georgia" w:hAnsi="Georgia"/>
          <w:color w:val="595959" w:themeColor="text1" w:themeTint="A6"/>
        </w:rPr>
        <w:t>,</w:t>
      </w:r>
      <w:r>
        <w:rPr>
          <w:rFonts w:ascii="Georgia" w:hAnsi="Georgia"/>
          <w:color w:val="595959" w:themeColor="text1" w:themeTint="A6"/>
        </w:rPr>
        <w:t xml:space="preserve"> </w:t>
      </w:r>
      <w:r w:rsidRPr="00892140">
        <w:rPr>
          <w:rFonts w:ascii="Georgia" w:hAnsi="Georgia"/>
          <w:noProof/>
          <w:color w:val="595959" w:themeColor="text1" w:themeTint="A6"/>
        </w:rPr>
        <w:t>and</w:t>
      </w:r>
      <w:r>
        <w:rPr>
          <w:rFonts w:ascii="Georgia" w:hAnsi="Georgia"/>
          <w:color w:val="595959" w:themeColor="text1" w:themeTint="A6"/>
        </w:rPr>
        <w:t xml:space="preserve"> immune checkpoint activators, </w:t>
      </w:r>
      <w:r w:rsidRPr="00031D4F">
        <w:rPr>
          <w:rFonts w:ascii="Georgia" w:hAnsi="Georgia"/>
          <w:color w:val="595959" w:themeColor="text1" w:themeTint="A6"/>
        </w:rPr>
        <w:t>amongst others.</w:t>
      </w:r>
      <w:r>
        <w:rPr>
          <w:rFonts w:ascii="Georgia" w:hAnsi="Georgia"/>
          <w:color w:val="595959" w:themeColor="text1" w:themeTint="A6"/>
        </w:rPr>
        <w:t xml:space="preserve">  </w:t>
      </w:r>
      <w:r w:rsidR="00C572C9">
        <w:rPr>
          <w:rFonts w:ascii="Georgia" w:hAnsi="Georgia"/>
          <w:color w:val="595959" w:themeColor="text1" w:themeTint="A6"/>
        </w:rPr>
        <w:t>B</w:t>
      </w:r>
      <w:r w:rsidRPr="00487B33">
        <w:rPr>
          <w:rFonts w:ascii="Georgia" w:hAnsi="Georgia"/>
          <w:color w:val="595959" w:themeColor="text1" w:themeTint="A6"/>
        </w:rPr>
        <w:t>as</w:t>
      </w:r>
      <w:r w:rsidR="00C572C9">
        <w:rPr>
          <w:rFonts w:ascii="Georgia" w:hAnsi="Georgia"/>
          <w:color w:val="595959" w:themeColor="text1" w:themeTint="A6"/>
        </w:rPr>
        <w:t>ed</w:t>
      </w:r>
      <w:r w:rsidRPr="00487B33">
        <w:rPr>
          <w:rFonts w:ascii="Georgia" w:hAnsi="Georgia"/>
          <w:color w:val="595959" w:themeColor="text1" w:themeTint="A6"/>
        </w:rPr>
        <w:t xml:space="preserve"> </w:t>
      </w:r>
      <w:r w:rsidR="00C572C9">
        <w:rPr>
          <w:rFonts w:ascii="Georgia" w:hAnsi="Georgia"/>
          <w:color w:val="595959" w:themeColor="text1" w:themeTint="A6"/>
        </w:rPr>
        <w:t>on</w:t>
      </w:r>
      <w:r w:rsidRPr="00487B33">
        <w:rPr>
          <w:rFonts w:ascii="Georgia" w:hAnsi="Georgia"/>
          <w:color w:val="595959" w:themeColor="text1" w:themeTint="A6"/>
        </w:rPr>
        <w:t xml:space="preserve"> </w:t>
      </w:r>
      <w:r w:rsidR="00C572C9">
        <w:rPr>
          <w:rFonts w:ascii="Georgia" w:hAnsi="Georgia"/>
          <w:noProof/>
          <w:color w:val="595959" w:themeColor="text1" w:themeTint="A6"/>
        </w:rPr>
        <w:t>organ</w:t>
      </w:r>
      <w:r w:rsidRPr="00487B33">
        <w:rPr>
          <w:rFonts w:ascii="Georgia" w:hAnsi="Georgia"/>
          <w:color w:val="595959" w:themeColor="text1" w:themeTint="A6"/>
        </w:rPr>
        <w:t xml:space="preserve">, the </w:t>
      </w:r>
      <w:r>
        <w:rPr>
          <w:rFonts w:ascii="Georgia" w:hAnsi="Georgia"/>
          <w:color w:val="595959" w:themeColor="text1" w:themeTint="A6"/>
        </w:rPr>
        <w:t>IO market is dominated by lung cancer and m</w:t>
      </w:r>
      <w:r w:rsidRPr="00487B33">
        <w:rPr>
          <w:rFonts w:ascii="Georgia" w:hAnsi="Georgia"/>
          <w:color w:val="595959" w:themeColor="text1" w:themeTint="A6"/>
        </w:rPr>
        <w:t>elanoma</w:t>
      </w:r>
      <w:r w:rsidR="00C572C9">
        <w:rPr>
          <w:rFonts w:ascii="Georgia" w:hAnsi="Georgia"/>
          <w:color w:val="595959" w:themeColor="text1" w:themeTint="A6"/>
        </w:rPr>
        <w:t>, providing</w:t>
      </w:r>
      <w:r w:rsidRPr="00487B33">
        <w:rPr>
          <w:rFonts w:ascii="Georgia" w:hAnsi="Georgia"/>
          <w:color w:val="595959" w:themeColor="text1" w:themeTint="A6"/>
        </w:rPr>
        <w:t xml:space="preserve"> </w:t>
      </w:r>
      <w:r w:rsidR="00C572C9">
        <w:rPr>
          <w:rFonts w:ascii="Georgia" w:hAnsi="Georgia"/>
          <w:color w:val="595959" w:themeColor="text1" w:themeTint="A6"/>
        </w:rPr>
        <w:t>opportunities to</w:t>
      </w:r>
      <w:r w:rsidRPr="00487B33">
        <w:rPr>
          <w:rFonts w:ascii="Georgia" w:hAnsi="Georgia"/>
          <w:color w:val="595959" w:themeColor="text1" w:themeTint="A6"/>
        </w:rPr>
        <w:t xml:space="preserve"> several companies and academic institutions focusin</w:t>
      </w:r>
      <w:r w:rsidR="00C572C9">
        <w:rPr>
          <w:rFonts w:ascii="Georgia" w:hAnsi="Georgia"/>
          <w:color w:val="595959" w:themeColor="text1" w:themeTint="A6"/>
        </w:rPr>
        <w:t>g on novel therapeutics</w:t>
      </w:r>
      <w:r w:rsidRPr="00487B33">
        <w:rPr>
          <w:rFonts w:ascii="Georgia" w:hAnsi="Georgia"/>
          <w:color w:val="595959" w:themeColor="text1" w:themeTint="A6"/>
        </w:rPr>
        <w:t>.</w:t>
      </w:r>
      <w:r w:rsidRPr="00031D4F">
        <w:rPr>
          <w:rFonts w:ascii="Georgia" w:hAnsi="Georgia"/>
          <w:color w:val="595959" w:themeColor="text1" w:themeTint="A6"/>
          <w:vertAlign w:val="superscript"/>
        </w:rPr>
        <w:footnoteReference w:id="15"/>
      </w:r>
    </w:p>
    <w:p w14:paraId="454793AB" w14:textId="77777777" w:rsidR="00104C6F" w:rsidRPr="00031D4F" w:rsidRDefault="00104C6F" w:rsidP="00104C6F">
      <w:pPr>
        <w:rPr>
          <w:rFonts w:ascii="Georgia" w:hAnsi="Georgia"/>
          <w:color w:val="595959" w:themeColor="text1" w:themeTint="A6"/>
        </w:rPr>
      </w:pPr>
    </w:p>
    <w:p w14:paraId="3A485431" w14:textId="15AA64B7" w:rsidR="00104C6F" w:rsidRPr="009E5445" w:rsidRDefault="00104C6F" w:rsidP="00104C6F">
      <w:pPr>
        <w:rPr>
          <w:rFonts w:ascii="Georgia" w:hAnsi="Georgia"/>
          <w:color w:val="595959" w:themeColor="text1" w:themeTint="A6"/>
        </w:rPr>
      </w:pPr>
      <w:r w:rsidRPr="00031D4F">
        <w:rPr>
          <w:rFonts w:ascii="Georgia" w:hAnsi="Georgia"/>
          <w:color w:val="595959" w:themeColor="text1" w:themeTint="A6"/>
        </w:rPr>
        <w:t xml:space="preserve">According to Research and Markets, the global IO market is expected to be a </w:t>
      </w:r>
      <w:r w:rsidR="00C572C9">
        <w:rPr>
          <w:rFonts w:ascii="Georgia" w:hAnsi="Georgia"/>
          <w:color w:val="595959" w:themeColor="text1" w:themeTint="A6"/>
        </w:rPr>
        <w:t>major</w:t>
      </w:r>
      <w:r w:rsidR="00C572C9" w:rsidRPr="00031D4F">
        <w:rPr>
          <w:rFonts w:ascii="Georgia" w:hAnsi="Georgia"/>
          <w:color w:val="595959" w:themeColor="text1" w:themeTint="A6"/>
        </w:rPr>
        <w:t xml:space="preserve"> </w:t>
      </w:r>
      <w:r w:rsidRPr="00031D4F">
        <w:rPr>
          <w:rFonts w:ascii="Georgia" w:hAnsi="Georgia"/>
          <w:color w:val="595959" w:themeColor="text1" w:themeTint="A6"/>
        </w:rPr>
        <w:t xml:space="preserve">revenue generator for the biopharmaceutical industry by 2020.  Currently, cancer immunotherapy drugs have captured approximately 50.0% of the overall oncology drugs market.  Over the next decade, immunotherapies are expected to be the backbone of cancer treatments in 60.0% of cancer types.  It is forecasted that by 2020, Avastin, Nivolumab, </w:t>
      </w:r>
      <w:proofErr w:type="spellStart"/>
      <w:r w:rsidRPr="00031D4F">
        <w:rPr>
          <w:rFonts w:ascii="Georgia" w:hAnsi="Georgia"/>
          <w:color w:val="595959" w:themeColor="text1" w:themeTint="A6"/>
        </w:rPr>
        <w:t>Revlimid</w:t>
      </w:r>
      <w:proofErr w:type="spellEnd"/>
      <w:r w:rsidRPr="00031D4F">
        <w:rPr>
          <w:rFonts w:ascii="Georgia" w:hAnsi="Georgia"/>
          <w:color w:val="595959" w:themeColor="text1" w:themeTint="A6"/>
        </w:rPr>
        <w:t xml:space="preserve">, Rituxan, and </w:t>
      </w:r>
      <w:proofErr w:type="spellStart"/>
      <w:r w:rsidRPr="00031D4F">
        <w:rPr>
          <w:rFonts w:ascii="Georgia" w:hAnsi="Georgia"/>
          <w:color w:val="595959" w:themeColor="text1" w:themeTint="A6"/>
        </w:rPr>
        <w:t>Xtandi</w:t>
      </w:r>
      <w:proofErr w:type="spellEnd"/>
      <w:r w:rsidRPr="00031D4F">
        <w:rPr>
          <w:rFonts w:ascii="Georgia" w:hAnsi="Georgia"/>
          <w:color w:val="595959" w:themeColor="text1" w:themeTint="A6"/>
        </w:rPr>
        <w:t xml:space="preserve"> will be the top five cancer drugs.</w:t>
      </w:r>
      <w:r w:rsidRPr="00031D4F">
        <w:rPr>
          <w:rFonts w:ascii="Georgia" w:hAnsi="Georgia"/>
          <w:color w:val="595959" w:themeColor="text1" w:themeTint="A6"/>
          <w:vertAlign w:val="superscript"/>
        </w:rPr>
        <w:footnoteReference w:id="16"/>
      </w:r>
    </w:p>
    <w:p w14:paraId="03D2AD8D" w14:textId="7578A3D3" w:rsidR="00104C6F" w:rsidRDefault="00104C6F" w:rsidP="00104C6F">
      <w:pPr>
        <w:pStyle w:val="RNAHeadlineD"/>
        <w:rPr>
          <w:b w:val="0"/>
        </w:rPr>
      </w:pPr>
    </w:p>
    <w:p w14:paraId="00A15E6F" w14:textId="3356CFB0" w:rsidR="008275EE" w:rsidRPr="00031D4F" w:rsidRDefault="00281459" w:rsidP="008275EE">
      <w:pPr>
        <w:rPr>
          <w:rFonts w:ascii="Georgia" w:hAnsi="Georgia"/>
          <w:color w:val="595959" w:themeColor="text1" w:themeTint="A6"/>
        </w:rPr>
      </w:pPr>
      <w:r>
        <w:rPr>
          <w:rFonts w:ascii="Georgia" w:hAnsi="Georgia"/>
          <w:b/>
          <w:color w:val="595959" w:themeColor="text1" w:themeTint="A6"/>
        </w:rPr>
        <w:t xml:space="preserve">Approved </w:t>
      </w:r>
      <w:r w:rsidRPr="00A71F2E">
        <w:rPr>
          <w:rFonts w:ascii="Georgia" w:hAnsi="Georgia"/>
          <w:b/>
          <w:color w:val="595959" w:themeColor="text1" w:themeTint="A6"/>
        </w:rPr>
        <w:t>Pipeline</w:t>
      </w:r>
      <w:r w:rsidR="007C63B0">
        <w:rPr>
          <w:rFonts w:ascii="Georgia" w:hAnsi="Georgia"/>
          <w:b/>
          <w:color w:val="595959" w:themeColor="text1" w:themeTint="A6"/>
        </w:rPr>
        <w:t xml:space="preserve"> for IO diseases</w:t>
      </w:r>
      <w:r w:rsidRPr="00A71F2E">
        <w:rPr>
          <w:rFonts w:ascii="Georgia" w:hAnsi="Georgia"/>
          <w:b/>
          <w:color w:val="595959" w:themeColor="text1" w:themeTint="A6"/>
        </w:rPr>
        <w:t>:</w:t>
      </w:r>
      <w:r>
        <w:rPr>
          <w:rFonts w:ascii="Georgia" w:hAnsi="Georgia"/>
          <w:color w:val="595959" w:themeColor="text1" w:themeTint="A6"/>
        </w:rPr>
        <w:t xml:space="preserve"> </w:t>
      </w:r>
      <w:r w:rsidR="008275EE" w:rsidRPr="00A71F2E">
        <w:rPr>
          <w:rFonts w:ascii="Georgia" w:hAnsi="Georgia"/>
          <w:color w:val="595959" w:themeColor="text1" w:themeTint="A6"/>
        </w:rPr>
        <w:t xml:space="preserve">For example, AstraZeneca’s PD-L1 antibody, </w:t>
      </w:r>
      <w:r w:rsidR="00CB584E" w:rsidRPr="006D4203">
        <w:rPr>
          <w:rFonts w:ascii="Georgia" w:hAnsi="Georgia"/>
          <w:noProof/>
          <w:color w:val="595959" w:themeColor="text1" w:themeTint="A6"/>
        </w:rPr>
        <w:t>D</w:t>
      </w:r>
      <w:r w:rsidR="008275EE" w:rsidRPr="006D4203">
        <w:rPr>
          <w:rFonts w:ascii="Georgia" w:hAnsi="Georgia"/>
          <w:noProof/>
          <w:color w:val="595959" w:themeColor="text1" w:themeTint="A6"/>
        </w:rPr>
        <w:t>urvalumab</w:t>
      </w:r>
      <w:r w:rsidR="008275EE" w:rsidRPr="00A71F2E">
        <w:rPr>
          <w:rFonts w:ascii="Georgia" w:hAnsi="Georgia"/>
          <w:color w:val="595959" w:themeColor="text1" w:themeTint="A6"/>
        </w:rPr>
        <w:t xml:space="preserve"> (</w:t>
      </w:r>
      <w:proofErr w:type="spellStart"/>
      <w:r w:rsidR="00CB584E" w:rsidRPr="006D4203">
        <w:rPr>
          <w:rFonts w:ascii="Georgia" w:hAnsi="Georgia"/>
          <w:noProof/>
          <w:color w:val="595959" w:themeColor="text1" w:themeTint="A6"/>
        </w:rPr>
        <w:t>i</w:t>
      </w:r>
      <w:r w:rsidR="008275EE" w:rsidRPr="006D4203">
        <w:rPr>
          <w:rFonts w:ascii="Georgia" w:hAnsi="Georgia"/>
          <w:noProof/>
          <w:color w:val="595959" w:themeColor="text1" w:themeTint="A6"/>
        </w:rPr>
        <w:t>mfinzi</w:t>
      </w:r>
      <w:proofErr w:type="spellEnd"/>
      <w:r w:rsidR="008275EE" w:rsidRPr="00A71F2E">
        <w:rPr>
          <w:rFonts w:ascii="Georgia" w:hAnsi="Georgia"/>
          <w:color w:val="595959" w:themeColor="text1" w:themeTint="A6"/>
        </w:rPr>
        <w:t xml:space="preserve">) approved by the FDA in 2017 as an immune checkpoint inhibitor, blocks the </w:t>
      </w:r>
      <w:r w:rsidR="008275EE" w:rsidRPr="00A71F2E">
        <w:rPr>
          <w:rFonts w:ascii="Georgia" w:hAnsi="Georgia"/>
          <w:noProof/>
          <w:color w:val="595959" w:themeColor="text1" w:themeTint="A6"/>
        </w:rPr>
        <w:t>interaction</w:t>
      </w:r>
      <w:r w:rsidR="008275EE" w:rsidRPr="00A71F2E">
        <w:rPr>
          <w:rFonts w:ascii="Georgia" w:hAnsi="Georgia"/>
          <w:color w:val="595959" w:themeColor="text1" w:themeTint="A6"/>
        </w:rPr>
        <w:t xml:space="preserve"> of PD-L1 with PD-1 and CD80.  In December 2017, </w:t>
      </w:r>
      <w:r w:rsidR="004A733B" w:rsidRPr="004A733B">
        <w:rPr>
          <w:rFonts w:ascii="Georgia" w:hAnsi="Georgia"/>
          <w:color w:val="595959" w:themeColor="text1" w:themeTint="A6"/>
        </w:rPr>
        <w:t>Bristol-Myers Squibb Company</w:t>
      </w:r>
      <w:r w:rsidR="004A733B">
        <w:rPr>
          <w:rFonts w:ascii="Georgia" w:hAnsi="Georgia"/>
          <w:color w:val="595959" w:themeColor="text1" w:themeTint="A6"/>
        </w:rPr>
        <w:t xml:space="preserve"> (“</w:t>
      </w:r>
      <w:r w:rsidR="008275EE" w:rsidRPr="00A71F2E">
        <w:rPr>
          <w:rFonts w:ascii="Georgia" w:hAnsi="Georgia"/>
          <w:color w:val="595959" w:themeColor="text1" w:themeTint="A6"/>
        </w:rPr>
        <w:t>BMS</w:t>
      </w:r>
      <w:r w:rsidR="004A733B">
        <w:rPr>
          <w:rFonts w:ascii="Georgia" w:hAnsi="Georgia"/>
          <w:color w:val="595959" w:themeColor="text1" w:themeTint="A6"/>
        </w:rPr>
        <w:t>”)</w:t>
      </w:r>
      <w:r w:rsidR="008275EE" w:rsidRPr="00A71F2E">
        <w:rPr>
          <w:rFonts w:ascii="Georgia" w:hAnsi="Georgia"/>
          <w:color w:val="595959" w:themeColor="text1" w:themeTint="A6"/>
        </w:rPr>
        <w:t xml:space="preserve"> received approval for Nivolumab as an </w:t>
      </w:r>
      <w:r w:rsidR="008275EE" w:rsidRPr="00A71F2E">
        <w:rPr>
          <w:rFonts w:ascii="Georgia" w:hAnsi="Georgia"/>
          <w:noProof/>
          <w:color w:val="595959" w:themeColor="text1" w:themeTint="A6"/>
        </w:rPr>
        <w:t>adjuvant</w:t>
      </w:r>
      <w:r w:rsidR="008275EE" w:rsidRPr="00A71F2E">
        <w:rPr>
          <w:rFonts w:ascii="Georgia" w:hAnsi="Georgia"/>
          <w:color w:val="595959" w:themeColor="text1" w:themeTint="A6"/>
        </w:rPr>
        <w:t xml:space="preserve"> treatment of melanoma.  In August 2017, Novartis International AG (“Novartis”) received FDA approval for a CAR-T therapy named </w:t>
      </w:r>
      <w:r w:rsidR="008275EE" w:rsidRPr="006D4203">
        <w:rPr>
          <w:rFonts w:ascii="Georgia" w:hAnsi="Georgia"/>
          <w:noProof/>
          <w:color w:val="595959" w:themeColor="text1" w:themeTint="A6"/>
        </w:rPr>
        <w:t>Kymriah</w:t>
      </w:r>
      <w:r w:rsidR="008275EE" w:rsidRPr="00A71F2E">
        <w:rPr>
          <w:rFonts w:ascii="Georgia" w:hAnsi="Georgia"/>
          <w:color w:val="595959" w:themeColor="text1" w:themeTint="A6"/>
        </w:rPr>
        <w:t xml:space="preserve"> for children and young adults with B-cell lymphoblastic lymphoma.  Gilead Sciences, Inc. (“Gilead”) completed the acquisition of Kite Pharma Ltd. in October 2017, and Gilead’s CAR-T therapy, </w:t>
      </w:r>
      <w:proofErr w:type="spellStart"/>
      <w:r w:rsidR="008275EE" w:rsidRPr="00A71F2E">
        <w:rPr>
          <w:rFonts w:ascii="Georgia" w:hAnsi="Georgia"/>
          <w:color w:val="595959" w:themeColor="text1" w:themeTint="A6"/>
        </w:rPr>
        <w:t>Yescarta</w:t>
      </w:r>
      <w:proofErr w:type="spellEnd"/>
      <w:r w:rsidR="008275EE" w:rsidRPr="00A71F2E">
        <w:rPr>
          <w:rFonts w:ascii="Georgia" w:hAnsi="Georgia"/>
          <w:color w:val="595959" w:themeColor="text1" w:themeTint="A6"/>
        </w:rPr>
        <w:t>, received FDA approval in October 2017 to treat non-Hodgkin lymphoma.</w:t>
      </w:r>
      <w:r w:rsidR="008275EE" w:rsidRPr="00A71F2E">
        <w:rPr>
          <w:rFonts w:ascii="Georgia" w:hAnsi="Georgia"/>
          <w:color w:val="595959" w:themeColor="text1" w:themeTint="A6"/>
          <w:vertAlign w:val="superscript"/>
        </w:rPr>
        <w:footnoteReference w:id="17"/>
      </w:r>
    </w:p>
    <w:p w14:paraId="45C1BFE1" w14:textId="77777777" w:rsidR="00573796" w:rsidRDefault="00573796" w:rsidP="00573796"/>
    <w:p w14:paraId="34EAF88D" w14:textId="77777777" w:rsidR="00573796" w:rsidRPr="00FE3044" w:rsidRDefault="00573796" w:rsidP="00DE5618">
      <w:pPr>
        <w:pStyle w:val="RNAHeadline3"/>
        <w:keepLines w:val="0"/>
        <w:widowControl/>
        <w:spacing w:line="300" w:lineRule="exact"/>
        <w:jc w:val="both"/>
      </w:pPr>
      <w:r w:rsidRPr="00FE3044">
        <w:t>Competition</w:t>
      </w:r>
    </w:p>
    <w:p w14:paraId="354DFC96" w14:textId="60CF6010" w:rsidR="00573796" w:rsidRDefault="00573796" w:rsidP="00DE5618">
      <w:pPr>
        <w:pStyle w:val="RNABodyCopy"/>
        <w:keepNext/>
      </w:pPr>
      <w:r w:rsidRPr="00164A70">
        <w:t xml:space="preserve">The Company faces competition from other companies in the </w:t>
      </w:r>
      <w:r w:rsidR="008275EE" w:rsidRPr="00892140">
        <w:t xml:space="preserve">biotech and </w:t>
      </w:r>
      <w:r w:rsidR="008275EE" w:rsidRPr="00A71F2E">
        <w:t>biopharma</w:t>
      </w:r>
      <w:r w:rsidRPr="00A71F2E">
        <w:t xml:space="preserve"> industry</w:t>
      </w:r>
      <w:r w:rsidRPr="00164A70">
        <w:t>.  Its competitors</w:t>
      </w:r>
      <w:r w:rsidR="001A49D0">
        <w:t xml:space="preserve"> in the IL space</w:t>
      </w:r>
      <w:r w:rsidRPr="00164A70">
        <w:t xml:space="preserve"> include</w:t>
      </w:r>
      <w:r w:rsidR="008275EE" w:rsidRPr="00892140">
        <w:t xml:space="preserve"> </w:t>
      </w:r>
      <w:proofErr w:type="spellStart"/>
      <w:r w:rsidR="008275EE" w:rsidRPr="00892140">
        <w:t>Syntho</w:t>
      </w:r>
      <w:r w:rsidR="001A49D0">
        <w:t>r</w:t>
      </w:r>
      <w:r w:rsidR="008275EE" w:rsidRPr="00892140">
        <w:t>x</w:t>
      </w:r>
      <w:proofErr w:type="spellEnd"/>
      <w:r w:rsidR="008275EE" w:rsidRPr="00892140">
        <w:t>, Inc.</w:t>
      </w:r>
      <w:r w:rsidR="001A49D0">
        <w:t xml:space="preserve"> (THOR-707)</w:t>
      </w:r>
      <w:r w:rsidR="00F37029">
        <w:rPr>
          <w:rStyle w:val="FootnoteReference"/>
        </w:rPr>
        <w:footnoteReference w:id="18"/>
      </w:r>
      <w:r w:rsidR="008275EE" w:rsidRPr="00892140">
        <w:t xml:space="preserve">, </w:t>
      </w:r>
      <w:proofErr w:type="spellStart"/>
      <w:r w:rsidR="00F37029" w:rsidRPr="00892140">
        <w:t>Nektar</w:t>
      </w:r>
      <w:proofErr w:type="spellEnd"/>
      <w:r w:rsidR="00F37029" w:rsidRPr="00892140">
        <w:t xml:space="preserve"> Therapeutics</w:t>
      </w:r>
      <w:r w:rsidR="00F37029">
        <w:t xml:space="preserve"> (NKTR-214)</w:t>
      </w:r>
      <w:r w:rsidR="00F37029" w:rsidRPr="00892140">
        <w:t xml:space="preserve">, </w:t>
      </w:r>
      <w:r w:rsidR="008275EE" w:rsidRPr="00892140">
        <w:t>Roche Holding AG</w:t>
      </w:r>
      <w:r w:rsidR="001A49D0">
        <w:t xml:space="preserve"> (</w:t>
      </w:r>
      <w:r w:rsidR="001A49D0" w:rsidRPr="001A49D0">
        <w:t>RG7461</w:t>
      </w:r>
      <w:r w:rsidR="001A49D0">
        <w:t>)</w:t>
      </w:r>
      <w:r w:rsidR="008275EE" w:rsidRPr="00892140">
        <w:t>, Eli Lilly</w:t>
      </w:r>
      <w:r w:rsidR="001A49D0">
        <w:t xml:space="preserve"> and Company (</w:t>
      </w:r>
      <w:proofErr w:type="spellStart"/>
      <w:r w:rsidR="001A49D0" w:rsidRPr="00951B5C">
        <w:rPr>
          <w:noProof/>
        </w:rPr>
        <w:t>pegilodecakin</w:t>
      </w:r>
      <w:proofErr w:type="spellEnd"/>
      <w:r w:rsidR="001A49D0">
        <w:t xml:space="preserve"> – IL-10; acquired via </w:t>
      </w:r>
      <w:proofErr w:type="spellStart"/>
      <w:r w:rsidR="001A49D0">
        <w:t>Armo</w:t>
      </w:r>
      <w:proofErr w:type="spellEnd"/>
      <w:r w:rsidR="001A49D0">
        <w:t xml:space="preserve"> Biosciences, Inc.)</w:t>
      </w:r>
      <w:r w:rsidR="00F37029">
        <w:rPr>
          <w:rStyle w:val="FootnoteReference"/>
        </w:rPr>
        <w:footnoteReference w:id="19"/>
      </w:r>
      <w:r w:rsidR="008275EE" w:rsidRPr="00892140">
        <w:t>, Celgene Corporation</w:t>
      </w:r>
      <w:r w:rsidR="001A49D0">
        <w:t xml:space="preserve"> (DEL106 </w:t>
      </w:r>
      <w:r w:rsidR="00F37029">
        <w:t>–</w:t>
      </w:r>
      <w:r w:rsidR="001A49D0">
        <w:t xml:space="preserve"> </w:t>
      </w:r>
      <w:r w:rsidR="00F37029">
        <w:t xml:space="preserve">IL-2; acquired via </w:t>
      </w:r>
      <w:proofErr w:type="spellStart"/>
      <w:r w:rsidR="00F37029">
        <w:t>Delinia</w:t>
      </w:r>
      <w:proofErr w:type="spellEnd"/>
      <w:r w:rsidR="00F37029">
        <w:t>, Inc.)</w:t>
      </w:r>
      <w:r w:rsidR="00F37029">
        <w:rPr>
          <w:rStyle w:val="FootnoteReference"/>
        </w:rPr>
        <w:footnoteReference w:id="20"/>
      </w:r>
      <w:r w:rsidRPr="00A71F2E">
        <w:t>.</w:t>
      </w:r>
      <w:r>
        <w:t xml:space="preserve">  </w:t>
      </w:r>
    </w:p>
    <w:p w14:paraId="0BDFC549" w14:textId="77777777" w:rsidR="00573796" w:rsidRPr="00474556" w:rsidRDefault="00573796" w:rsidP="00FE3044">
      <w:pPr>
        <w:pStyle w:val="RNABodyCopy"/>
        <w:rPr>
          <w:color w:val="1F4E79" w:themeColor="accent2" w:themeShade="80"/>
          <w:spacing w:val="20"/>
          <w:sz w:val="28"/>
        </w:rPr>
      </w:pPr>
      <w:r w:rsidRPr="00474556">
        <w:br w:type="page"/>
      </w:r>
    </w:p>
    <w:p w14:paraId="22A03D3D" w14:textId="129DB872" w:rsidR="00573796" w:rsidRPr="005203C8" w:rsidRDefault="00573796" w:rsidP="00565DEF">
      <w:pPr>
        <w:pStyle w:val="RNAHeadlineA"/>
        <w:outlineLvl w:val="0"/>
      </w:pPr>
      <w:bookmarkStart w:id="34" w:name="_Toc432004248"/>
      <w:bookmarkStart w:id="35" w:name="_Toc2188947"/>
      <w:r w:rsidRPr="005203C8">
        <w:t>Valuation Methodology Overview</w:t>
      </w:r>
      <w:bookmarkEnd w:id="34"/>
      <w:bookmarkEnd w:id="35"/>
    </w:p>
    <w:p w14:paraId="785A1E14" w14:textId="77777777" w:rsidR="00573796" w:rsidRPr="00565DEF" w:rsidRDefault="00573796" w:rsidP="00573796">
      <w:pPr>
        <w:rPr>
          <w:rFonts w:ascii="Georgia" w:hAnsi="Georgia"/>
        </w:rPr>
      </w:pPr>
    </w:p>
    <w:p w14:paraId="3440EC10" w14:textId="2A46FA05" w:rsidR="00573796" w:rsidRPr="00565DEF" w:rsidRDefault="00573796" w:rsidP="000C2435">
      <w:pPr>
        <w:pStyle w:val="RNAIntrotext"/>
        <w:rPr>
          <w:rFonts w:ascii="Georgia" w:hAnsi="Georgia"/>
          <w:color w:val="595959" w:themeColor="text1" w:themeTint="A6"/>
          <w:sz w:val="22"/>
          <w:szCs w:val="22"/>
        </w:rPr>
      </w:pPr>
      <w:r w:rsidRPr="00565DEF">
        <w:rPr>
          <w:rFonts w:ascii="Georgia" w:hAnsi="Georgia"/>
          <w:color w:val="595959" w:themeColor="text1" w:themeTint="A6"/>
          <w:sz w:val="22"/>
          <w:szCs w:val="22"/>
        </w:rPr>
        <w:t>The following section provides an overview of various valuation methodologies con</w:t>
      </w:r>
      <w:r w:rsidR="00AA3F4F" w:rsidRPr="00565DEF">
        <w:rPr>
          <w:rFonts w:ascii="Georgia" w:hAnsi="Georgia"/>
          <w:color w:val="595959" w:themeColor="text1" w:themeTint="A6"/>
          <w:sz w:val="22"/>
          <w:szCs w:val="22"/>
        </w:rPr>
        <w:t>sidered</w:t>
      </w:r>
      <w:r w:rsidRPr="00565DEF">
        <w:rPr>
          <w:rFonts w:ascii="Georgia" w:hAnsi="Georgia"/>
          <w:color w:val="595959" w:themeColor="text1" w:themeTint="A6"/>
          <w:sz w:val="22"/>
          <w:szCs w:val="22"/>
        </w:rPr>
        <w:t xml:space="preserve"> as part of this analysis.  </w:t>
      </w:r>
    </w:p>
    <w:p w14:paraId="39ACF2F6" w14:textId="77777777" w:rsidR="00573796" w:rsidRPr="00720E7C" w:rsidRDefault="00573796" w:rsidP="00565DEF">
      <w:pPr>
        <w:pStyle w:val="RNABodyCopy"/>
      </w:pPr>
    </w:p>
    <w:p w14:paraId="3AF19658" w14:textId="4DCDAB4F" w:rsidR="00573796" w:rsidRPr="00565DEF" w:rsidRDefault="00573796" w:rsidP="00B14CCF">
      <w:pPr>
        <w:pStyle w:val="RNAHeadlineB"/>
        <w:outlineLvl w:val="1"/>
        <w:rPr>
          <w:rFonts w:ascii="Georgia" w:hAnsi="Georgia"/>
        </w:rPr>
      </w:pPr>
      <w:bookmarkStart w:id="36" w:name="_Toc378109666"/>
      <w:bookmarkStart w:id="37" w:name="_Toc432004249"/>
      <w:bookmarkStart w:id="38" w:name="_Toc2188948"/>
      <w:r w:rsidRPr="00565DEF">
        <w:rPr>
          <w:rFonts w:ascii="Georgia" w:hAnsi="Georgia"/>
        </w:rPr>
        <w:t>Business Enterprise Valuation Theory</w:t>
      </w:r>
      <w:bookmarkEnd w:id="36"/>
      <w:bookmarkEnd w:id="37"/>
      <w:bookmarkEnd w:id="38"/>
    </w:p>
    <w:p w14:paraId="612172AD" w14:textId="77777777" w:rsidR="00573796" w:rsidRPr="005203C8" w:rsidRDefault="00573796" w:rsidP="00DE5618">
      <w:pPr>
        <w:pStyle w:val="RNABodyCopy"/>
        <w:keepNext/>
      </w:pPr>
      <w:r w:rsidRPr="005203C8">
        <w:t>In summary, there are three generally accepted valuation approaches available when valuing the operating assets and liabilities of a closely held business:</w:t>
      </w:r>
    </w:p>
    <w:p w14:paraId="5B394657" w14:textId="77777777" w:rsidR="00573796" w:rsidRPr="00193490" w:rsidRDefault="00573796" w:rsidP="000C2435">
      <w:pPr>
        <w:pStyle w:val="RNABodyCopy"/>
      </w:pPr>
    </w:p>
    <w:p w14:paraId="3F4C5C3C" w14:textId="77777777" w:rsidR="00573796" w:rsidRPr="005203C8" w:rsidRDefault="00573796" w:rsidP="00724D57">
      <w:pPr>
        <w:pStyle w:val="RNABodyCopy"/>
        <w:numPr>
          <w:ilvl w:val="0"/>
          <w:numId w:val="20"/>
        </w:numPr>
        <w:ind w:left="1080" w:hanging="720"/>
      </w:pPr>
      <w:r w:rsidRPr="005203C8">
        <w:t xml:space="preserve">Cost Approach (“Cost Approach”); </w:t>
      </w:r>
    </w:p>
    <w:p w14:paraId="6F7B4176" w14:textId="77777777" w:rsidR="00573796" w:rsidRPr="005203C8" w:rsidRDefault="00573796" w:rsidP="00724D57">
      <w:pPr>
        <w:pStyle w:val="RNABodyCopy"/>
        <w:numPr>
          <w:ilvl w:val="0"/>
          <w:numId w:val="20"/>
        </w:numPr>
        <w:ind w:left="1080" w:hanging="720"/>
      </w:pPr>
      <w:r w:rsidRPr="005203C8">
        <w:t xml:space="preserve">Income Approach (“Income Approach”); and </w:t>
      </w:r>
    </w:p>
    <w:p w14:paraId="668B39A3" w14:textId="77777777" w:rsidR="00573796" w:rsidRPr="005203C8" w:rsidRDefault="00573796" w:rsidP="00724D57">
      <w:pPr>
        <w:pStyle w:val="RNABodyCopy"/>
        <w:numPr>
          <w:ilvl w:val="0"/>
          <w:numId w:val="20"/>
        </w:numPr>
        <w:ind w:left="1080" w:hanging="720"/>
      </w:pPr>
      <w:r w:rsidRPr="005203C8">
        <w:t>Market Approach (“Market Approach”).</w:t>
      </w:r>
      <w:r>
        <w:t xml:space="preserve">  </w:t>
      </w:r>
    </w:p>
    <w:p w14:paraId="062F001B" w14:textId="77777777" w:rsidR="00573796" w:rsidRPr="005203C8" w:rsidRDefault="00573796" w:rsidP="000C2435">
      <w:pPr>
        <w:pStyle w:val="RNABodyCopy"/>
      </w:pPr>
    </w:p>
    <w:p w14:paraId="5423AFC6" w14:textId="7704C608" w:rsidR="00573796" w:rsidRPr="005203C8" w:rsidRDefault="00573796" w:rsidP="000C2435">
      <w:pPr>
        <w:pStyle w:val="RNABodyCopy"/>
      </w:pPr>
      <w:r w:rsidRPr="005203C8">
        <w:t>Within each category, a variety of methodologies exist</w:t>
      </w:r>
      <w:r w:rsidR="003E5099">
        <w:t>s</w:t>
      </w:r>
      <w:r w:rsidRPr="005203C8">
        <w:t xml:space="preserve"> to assist in the </w:t>
      </w:r>
      <w:r w:rsidR="00AA3F4F" w:rsidRPr="005203C8">
        <w:t>estimat</w:t>
      </w:r>
      <w:r w:rsidR="00AA3F4F">
        <w:t>e</w:t>
      </w:r>
      <w:r w:rsidR="00AA3F4F" w:rsidRPr="005203C8">
        <w:t xml:space="preserve"> </w:t>
      </w:r>
      <w:r w:rsidRPr="005203C8">
        <w:t>of value</w:t>
      </w:r>
      <w:r w:rsidR="00FB66CB">
        <w:t xml:space="preserve">.  They </w:t>
      </w:r>
      <w:r w:rsidR="00E71645">
        <w:t xml:space="preserve">are </w:t>
      </w:r>
      <w:r w:rsidR="00E71645" w:rsidRPr="005203C8">
        <w:t>discussed</w:t>
      </w:r>
      <w:r w:rsidRPr="005203C8">
        <w:t xml:space="preserve"> in further detail herein.</w:t>
      </w:r>
      <w:r>
        <w:t xml:space="preserve">  </w:t>
      </w:r>
      <w:r w:rsidRPr="006C6043">
        <w:t xml:space="preserve">In addition, there </w:t>
      </w:r>
      <w:r>
        <w:t>is</w:t>
      </w:r>
      <w:r w:rsidRPr="006C6043">
        <w:t xml:space="preserve"> </w:t>
      </w:r>
      <w:r w:rsidR="00AA3F4F">
        <w:t xml:space="preserve">the Hybrid Approach (“Hybrid Approach”), </w:t>
      </w:r>
      <w:r>
        <w:t xml:space="preserve">a </w:t>
      </w:r>
      <w:r w:rsidRPr="006C6043">
        <w:t>methodolog</w:t>
      </w:r>
      <w:r>
        <w:t>y</w:t>
      </w:r>
      <w:r w:rsidRPr="006C6043">
        <w:t xml:space="preserve"> that combine</w:t>
      </w:r>
      <w:r>
        <w:t>s</w:t>
      </w:r>
      <w:r w:rsidRPr="006C6043">
        <w:t xml:space="preserve"> </w:t>
      </w:r>
      <w:r>
        <w:t xml:space="preserve">two or </w:t>
      </w:r>
      <w:r w:rsidR="00AA3F4F">
        <w:t xml:space="preserve">more of these </w:t>
      </w:r>
      <w:r>
        <w:t>approaches</w:t>
      </w:r>
      <w:r w:rsidRPr="006C6043">
        <w:t>.</w:t>
      </w:r>
      <w:r>
        <w:t xml:space="preserve">  </w:t>
      </w:r>
    </w:p>
    <w:p w14:paraId="781B1FF5" w14:textId="77777777" w:rsidR="00573796" w:rsidRPr="00565DEF" w:rsidRDefault="00573796" w:rsidP="00573796">
      <w:pPr>
        <w:rPr>
          <w:rFonts w:ascii="Georgia" w:hAnsi="Georgia"/>
        </w:rPr>
      </w:pPr>
    </w:p>
    <w:p w14:paraId="43A602D3" w14:textId="77777777" w:rsidR="00573796" w:rsidRPr="00DD639C" w:rsidRDefault="00573796" w:rsidP="00DE5618">
      <w:pPr>
        <w:pStyle w:val="RNAHeadline3"/>
        <w:keepLines w:val="0"/>
        <w:widowControl/>
        <w:spacing w:line="300" w:lineRule="exact"/>
        <w:jc w:val="both"/>
      </w:pPr>
      <w:bookmarkStart w:id="39" w:name="_Toc378109667"/>
      <w:r w:rsidRPr="00CF0B60">
        <w:t>Cost Approach</w:t>
      </w:r>
      <w:bookmarkEnd w:id="39"/>
    </w:p>
    <w:p w14:paraId="52C72634" w14:textId="698136A4" w:rsidR="00573796" w:rsidRDefault="00573796" w:rsidP="00DE5618">
      <w:pPr>
        <w:pStyle w:val="RNABodyCopy"/>
        <w:keepNext/>
      </w:pPr>
      <w:r>
        <w:t>T</w:t>
      </w:r>
      <w:r w:rsidRPr="005203C8">
        <w:t xml:space="preserve">he Cost Approach relies upon separately valuing each </w:t>
      </w:r>
      <w:r>
        <w:t>sub-</w:t>
      </w:r>
      <w:r w:rsidRPr="005203C8">
        <w:t xml:space="preserve">component of the </w:t>
      </w:r>
      <w:r>
        <w:t>company</w:t>
      </w:r>
      <w:r w:rsidRPr="005203C8">
        <w:t xml:space="preserve"> being valued</w:t>
      </w:r>
      <w:r>
        <w:t xml:space="preserve">.  </w:t>
      </w:r>
      <w:r w:rsidRPr="005203C8">
        <w:t>The discrete valuation of an asset using this approach is based upon the concept of replication or replacement as an indicator of value</w:t>
      </w:r>
      <w:r>
        <w:t xml:space="preserve">.  </w:t>
      </w:r>
      <w:proofErr w:type="gramStart"/>
      <w:r w:rsidRPr="006C6043">
        <w:t>In essence, this</w:t>
      </w:r>
      <w:proofErr w:type="gramEnd"/>
      <w:r w:rsidRPr="006C6043">
        <w:t xml:space="preserve"> </w:t>
      </w:r>
      <w:r w:rsidR="00AE39CE">
        <w:t>method</w:t>
      </w:r>
      <w:r w:rsidR="00AE39CE" w:rsidRPr="006C6043">
        <w:t xml:space="preserve"> </w:t>
      </w:r>
      <w:r w:rsidRPr="006C6043">
        <w:t>answers the build approach when looking at a “buy versu</w:t>
      </w:r>
      <w:r>
        <w:t xml:space="preserve">s build” approach to investment.  </w:t>
      </w:r>
    </w:p>
    <w:p w14:paraId="3D1172A8" w14:textId="77777777" w:rsidR="00573796" w:rsidRDefault="00573796" w:rsidP="000C2435">
      <w:pPr>
        <w:pStyle w:val="RNABodyCopy"/>
      </w:pPr>
    </w:p>
    <w:p w14:paraId="616861BC" w14:textId="18589F0A" w:rsidR="00573796" w:rsidRPr="00193490" w:rsidRDefault="00573796" w:rsidP="000C2435">
      <w:pPr>
        <w:pStyle w:val="RNABodyCopy"/>
      </w:pPr>
      <w:r>
        <w:t xml:space="preserve">In the case of most IP-centric technologies with explicit patent protection and substantive and broad blocking rights to competitive entrants, the Cost Approach is not a reasonable proxy for value.  By the time most products are commercial, the cost to recreate the existing asset is prohibitive in these circumstances given </w:t>
      </w:r>
      <w:r w:rsidR="00AE39CE">
        <w:t xml:space="preserve">the </w:t>
      </w:r>
      <w:r w:rsidR="00AA3F4F">
        <w:t xml:space="preserve">demanding </w:t>
      </w:r>
      <w:r>
        <w:t>regulatory requirements.  Further</w:t>
      </w:r>
      <w:r w:rsidR="00AA3F4F">
        <w:t>more</w:t>
      </w:r>
      <w:r>
        <w:t>, these costs should be considered sunk costs and, as such, other approaches to value should be considered.</w:t>
      </w:r>
      <w:r w:rsidR="004530A6">
        <w:t xml:space="preserve"> </w:t>
      </w:r>
      <w:r>
        <w:t xml:space="preserve"> </w:t>
      </w:r>
    </w:p>
    <w:p w14:paraId="7C7A46CE" w14:textId="77777777" w:rsidR="00573796" w:rsidRPr="00565DEF" w:rsidRDefault="00573796" w:rsidP="00573796">
      <w:pPr>
        <w:rPr>
          <w:rFonts w:ascii="Georgia" w:hAnsi="Georgia"/>
        </w:rPr>
      </w:pPr>
    </w:p>
    <w:p w14:paraId="79FB410C" w14:textId="77777777" w:rsidR="00573796" w:rsidRPr="00893C63" w:rsidRDefault="00573796" w:rsidP="00DE5618">
      <w:pPr>
        <w:pStyle w:val="RNAHeadline3"/>
        <w:keepLines w:val="0"/>
        <w:widowControl/>
        <w:spacing w:line="300" w:lineRule="exact"/>
        <w:jc w:val="both"/>
      </w:pPr>
      <w:bookmarkStart w:id="40" w:name="_Toc378109668"/>
      <w:r w:rsidRPr="00893C63">
        <w:t>Income Approach</w:t>
      </w:r>
      <w:bookmarkEnd w:id="40"/>
    </w:p>
    <w:p w14:paraId="36FB5F13" w14:textId="6A00A39A" w:rsidR="00573796" w:rsidRPr="00193490" w:rsidRDefault="00573796" w:rsidP="00DE5618">
      <w:pPr>
        <w:pStyle w:val="RNABodyCopy"/>
        <w:keepNext/>
      </w:pPr>
      <w:r>
        <w:t>T</w:t>
      </w:r>
      <w:r w:rsidRPr="005203C8">
        <w:t xml:space="preserve">he Income Approach is based on the earnings </w:t>
      </w:r>
      <w:r w:rsidRPr="00951B5C">
        <w:rPr>
          <w:noProof/>
        </w:rPr>
        <w:t>power,</w:t>
      </w:r>
      <w:r w:rsidRPr="005203C8">
        <w:t xml:space="preserve"> or </w:t>
      </w:r>
      <w:r w:rsidR="00AE39CE">
        <w:t xml:space="preserve">the </w:t>
      </w:r>
      <w:r w:rsidRPr="00892140">
        <w:rPr>
          <w:noProof/>
        </w:rPr>
        <w:t>cash</w:t>
      </w:r>
      <w:r w:rsidR="00CB584E">
        <w:rPr>
          <w:noProof/>
        </w:rPr>
        <w:t>-</w:t>
      </w:r>
      <w:r w:rsidRPr="00892140">
        <w:rPr>
          <w:noProof/>
        </w:rPr>
        <w:t>generating</w:t>
      </w:r>
      <w:r w:rsidRPr="005203C8">
        <w:t xml:space="preserve"> abilities of the </w:t>
      </w:r>
      <w:r>
        <w:t>company</w:t>
      </w:r>
      <w:r w:rsidRPr="005203C8">
        <w:t xml:space="preserve"> being valued</w:t>
      </w:r>
      <w:r>
        <w:t xml:space="preserve">.  </w:t>
      </w:r>
      <w:r w:rsidRPr="005203C8">
        <w:t xml:space="preserve">This approach focuses on determining a forecast benefit stream that is reflective of the subject </w:t>
      </w:r>
      <w:r>
        <w:t>company</w:t>
      </w:r>
      <w:r w:rsidRPr="005203C8">
        <w:t>’s most likely future performance</w:t>
      </w:r>
      <w:r>
        <w:t xml:space="preserve">.  </w:t>
      </w:r>
      <w:r w:rsidR="00AA3F4F">
        <w:t>The</w:t>
      </w:r>
      <w:r w:rsidR="00AA3F4F" w:rsidRPr="005203C8">
        <w:t xml:space="preserve"> </w:t>
      </w:r>
      <w:r w:rsidRPr="005203C8">
        <w:t>forecast benefit stream is then discounted to present value based on the appropriate risk</w:t>
      </w:r>
      <w:r w:rsidRPr="005203C8">
        <w:rPr>
          <w:rFonts w:ascii="Cambria Math" w:hAnsi="Cambria Math"/>
        </w:rPr>
        <w:t>‐</w:t>
      </w:r>
      <w:r w:rsidRPr="005203C8">
        <w:t>adjusted discount rate or capitalization rate</w:t>
      </w:r>
      <w:r>
        <w:t xml:space="preserve">.  </w:t>
      </w:r>
      <w:r w:rsidRPr="005203C8">
        <w:t>The DCF is a commonly used Income Approach.</w:t>
      </w:r>
      <w:r>
        <w:t xml:space="preserve">  </w:t>
      </w:r>
      <w:r w:rsidRPr="00C9337B">
        <w:t>In addition, in the life sciences, if clinical or regulatory risks remain, a</w:t>
      </w:r>
      <w:r w:rsidR="00077E58">
        <w:t>n</w:t>
      </w:r>
      <w:r w:rsidRPr="00C9337B">
        <w:t xml:space="preserve"> </w:t>
      </w:r>
      <w:proofErr w:type="spellStart"/>
      <w:r w:rsidRPr="00C9337B">
        <w:t>rNPV</w:t>
      </w:r>
      <w:proofErr w:type="spellEnd"/>
      <w:r w:rsidRPr="00C9337B">
        <w:t xml:space="preserve"> is also common.</w:t>
      </w:r>
      <w:r>
        <w:t xml:space="preserve">  </w:t>
      </w:r>
      <w:r w:rsidRPr="00C9337B">
        <w:t>For IP-centric rights interests, with reasonable patent protection and expectations for a significant decrease in market share upon patent expiration, the Income Approach is generally the favored approach by industry professionals.</w:t>
      </w:r>
      <w:r>
        <w:t xml:space="preserve">  </w:t>
      </w:r>
    </w:p>
    <w:p w14:paraId="647B1D2A" w14:textId="77777777" w:rsidR="00573796" w:rsidRPr="005203C8" w:rsidRDefault="00573796" w:rsidP="000C2435">
      <w:pPr>
        <w:pStyle w:val="RNABodyCopy"/>
      </w:pPr>
    </w:p>
    <w:p w14:paraId="621AB61D" w14:textId="77777777" w:rsidR="00573796" w:rsidRPr="00893C63" w:rsidRDefault="00573796" w:rsidP="00DE5618">
      <w:pPr>
        <w:pStyle w:val="RNAHeadline3"/>
        <w:keepLines w:val="0"/>
        <w:widowControl/>
        <w:spacing w:line="300" w:lineRule="exact"/>
        <w:jc w:val="both"/>
      </w:pPr>
      <w:bookmarkStart w:id="41" w:name="_Toc378109669"/>
      <w:r w:rsidRPr="00893C63">
        <w:t>Market Approach</w:t>
      </w:r>
      <w:bookmarkEnd w:id="41"/>
    </w:p>
    <w:p w14:paraId="35C958EB" w14:textId="77777777" w:rsidR="00573796" w:rsidRPr="005203C8" w:rsidRDefault="00573796" w:rsidP="00DE5618">
      <w:pPr>
        <w:pStyle w:val="RNABodyCopy"/>
        <w:keepNext/>
      </w:pPr>
      <w:r w:rsidRPr="005203C8">
        <w:t>In summary, the Market Approach references actual transactions involving (</w:t>
      </w:r>
      <w:proofErr w:type="spellStart"/>
      <w:r w:rsidRPr="005203C8">
        <w:t>i</w:t>
      </w:r>
      <w:proofErr w:type="spellEnd"/>
      <w:r w:rsidRPr="005203C8">
        <w:t>) the subject being valued, or (ii) similar assets and/or enterprises</w:t>
      </w:r>
      <w:r>
        <w:t xml:space="preserve">.  </w:t>
      </w:r>
      <w:r w:rsidRPr="005203C8">
        <w:t>The Market Approach generally consists of two primary methodologies: the Guideline Comparables Method (“GCM”) and the Guideline Transaction Method (“GTM”)</w:t>
      </w:r>
      <w:r>
        <w:t xml:space="preserve">.  </w:t>
      </w:r>
      <w:r w:rsidRPr="005203C8">
        <w:t>The GCM involves identifying and selecting publicly traded companies</w:t>
      </w:r>
      <w:r>
        <w:t xml:space="preserve"> or guideline public companies (“Guideline Public Companies”) </w:t>
      </w:r>
      <w:r w:rsidRPr="005203C8">
        <w:t xml:space="preserve">with financial and operating characteristics </w:t>
      </w:r>
      <w:proofErr w:type="gramStart"/>
      <w:r w:rsidRPr="005203C8">
        <w:t>similar to</w:t>
      </w:r>
      <w:proofErr w:type="gramEnd"/>
      <w:r w:rsidRPr="005203C8">
        <w:t xml:space="preserve"> the subject being </w:t>
      </w:r>
      <w:r w:rsidRPr="006D4203">
        <w:rPr>
          <w:noProof/>
        </w:rPr>
        <w:t>valued,</w:t>
      </w:r>
      <w:r w:rsidRPr="005203C8">
        <w:t xml:space="preserve"> and subsequently deriving multiples and other metrics from such </w:t>
      </w:r>
      <w:r>
        <w:t>Guideline P</w:t>
      </w:r>
      <w:r w:rsidRPr="005203C8">
        <w:t xml:space="preserve">ublic </w:t>
      </w:r>
      <w:r>
        <w:t>C</w:t>
      </w:r>
      <w:r w:rsidRPr="005203C8">
        <w:t>ompanies to apply to the subject being valued</w:t>
      </w:r>
      <w:r>
        <w:t xml:space="preserve">.  </w:t>
      </w:r>
      <w:r w:rsidRPr="005203C8">
        <w:t xml:space="preserve">The GTM involves identifying and selecting actual transactions, such as mergers, acquisitions, investments, and licensing agreements, involving companies and/or assets with financial and operating characteristics </w:t>
      </w:r>
      <w:proofErr w:type="gramStart"/>
      <w:r w:rsidRPr="005203C8">
        <w:t>similar to</w:t>
      </w:r>
      <w:proofErr w:type="gramEnd"/>
      <w:r w:rsidRPr="005203C8">
        <w:t xml:space="preserve"> the subject being valued, and subsequently deriving multiples and other metrics from such </w:t>
      </w:r>
      <w:r>
        <w:t xml:space="preserve">guideline </w:t>
      </w:r>
      <w:r w:rsidRPr="005203C8">
        <w:t>transactions</w:t>
      </w:r>
      <w:r>
        <w:t xml:space="preserve"> </w:t>
      </w:r>
      <w:r w:rsidRPr="0037051E">
        <w:t>(“Guideline Transactions”)</w:t>
      </w:r>
      <w:r w:rsidRPr="005203C8">
        <w:t xml:space="preserve"> to apply to the subject being valued.</w:t>
      </w:r>
      <w:r>
        <w:t xml:space="preserve">  </w:t>
      </w:r>
    </w:p>
    <w:p w14:paraId="0864F5CF" w14:textId="77777777" w:rsidR="00573796" w:rsidRPr="005203C8" w:rsidRDefault="00573796" w:rsidP="000C2435">
      <w:pPr>
        <w:pStyle w:val="RNABodyCopy"/>
      </w:pPr>
    </w:p>
    <w:p w14:paraId="2436AFC9" w14:textId="081EE522" w:rsidR="00573796" w:rsidRDefault="00573796" w:rsidP="000C2435">
      <w:pPr>
        <w:pStyle w:val="RNABodyCopy"/>
      </w:pPr>
      <w:r w:rsidRPr="005203C8">
        <w:t xml:space="preserve">The third method under the Market Approach that can provide an indication of value is the </w:t>
      </w:r>
      <w:r>
        <w:t>O</w:t>
      </w:r>
      <w:r w:rsidR="00077E58">
        <w:t xml:space="preserve">ption </w:t>
      </w:r>
      <w:r>
        <w:t>P</w:t>
      </w:r>
      <w:r w:rsidR="00077E58">
        <w:t xml:space="preserve">ricing </w:t>
      </w:r>
      <w:r>
        <w:t>M</w:t>
      </w:r>
      <w:r w:rsidR="00077E58">
        <w:t>odel</w:t>
      </w:r>
      <w:r>
        <w:t xml:space="preserve"> Backsolve Method (the “</w:t>
      </w:r>
      <w:r w:rsidRPr="005203C8">
        <w:t>OPM Backsolve Method</w:t>
      </w:r>
      <w:r>
        <w:t xml:space="preserve">”).  </w:t>
      </w:r>
      <w:r w:rsidRPr="005203C8">
        <w:t xml:space="preserve">By considering the sale price of shares in </w:t>
      </w:r>
      <w:r w:rsidRPr="006D4203">
        <w:rPr>
          <w:noProof/>
        </w:rPr>
        <w:t>a recent</w:t>
      </w:r>
      <w:r w:rsidRPr="005203C8">
        <w:t xml:space="preserve"> financing, the equity value can be “back-solved” using an option pricing model that </w:t>
      </w:r>
      <w:proofErr w:type="gramStart"/>
      <w:r w:rsidRPr="005203C8">
        <w:t>gives consideration to</w:t>
      </w:r>
      <w:proofErr w:type="gramEnd"/>
      <w:r w:rsidRPr="005203C8">
        <w:t xml:space="preserve"> the Company’s capitalization structure and </w:t>
      </w:r>
      <w:r w:rsidR="00077E58">
        <w:t xml:space="preserve">the </w:t>
      </w:r>
      <w:r w:rsidRPr="005203C8">
        <w:t>rights of the preferred and common shareholders</w:t>
      </w:r>
      <w:r>
        <w:t xml:space="preserve">.  </w:t>
      </w:r>
      <w:r w:rsidRPr="005203C8">
        <w:t>This methodology is most applicable when a valuation is conducted close to the date of a financing transaction, and when other methodologies are deemed less reliable.</w:t>
      </w:r>
      <w:r>
        <w:t xml:space="preserve">  </w:t>
      </w:r>
    </w:p>
    <w:p w14:paraId="61028497" w14:textId="77777777" w:rsidR="00573796" w:rsidRDefault="00573796" w:rsidP="000C2435">
      <w:pPr>
        <w:pStyle w:val="RNABodyCopy"/>
      </w:pPr>
    </w:p>
    <w:p w14:paraId="38A57524" w14:textId="77777777" w:rsidR="00573796" w:rsidRPr="00893C63" w:rsidRDefault="00573796" w:rsidP="00DE5618">
      <w:pPr>
        <w:pStyle w:val="RNAHeadline3"/>
        <w:keepLines w:val="0"/>
        <w:widowControl/>
        <w:spacing w:line="300" w:lineRule="exact"/>
        <w:jc w:val="both"/>
      </w:pPr>
      <w:r>
        <w:t>Hybrid</w:t>
      </w:r>
      <w:r w:rsidRPr="00893C63">
        <w:t xml:space="preserve"> Approach</w:t>
      </w:r>
    </w:p>
    <w:p w14:paraId="3E8BA937" w14:textId="3395FE86" w:rsidR="00573796" w:rsidRPr="005203C8" w:rsidRDefault="00573796" w:rsidP="00DE5618">
      <w:pPr>
        <w:pStyle w:val="RNABodyCopy"/>
        <w:keepNext/>
      </w:pPr>
      <w:r w:rsidRPr="00C9337B">
        <w:t xml:space="preserve">A Hybrid Approach combines two or more of the approaches above.  </w:t>
      </w:r>
      <w:r w:rsidR="005A0D8A" w:rsidRPr="00C9337B">
        <w:t>Typically,</w:t>
      </w:r>
      <w:r w:rsidRPr="00C9337B">
        <w:t xml:space="preserve"> this involves some combination of an Income Approach with a Market Approach.  For example, a licensing transaction</w:t>
      </w:r>
      <w:r w:rsidR="00077E58">
        <w:t>,</w:t>
      </w:r>
      <w:r w:rsidRPr="00C9337B">
        <w:t xml:space="preserve"> which has definitive upfront payments, milestones </w:t>
      </w:r>
      <w:r w:rsidRPr="006D4203">
        <w:rPr>
          <w:noProof/>
        </w:rPr>
        <w:t>and</w:t>
      </w:r>
      <w:r w:rsidRPr="00C9337B">
        <w:t xml:space="preserve"> royalties</w:t>
      </w:r>
      <w:r w:rsidR="00077E58">
        <w:t>,</w:t>
      </w:r>
      <w:r w:rsidRPr="00C9337B">
        <w:t xml:space="preserve"> can be viewed as an Income Approach</w:t>
      </w:r>
      <w:r w:rsidR="00AE39CE">
        <w:t xml:space="preserve">; </w:t>
      </w:r>
      <w:r w:rsidR="005A0D8A">
        <w:t>h</w:t>
      </w:r>
      <w:r w:rsidR="005A0D8A" w:rsidRPr="00C9337B">
        <w:t>owever,</w:t>
      </w:r>
      <w:r w:rsidRPr="00C9337B">
        <w:t xml:space="preserve"> the determination of reasonable consideration across the three major </w:t>
      </w:r>
      <w:r>
        <w:t>approaches</w:t>
      </w:r>
      <w:r w:rsidRPr="00C9337B">
        <w:t xml:space="preserve"> can be based on comparable license arrangements for similar assets</w:t>
      </w:r>
      <w:r>
        <w:t xml:space="preserve"> which can be viewed as a Market Approach.  </w:t>
      </w:r>
    </w:p>
    <w:p w14:paraId="0EE7733B" w14:textId="77777777" w:rsidR="00573796" w:rsidRPr="00CD5BC7" w:rsidRDefault="00573796" w:rsidP="000C2435">
      <w:pPr>
        <w:pStyle w:val="RNABodyCopy"/>
      </w:pPr>
    </w:p>
    <w:p w14:paraId="603C6683" w14:textId="70F2AB11" w:rsidR="00573796" w:rsidRPr="00565DEF" w:rsidRDefault="00573796" w:rsidP="00B14CCF">
      <w:pPr>
        <w:pStyle w:val="RNAHeadlineB"/>
        <w:outlineLvl w:val="1"/>
        <w:rPr>
          <w:rFonts w:ascii="Georgia" w:hAnsi="Georgia"/>
        </w:rPr>
      </w:pPr>
      <w:bookmarkStart w:id="42" w:name="_Toc378109670"/>
      <w:bookmarkStart w:id="43" w:name="_Toc432004250"/>
      <w:bookmarkStart w:id="44" w:name="_Toc2188949"/>
      <w:r w:rsidRPr="00565DEF">
        <w:rPr>
          <w:rFonts w:ascii="Georgia" w:hAnsi="Georgia"/>
        </w:rPr>
        <w:t>Allocation Methodology Theory</w:t>
      </w:r>
      <w:bookmarkEnd w:id="42"/>
      <w:bookmarkEnd w:id="43"/>
      <w:bookmarkEnd w:id="44"/>
    </w:p>
    <w:p w14:paraId="0835A5C1" w14:textId="77777777" w:rsidR="00573796" w:rsidRPr="005203C8" w:rsidRDefault="00573796" w:rsidP="00DE5618">
      <w:pPr>
        <w:pStyle w:val="RNABodyCopy"/>
        <w:keepNext/>
      </w:pPr>
      <w:r w:rsidRPr="005203C8">
        <w:t xml:space="preserve">In summary, there are four generally accepted allocation methodologies available when determining the value of various classes of </w:t>
      </w:r>
      <w:r w:rsidRPr="004530A6">
        <w:t>securities</w:t>
      </w:r>
      <w:r w:rsidRPr="005203C8">
        <w:t xml:space="preserve"> underlying a company’s capital structure:</w:t>
      </w:r>
    </w:p>
    <w:p w14:paraId="0D24A1C0" w14:textId="77777777" w:rsidR="00573796" w:rsidRPr="00193490" w:rsidRDefault="00573796" w:rsidP="000C2435">
      <w:pPr>
        <w:pStyle w:val="RNABodyCopy"/>
      </w:pPr>
    </w:p>
    <w:p w14:paraId="515E04E9" w14:textId="77777777" w:rsidR="00573796" w:rsidRPr="005203C8" w:rsidRDefault="00573796" w:rsidP="00C744AA">
      <w:pPr>
        <w:pStyle w:val="RNABodyCopy-Numbered"/>
        <w:numPr>
          <w:ilvl w:val="0"/>
          <w:numId w:val="63"/>
        </w:numPr>
        <w:ind w:left="1080" w:hanging="720"/>
      </w:pPr>
      <w:r w:rsidRPr="005203C8">
        <w:t xml:space="preserve">Current Value Method; </w:t>
      </w:r>
    </w:p>
    <w:p w14:paraId="1EEF4766" w14:textId="77777777" w:rsidR="00573796" w:rsidRPr="005203C8" w:rsidRDefault="00573796" w:rsidP="00C744AA">
      <w:pPr>
        <w:pStyle w:val="RNABodyCopy-Numbered"/>
      </w:pPr>
      <w:r w:rsidRPr="005203C8">
        <w:t>Option Pricing Method;</w:t>
      </w:r>
      <w:r>
        <w:t xml:space="preserve"> </w:t>
      </w:r>
    </w:p>
    <w:p w14:paraId="5C92C4FB" w14:textId="77777777" w:rsidR="00573796" w:rsidRPr="005203C8" w:rsidRDefault="00573796" w:rsidP="00C744AA">
      <w:pPr>
        <w:pStyle w:val="RNABodyCopy-Numbered"/>
      </w:pPr>
      <w:r w:rsidRPr="005203C8">
        <w:t>Probability-Weighted Expected Return Method; and</w:t>
      </w:r>
    </w:p>
    <w:p w14:paraId="059BC27B" w14:textId="77777777" w:rsidR="00573796" w:rsidRPr="005203C8" w:rsidRDefault="00573796" w:rsidP="00C744AA">
      <w:pPr>
        <w:pStyle w:val="RNABodyCopy-Numbered"/>
      </w:pPr>
      <w:r w:rsidRPr="005203C8">
        <w:t>Hybrid Method.</w:t>
      </w:r>
      <w:r>
        <w:t xml:space="preserve">  </w:t>
      </w:r>
    </w:p>
    <w:p w14:paraId="43808E5F" w14:textId="77777777" w:rsidR="00573796" w:rsidRPr="005203C8" w:rsidRDefault="00573796" w:rsidP="000C2435">
      <w:pPr>
        <w:pStyle w:val="RNABodyCopy"/>
      </w:pPr>
    </w:p>
    <w:p w14:paraId="35E2BA5D" w14:textId="464DE34D" w:rsidR="00573796" w:rsidRPr="005203C8" w:rsidRDefault="00573796" w:rsidP="000C2435">
      <w:pPr>
        <w:pStyle w:val="RNABodyCopy"/>
      </w:pPr>
      <w:r w:rsidRPr="005203C8">
        <w:t>Within each category, a variety of methodologies exist</w:t>
      </w:r>
      <w:r w:rsidR="00AE41E8">
        <w:t>s</w:t>
      </w:r>
      <w:r w:rsidRPr="005203C8">
        <w:t xml:space="preserve"> to assist in the estimation of value, as discussed in further detail herein.</w:t>
      </w:r>
      <w:r>
        <w:t xml:space="preserve">  </w:t>
      </w:r>
    </w:p>
    <w:p w14:paraId="5614522F" w14:textId="77777777" w:rsidR="00573796" w:rsidRPr="00720E7C" w:rsidRDefault="00573796" w:rsidP="00565DEF">
      <w:pPr>
        <w:pStyle w:val="RNABodyCopy"/>
      </w:pPr>
    </w:p>
    <w:p w14:paraId="64A1AB17" w14:textId="77777777" w:rsidR="00573796" w:rsidRPr="00893C63" w:rsidRDefault="00573796" w:rsidP="000C2435">
      <w:pPr>
        <w:pStyle w:val="RNAHeadline3"/>
      </w:pPr>
      <w:bookmarkStart w:id="45" w:name="_Toc378109671"/>
      <w:r w:rsidRPr="00893C63">
        <w:t>Current Value Method</w:t>
      </w:r>
      <w:bookmarkEnd w:id="45"/>
      <w:r w:rsidRPr="00893C63">
        <w:t xml:space="preserve"> (“CVM”)</w:t>
      </w:r>
    </w:p>
    <w:p w14:paraId="292D7F47" w14:textId="30A32CE1" w:rsidR="00573796" w:rsidRPr="005203C8" w:rsidRDefault="00573796" w:rsidP="000C2435">
      <w:pPr>
        <w:pStyle w:val="RNABodyCopy"/>
      </w:pPr>
      <w:r w:rsidRPr="005203C8">
        <w:t xml:space="preserve">The CVM is based on an allocation theory that shareholders with senior stock rights would attempt to maximize the value of their holdings based solely on the senior interest’s underlying liquidation preference, participation rights </w:t>
      </w:r>
      <w:r w:rsidRPr="006D4203">
        <w:rPr>
          <w:noProof/>
        </w:rPr>
        <w:t>and</w:t>
      </w:r>
      <w:r w:rsidRPr="005203C8">
        <w:t xml:space="preserve"> conversion rights, as well as an imminent liquidity event</w:t>
      </w:r>
      <w:r>
        <w:t xml:space="preserve">.  </w:t>
      </w:r>
      <w:proofErr w:type="gramStart"/>
      <w:r w:rsidRPr="00C9337B">
        <w:t>In essence</w:t>
      </w:r>
      <w:r w:rsidR="00C9694A">
        <w:t>,</w:t>
      </w:r>
      <w:r w:rsidRPr="00C9337B">
        <w:t xml:space="preserve"> this</w:t>
      </w:r>
      <w:proofErr w:type="gramEnd"/>
      <w:r w:rsidRPr="00C9337B">
        <w:t xml:space="preserve"> approach determines the value of the enterprise at the Valuation Date, distributes said value through the existing capital structure waterfall and then applies discounts or premiums as may be appropriate to the varying security classes.  It does not consider optionality or upside payoffs for those securities </w:t>
      </w:r>
      <w:r w:rsidR="00C225BF">
        <w:t>that</w:t>
      </w:r>
      <w:r w:rsidR="00C225BF" w:rsidRPr="00C9337B">
        <w:t xml:space="preserve"> </w:t>
      </w:r>
      <w:r w:rsidRPr="00C9337B">
        <w:t xml:space="preserve">may not receive value at the current valuation (e.g. value does not exceed preference) but may receive value if </w:t>
      </w:r>
      <w:r w:rsidRPr="006D4203">
        <w:rPr>
          <w:noProof/>
        </w:rPr>
        <w:t>value</w:t>
      </w:r>
      <w:r w:rsidRPr="00C9337B">
        <w:t xml:space="preserve"> increases over time (e.g. future value exceeds preference).</w:t>
      </w:r>
      <w:r>
        <w:t xml:space="preserve">  </w:t>
      </w:r>
    </w:p>
    <w:p w14:paraId="51788C2D" w14:textId="77777777" w:rsidR="00573796" w:rsidRPr="005203C8" w:rsidRDefault="00573796" w:rsidP="00573796">
      <w:pPr>
        <w:keepNext/>
        <w:keepLines/>
      </w:pPr>
    </w:p>
    <w:p w14:paraId="18A67BD5" w14:textId="77777777" w:rsidR="00573796" w:rsidRPr="00DE5618" w:rsidRDefault="00573796" w:rsidP="000503A9">
      <w:pPr>
        <w:pStyle w:val="RNAHeadlineD"/>
        <w:rPr>
          <w:b w:val="0"/>
        </w:rPr>
      </w:pPr>
      <w:r w:rsidRPr="00DE5618">
        <w:rPr>
          <w:b w:val="0"/>
        </w:rPr>
        <w:t xml:space="preserve">RNA noted that the CVM is appropriate under </w:t>
      </w:r>
      <w:r w:rsidRPr="006D4203">
        <w:rPr>
          <w:b w:val="0"/>
          <w:noProof/>
        </w:rPr>
        <w:t>following</w:t>
      </w:r>
      <w:r w:rsidRPr="00DE5618">
        <w:rPr>
          <w:b w:val="0"/>
        </w:rPr>
        <w:t xml:space="preserve"> circumstances:</w:t>
      </w:r>
    </w:p>
    <w:p w14:paraId="45E959EB" w14:textId="77777777" w:rsidR="00573796" w:rsidRPr="005203C8" w:rsidRDefault="00573796" w:rsidP="000503A9">
      <w:pPr>
        <w:pStyle w:val="RNABodyCopy"/>
      </w:pPr>
    </w:p>
    <w:p w14:paraId="242B6769" w14:textId="77777777" w:rsidR="00573796" w:rsidRPr="005203C8" w:rsidRDefault="00573796" w:rsidP="00724D57">
      <w:pPr>
        <w:pStyle w:val="RNABodyCopy"/>
        <w:numPr>
          <w:ilvl w:val="0"/>
          <w:numId w:val="23"/>
        </w:numPr>
        <w:ind w:left="1080" w:hanging="720"/>
      </w:pPr>
      <w:r w:rsidRPr="005203C8">
        <w:t>When an imminent liquidity event in the form of an acquisition or dissolution of the enterprise is assumed and/or the expectations about the future of the enterprise as a going concern are effectively immaterial; and</w:t>
      </w:r>
    </w:p>
    <w:p w14:paraId="302AF539" w14:textId="77777777" w:rsidR="00573796" w:rsidRPr="005203C8" w:rsidRDefault="00573796" w:rsidP="00724D57">
      <w:pPr>
        <w:pStyle w:val="RNABodyCopy"/>
        <w:numPr>
          <w:ilvl w:val="0"/>
          <w:numId w:val="23"/>
        </w:numPr>
        <w:ind w:left="1080" w:hanging="720"/>
      </w:pPr>
      <w:r w:rsidRPr="005203C8">
        <w:t>When the enterprise is assumed to be at such an early stage of its development that:</w:t>
      </w:r>
    </w:p>
    <w:p w14:paraId="7B0E4985" w14:textId="77777777" w:rsidR="00573796" w:rsidRPr="000503A9" w:rsidRDefault="00573796" w:rsidP="000503A9">
      <w:pPr>
        <w:pStyle w:val="RNABodyCopy-2ndABClist"/>
      </w:pPr>
      <w:r w:rsidRPr="000503A9">
        <w:t>No material progress has been made on its business plan;</w:t>
      </w:r>
    </w:p>
    <w:p w14:paraId="6E276DE6" w14:textId="77777777" w:rsidR="00573796" w:rsidRPr="000503A9" w:rsidRDefault="00573796" w:rsidP="000503A9">
      <w:pPr>
        <w:pStyle w:val="RNABodyCopy-2ndABClist"/>
      </w:pPr>
      <w:r w:rsidRPr="000503A9">
        <w:t>No significant equity value has been created above the liquidation preference of the preferred stock; and</w:t>
      </w:r>
    </w:p>
    <w:p w14:paraId="79AFF0AF" w14:textId="77777777" w:rsidR="00573796" w:rsidRPr="000503A9" w:rsidRDefault="00573796" w:rsidP="000503A9">
      <w:pPr>
        <w:pStyle w:val="RNABodyCopy-2ndABClist"/>
      </w:pPr>
      <w:r w:rsidRPr="000503A9">
        <w:t xml:space="preserve">There is no reasonable basis for estimating the timing and magnitude of any common equity value above the liquidation preference that might be created in the future.  </w:t>
      </w:r>
    </w:p>
    <w:p w14:paraId="6DB16B93" w14:textId="77777777" w:rsidR="00573796" w:rsidRPr="00720E7C" w:rsidRDefault="00573796" w:rsidP="00565DEF">
      <w:pPr>
        <w:pStyle w:val="RNABodyCopy"/>
      </w:pPr>
    </w:p>
    <w:p w14:paraId="4A78C5F0" w14:textId="77777777" w:rsidR="00573796" w:rsidRPr="00893C63" w:rsidRDefault="00573796" w:rsidP="00571D7E">
      <w:pPr>
        <w:pStyle w:val="RNAHeadline3"/>
      </w:pPr>
      <w:bookmarkStart w:id="46" w:name="_Toc378109672"/>
      <w:r w:rsidRPr="00893C63">
        <w:t>Option Pricing Method</w:t>
      </w:r>
      <w:bookmarkEnd w:id="46"/>
      <w:r w:rsidRPr="00893C63">
        <w:t xml:space="preserve"> (“OPM”)</w:t>
      </w:r>
    </w:p>
    <w:p w14:paraId="164E5272" w14:textId="77777777" w:rsidR="00573796" w:rsidRPr="005203C8" w:rsidRDefault="00573796" w:rsidP="00571D7E">
      <w:pPr>
        <w:pStyle w:val="RNABodyCopy"/>
      </w:pPr>
      <w:r w:rsidRPr="005203C8">
        <w:t>The OPM relies on financial option theory to allocate value among different classes of members’ equity based upon a future option “claim” on value</w:t>
      </w:r>
      <w:r>
        <w:t xml:space="preserve">.  </w:t>
      </w:r>
      <w:r w:rsidRPr="005203C8">
        <w:t>Under the OPM, the values of the various classes of stock are estimated as the net value of a series of call options, representing the present value of the expected future returns to the shareholders.</w:t>
      </w:r>
      <w:r>
        <w:t xml:space="preserve">  </w:t>
      </w:r>
    </w:p>
    <w:p w14:paraId="55BD931D" w14:textId="77777777" w:rsidR="00573796" w:rsidRPr="005203C8" w:rsidRDefault="00573796" w:rsidP="00571D7E">
      <w:pPr>
        <w:pStyle w:val="RNABodyCopy"/>
      </w:pPr>
    </w:p>
    <w:p w14:paraId="64C1A61C" w14:textId="77777777" w:rsidR="00573796" w:rsidRDefault="00573796" w:rsidP="00571D7E">
      <w:pPr>
        <w:pStyle w:val="RNABodyCopy"/>
      </w:pPr>
      <w:r w:rsidRPr="005203C8">
        <w:t>Essentially, the equity claims of a shareholder class are equivalent to a call option on the stock’s participation in the value of the subject company at or above the respective preferred shareholders’ liquidation preferences</w:t>
      </w:r>
      <w:r>
        <w:t xml:space="preserve">.  </w:t>
      </w:r>
      <w:r w:rsidRPr="005203C8">
        <w:t>Thus, an equity class can be valued by estimating the value of its share in each of these call option rights.</w:t>
      </w:r>
      <w:r>
        <w:t xml:space="preserve">  </w:t>
      </w:r>
    </w:p>
    <w:p w14:paraId="41ACF4A1" w14:textId="77777777" w:rsidR="009F617D" w:rsidRPr="005203C8" w:rsidRDefault="009F617D" w:rsidP="00571D7E">
      <w:pPr>
        <w:pStyle w:val="RNABodyCopy"/>
      </w:pPr>
    </w:p>
    <w:p w14:paraId="69742AA9" w14:textId="35913160" w:rsidR="00573796" w:rsidRPr="005203C8" w:rsidRDefault="00573796" w:rsidP="00571D7E">
      <w:pPr>
        <w:pStyle w:val="RNABodyCopy"/>
      </w:pPr>
      <w:r w:rsidRPr="005203C8">
        <w:t>The OPM involves estimating the value of the call options using the Black-Scholes option pricing model (“Black-Scholes”)</w:t>
      </w:r>
      <w:r w:rsidRPr="005203C8">
        <w:rPr>
          <w:vertAlign w:val="superscript"/>
        </w:rPr>
        <w:footnoteReference w:id="21"/>
      </w:r>
      <w:r w:rsidRPr="005203C8">
        <w:t xml:space="preserve"> </w:t>
      </w:r>
      <w:r>
        <w:t>a lattice model</w:t>
      </w:r>
      <w:r w:rsidRPr="005203C8">
        <w:t xml:space="preserve"> (“Lattice”)</w:t>
      </w:r>
      <w:r w:rsidRPr="005203C8">
        <w:rPr>
          <w:vertAlign w:val="superscript"/>
        </w:rPr>
        <w:footnoteReference w:id="22"/>
      </w:r>
      <w:r>
        <w:t xml:space="preserve"> or </w:t>
      </w:r>
      <w:r w:rsidR="00077E58">
        <w:t xml:space="preserve">a </w:t>
      </w:r>
      <w:r>
        <w:t>risk</w:t>
      </w:r>
      <w:r w:rsidR="00077E58">
        <w:t>-</w:t>
      </w:r>
      <w:r>
        <w:t>neutral Monte Carlo simulation</w:t>
      </w:r>
      <w:r w:rsidRPr="005203C8">
        <w:t xml:space="preserve"> at a series of exercise prices that coincide with the liquidation and conversion preferences of the holders of preferred and common shareholders</w:t>
      </w:r>
      <w:r>
        <w:t xml:space="preserve">.  </w:t>
      </w:r>
      <w:r w:rsidRPr="00B24B5E">
        <w:t>The Black</w:t>
      </w:r>
      <w:r w:rsidR="00BF178A">
        <w:t>-</w:t>
      </w:r>
      <w:r w:rsidRPr="00B24B5E">
        <w:t>Scholes model and most Lattice models assume that a company’s or an asset’s potential return distribution</w:t>
      </w:r>
      <w:r>
        <w:t xml:space="preserve"> </w:t>
      </w:r>
      <w:r w:rsidRPr="005203C8">
        <w:t xml:space="preserve">follow a log-normal </w:t>
      </w:r>
      <w:r>
        <w:t xml:space="preserve">path and that the period to period movement in price follow a geometric Brownian motion (meaning that prices fluctuate smoothly from period to period and do not essentially jump).  </w:t>
      </w:r>
      <w:r w:rsidRPr="00B24B5E">
        <w:t>Further</w:t>
      </w:r>
      <w:r w:rsidR="00077E58">
        <w:t>more</w:t>
      </w:r>
      <w:r w:rsidRPr="00B24B5E">
        <w:t xml:space="preserve">, </w:t>
      </w:r>
      <w:r w:rsidRPr="006D4203">
        <w:rPr>
          <w:noProof/>
        </w:rPr>
        <w:t>closed form</w:t>
      </w:r>
      <w:r w:rsidRPr="00B24B5E">
        <w:t xml:space="preserve"> models like Black-Scholes do not allow for certain types of liquidity events</w:t>
      </w:r>
      <w:r w:rsidR="00077E58">
        <w:t>,</w:t>
      </w:r>
      <w:r w:rsidRPr="00B24B5E">
        <w:t xml:space="preserve"> like structured sales</w:t>
      </w:r>
      <w:r w:rsidR="00077E58">
        <w:t>,</w:t>
      </w:r>
      <w:r w:rsidRPr="00B24B5E">
        <w:t xml:space="preserve"> which may have some contingent consideration component as part of the exit value.  Simulation techniques can capture the reality of most assets noting that companies and asset values usually “jump” on data, that returns can be bi-modal for development stage assets, and that a license or structured exit on the back-end can be simulated.  That said, simulation techniques can be costly to develop, can have limited transparency, and can be understood by a much smaller audience than the other techniques</w:t>
      </w:r>
      <w:r>
        <w:t xml:space="preserve">.  </w:t>
      </w:r>
    </w:p>
    <w:p w14:paraId="28957D06" w14:textId="77777777" w:rsidR="00573796" w:rsidRPr="005203C8" w:rsidRDefault="00573796" w:rsidP="00571D7E">
      <w:pPr>
        <w:pStyle w:val="RNABodyCopy"/>
      </w:pPr>
    </w:p>
    <w:p w14:paraId="09EA0AAD" w14:textId="78277731" w:rsidR="00573796" w:rsidRDefault="00573796" w:rsidP="00571D7E">
      <w:pPr>
        <w:pStyle w:val="RNABodyCopy"/>
      </w:pPr>
      <w:r w:rsidRPr="005203C8">
        <w:t>RNA also noted that the OPM m</w:t>
      </w:r>
      <w:r w:rsidR="00077E58">
        <w:t>ay</w:t>
      </w:r>
      <w:r w:rsidRPr="005203C8">
        <w:t xml:space="preserve"> be used to determine the e</w:t>
      </w:r>
      <w:r>
        <w:t>quity</w:t>
      </w:r>
      <w:r w:rsidRPr="005203C8">
        <w:t xml:space="preserve"> value of a </w:t>
      </w:r>
      <w:r>
        <w:t>company</w:t>
      </w:r>
      <w:r w:rsidRPr="005203C8">
        <w:t xml:space="preserve"> by using </w:t>
      </w:r>
      <w:r>
        <w:t>the</w:t>
      </w:r>
      <w:r w:rsidRPr="005203C8">
        <w:t xml:space="preserve"> </w:t>
      </w:r>
      <w:r>
        <w:t>OPM B</w:t>
      </w:r>
      <w:r w:rsidRPr="005203C8">
        <w:t xml:space="preserve">acksolve </w:t>
      </w:r>
      <w:r>
        <w:t>M</w:t>
      </w:r>
      <w:r w:rsidRPr="005203C8">
        <w:t>ethod</w:t>
      </w:r>
      <w:r>
        <w:t xml:space="preserve">.  </w:t>
      </w:r>
      <w:r w:rsidRPr="005203C8">
        <w:t xml:space="preserve">In an OPM framework, </w:t>
      </w:r>
      <w:r>
        <w:t>th</w:t>
      </w:r>
      <w:r w:rsidR="00AE39CE">
        <w:t xml:space="preserve">e </w:t>
      </w:r>
      <w:r w:rsidRPr="005203C8">
        <w:t>equity value</w:t>
      </w:r>
      <w:r w:rsidR="00AE39CE">
        <w:t xml:space="preserve"> is inferred from a</w:t>
      </w:r>
      <w:r w:rsidRPr="005203C8">
        <w:t xml:space="preserve"> recent financing transaction</w:t>
      </w:r>
      <w:r w:rsidR="00077E58">
        <w:t>.  It</w:t>
      </w:r>
      <w:r w:rsidRPr="005203C8">
        <w:t xml:space="preserve"> involves making assumptions for the time to liquidity, volatility, and risk-free rate and then solving for the value of equity such that value for the most recent financing equals the amount paid.</w:t>
      </w:r>
      <w:r>
        <w:t xml:space="preserve">  </w:t>
      </w:r>
    </w:p>
    <w:p w14:paraId="72A84ADD" w14:textId="77777777" w:rsidR="00573796" w:rsidRDefault="00573796" w:rsidP="00571D7E">
      <w:pPr>
        <w:pStyle w:val="RNABodyCopy"/>
      </w:pPr>
    </w:p>
    <w:p w14:paraId="3D4CED15" w14:textId="4A1F5152" w:rsidR="00573796" w:rsidRPr="005203C8" w:rsidRDefault="00573796" w:rsidP="00571D7E">
      <w:pPr>
        <w:pStyle w:val="RNABodyCopy"/>
      </w:pPr>
      <w:r w:rsidRPr="00E153D8">
        <w:t xml:space="preserve">In general, while simple in its application, especially for Black Scholes OPM techniques, RNA does not typically apply these approaches when considering allocation techniques for the valuation of equity interests in </w:t>
      </w:r>
      <w:r w:rsidRPr="006D4203">
        <w:rPr>
          <w:noProof/>
        </w:rPr>
        <w:t>early</w:t>
      </w:r>
      <w:r w:rsidRPr="00E153D8">
        <w:t xml:space="preserve"> stage, privately held life science companies.  </w:t>
      </w:r>
      <w:r w:rsidR="00AE39CE">
        <w:t>In doing so, w</w:t>
      </w:r>
      <w:r w:rsidRPr="00E153D8">
        <w:t xml:space="preserve">e </w:t>
      </w:r>
      <w:r w:rsidR="00AE39CE">
        <w:t xml:space="preserve">would </w:t>
      </w:r>
      <w:r w:rsidRPr="00E153D8">
        <w:t xml:space="preserve">violate the major assumptions of both the Black Scholes and </w:t>
      </w:r>
      <w:r w:rsidR="00AE39CE">
        <w:t xml:space="preserve">the </w:t>
      </w:r>
      <w:r w:rsidRPr="00E153D8">
        <w:t>Lattice approaches</w:t>
      </w:r>
      <w:r w:rsidR="00AE39CE">
        <w:t xml:space="preserve">. </w:t>
      </w:r>
      <w:r w:rsidRPr="00E153D8">
        <w:t xml:space="preserve"> </w:t>
      </w:r>
      <w:r w:rsidR="00077E58">
        <w:t>Additionally</w:t>
      </w:r>
      <w:r w:rsidRPr="00E153D8">
        <w:t>, the simulation approach can generally be reasonably approximated by a scenario</w:t>
      </w:r>
      <w:r w:rsidR="00077E58">
        <w:t>-</w:t>
      </w:r>
      <w:r w:rsidRPr="00E153D8">
        <w:t>based approach like the PWERM as described below.</w:t>
      </w:r>
      <w:r>
        <w:t xml:space="preserve">  </w:t>
      </w:r>
    </w:p>
    <w:p w14:paraId="4B300E94" w14:textId="77777777" w:rsidR="00573796" w:rsidRPr="00CD5BC7" w:rsidRDefault="00573796" w:rsidP="00573796"/>
    <w:p w14:paraId="0DAC1657" w14:textId="77777777" w:rsidR="00573796" w:rsidRPr="00893C63" w:rsidRDefault="00573796" w:rsidP="00DE5618">
      <w:pPr>
        <w:pStyle w:val="RNAHeadline3"/>
        <w:keepLines w:val="0"/>
        <w:widowControl/>
        <w:spacing w:line="300" w:lineRule="exact"/>
        <w:jc w:val="both"/>
      </w:pPr>
      <w:bookmarkStart w:id="47" w:name="_Toc378109673"/>
      <w:r w:rsidRPr="00893C63">
        <w:t>Probability-Weighted Expected Return Method</w:t>
      </w:r>
      <w:bookmarkEnd w:id="47"/>
      <w:r w:rsidRPr="00893C63">
        <w:t xml:space="preserve"> (“PWERM”)</w:t>
      </w:r>
    </w:p>
    <w:p w14:paraId="1DE1C187" w14:textId="77777777" w:rsidR="00573796" w:rsidRPr="005203C8" w:rsidRDefault="00573796" w:rsidP="00DE5618">
      <w:pPr>
        <w:pStyle w:val="RNABodyCopy"/>
        <w:keepNext/>
      </w:pPr>
      <w:r w:rsidRPr="005203C8">
        <w:t xml:space="preserve">Under the PWERM, the value of a company’s </w:t>
      </w:r>
      <w:proofErr w:type="gramStart"/>
      <w:r w:rsidRPr="005203C8">
        <w:t>particular equity</w:t>
      </w:r>
      <w:proofErr w:type="gramEnd"/>
      <w:r w:rsidRPr="005203C8">
        <w:t xml:space="preserve"> class is estimated based upon an analysis of future values for the entire enterprise assuming various future outcomes</w:t>
      </w:r>
      <w:r>
        <w:t xml:space="preserve">.  </w:t>
      </w:r>
      <w:r w:rsidRPr="005203C8">
        <w:t>Share value is based upon the probability-weighted present value of these expected outcomes, as well as the rights of each class of preferred and common stock.</w:t>
      </w:r>
      <w:r>
        <w:t xml:space="preserve">  </w:t>
      </w:r>
    </w:p>
    <w:p w14:paraId="78CA1B2D" w14:textId="77777777" w:rsidR="00573796" w:rsidRPr="005203C8" w:rsidRDefault="00573796" w:rsidP="00571D7E">
      <w:pPr>
        <w:pStyle w:val="RNABodyCopy"/>
      </w:pPr>
    </w:p>
    <w:p w14:paraId="7C8183F5" w14:textId="1F392FBE" w:rsidR="00573796" w:rsidRPr="005203C8" w:rsidRDefault="00573796" w:rsidP="00571D7E">
      <w:pPr>
        <w:pStyle w:val="RNABodyCopy"/>
      </w:pPr>
      <w:r w:rsidRPr="005203C8">
        <w:t>The PWERM is well suited for capturing potentially dramatic increases or decreases in value that may result from potential future events that are not log-normally distributed</w:t>
      </w:r>
      <w:r>
        <w:t xml:space="preserve"> </w:t>
      </w:r>
      <w:r w:rsidRPr="00B24B5E">
        <w:t>that have the potential for structured exits with contingent consideration</w:t>
      </w:r>
      <w:r w:rsidR="00077E58">
        <w:t xml:space="preserve">.  It can </w:t>
      </w:r>
      <w:proofErr w:type="gramStart"/>
      <w:r w:rsidR="00077E58">
        <w:t>take into account</w:t>
      </w:r>
      <w:proofErr w:type="gramEnd"/>
      <w:r w:rsidRPr="00B24B5E">
        <w:t xml:space="preserve"> elements that apply when considering real</w:t>
      </w:r>
      <w:r w:rsidR="00077E58">
        <w:t>-</w:t>
      </w:r>
      <w:r w:rsidRPr="00B24B5E">
        <w:t>world, risk</w:t>
      </w:r>
      <w:r w:rsidR="00077E58">
        <w:t>-</w:t>
      </w:r>
      <w:r w:rsidRPr="00B24B5E">
        <w:t xml:space="preserve">adjusted decision frameworks. </w:t>
      </w:r>
      <w:r>
        <w:t xml:space="preserve"> </w:t>
      </w:r>
      <w:r w:rsidRPr="00B24B5E">
        <w:t>Candidly, it is the framework most business development</w:t>
      </w:r>
      <w:r>
        <w:t xml:space="preserve">, </w:t>
      </w:r>
      <w:r w:rsidRPr="00B24B5E">
        <w:t xml:space="preserve">private equity </w:t>
      </w:r>
      <w:r w:rsidRPr="006D4203">
        <w:rPr>
          <w:noProof/>
        </w:rPr>
        <w:t>and</w:t>
      </w:r>
      <w:r w:rsidRPr="00B24B5E">
        <w:t xml:space="preserve"> other transactional professionals consider when thinking through the potential outcomes for an enterprise (i.e. a decision tree or a scenario analysis).  </w:t>
      </w:r>
      <w:r w:rsidRPr="005203C8">
        <w:t>We noted that the application of the PWERM is reasonable under circumstances where there is a broad range of possible future outcomes for the enterprise noting that the likelihood of such outcomes and the resulting valuation indications are not assumed to be log-normally distributed as under the OPM</w:t>
      </w:r>
      <w:r>
        <w:t xml:space="preserve">.  </w:t>
      </w:r>
      <w:r w:rsidRPr="005203C8">
        <w:t>RNA also noted that the PWERM m</w:t>
      </w:r>
      <w:r w:rsidR="00077E58">
        <w:t>ay</w:t>
      </w:r>
      <w:r w:rsidRPr="005203C8">
        <w:t xml:space="preserve"> be used to determine the enterprise value of a </w:t>
      </w:r>
      <w:r>
        <w:t>company</w:t>
      </w:r>
      <w:r w:rsidRPr="005203C8">
        <w:t xml:space="preserve"> given the contemplation of future values for the entire enterprise assuming various future outcomes</w:t>
      </w:r>
      <w:r>
        <w:t xml:space="preserve"> </w:t>
      </w:r>
      <w:r w:rsidRPr="00B24B5E">
        <w:t>in a back-solve type of methodology as is noted above for the OPM, albeit a bit more complex with many more inputs to balance</w:t>
      </w:r>
      <w:r w:rsidRPr="00E153D8">
        <w:t xml:space="preserve">. </w:t>
      </w:r>
      <w:r w:rsidRPr="00E82698">
        <w:rPr>
          <w:highlight w:val="yellow"/>
        </w:rPr>
        <w:t xml:space="preserve"> </w:t>
      </w:r>
      <w:r w:rsidRPr="00E153D8">
        <w:t xml:space="preserve">  </w:t>
      </w:r>
    </w:p>
    <w:p w14:paraId="770EB785" w14:textId="77777777" w:rsidR="00573796" w:rsidRPr="00893C63" w:rsidRDefault="00573796" w:rsidP="00627AC1">
      <w:pPr>
        <w:pStyle w:val="RNAHeadline3"/>
        <w:keepLines w:val="0"/>
        <w:widowControl/>
        <w:spacing w:line="300" w:lineRule="exact"/>
        <w:jc w:val="both"/>
      </w:pPr>
      <w:r w:rsidRPr="00893C63">
        <w:t>Hybrid Method</w:t>
      </w:r>
    </w:p>
    <w:p w14:paraId="0AA3572A" w14:textId="3B16FBDE" w:rsidR="00573796" w:rsidRPr="005203C8" w:rsidRDefault="00573796" w:rsidP="00DE5618">
      <w:pPr>
        <w:pStyle w:val="RNABodyCopy"/>
        <w:keepNext/>
      </w:pPr>
      <w:r w:rsidRPr="005203C8">
        <w:t xml:space="preserve">The Hybrid Method is a </w:t>
      </w:r>
      <w:r w:rsidR="00730291">
        <w:t>cross</w:t>
      </w:r>
      <w:r w:rsidR="00730291" w:rsidRPr="005203C8">
        <w:t xml:space="preserve"> </w:t>
      </w:r>
      <w:r w:rsidRPr="005203C8">
        <w:t>between the PWERM and OPM</w:t>
      </w:r>
      <w:r w:rsidR="00730291">
        <w:t>.</w:t>
      </w:r>
      <w:r w:rsidRPr="005203C8">
        <w:t xml:space="preserve"> </w:t>
      </w:r>
      <w:r w:rsidR="00730291">
        <w:t xml:space="preserve"> </w:t>
      </w:r>
      <w:r w:rsidR="00AE39CE">
        <w:t xml:space="preserve">It is performed by first </w:t>
      </w:r>
      <w:r w:rsidRPr="005203C8">
        <w:t>estimat</w:t>
      </w:r>
      <w:r w:rsidR="00AE39CE">
        <w:t>ing</w:t>
      </w:r>
      <w:r w:rsidRPr="005203C8">
        <w:t xml:space="preserve"> the probability-weighted value across multiple scenarios the</w:t>
      </w:r>
      <w:r w:rsidR="00730291">
        <w:t xml:space="preserve">n use the </w:t>
      </w:r>
      <w:r w:rsidRPr="005203C8">
        <w:t>OPM to estimate the allocation of value within one or more of those scenarios</w:t>
      </w:r>
      <w:r>
        <w:t xml:space="preserve">.  </w:t>
      </w:r>
      <w:r w:rsidRPr="005203C8">
        <w:t>The Hybrid Method can be a useful alternative to explicitly modeling all PWERM scenarios in situations when the company has transparency into one or more near-term exits but is unsure about what will occur if the current plans fall through</w:t>
      </w:r>
      <w:r>
        <w:t xml:space="preserve">.  </w:t>
      </w:r>
    </w:p>
    <w:p w14:paraId="3753A4D3" w14:textId="77777777" w:rsidR="00573796" w:rsidRPr="005203C8" w:rsidRDefault="00573796" w:rsidP="00571D7E">
      <w:pPr>
        <w:pStyle w:val="RNABodyCopy"/>
      </w:pPr>
    </w:p>
    <w:p w14:paraId="1EE6FFD5" w14:textId="23381787" w:rsidR="00573796" w:rsidRPr="005203C8" w:rsidRDefault="00573796" w:rsidP="00571D7E">
      <w:pPr>
        <w:pStyle w:val="RNABodyCopy"/>
      </w:pPr>
      <w:r w:rsidRPr="005203C8">
        <w:t xml:space="preserve">An advantage of this method is that it </w:t>
      </w:r>
      <w:r w:rsidR="00077E58">
        <w:t>utilizes</w:t>
      </w:r>
      <w:r w:rsidRPr="005203C8">
        <w:t xml:space="preserve"> the conceptual framework of option pricing theory to model a continuous distribution of future outcomes and </w:t>
      </w:r>
      <w:r w:rsidR="00077E58">
        <w:t xml:space="preserve">to </w:t>
      </w:r>
      <w:r w:rsidRPr="005203C8">
        <w:t>capture the option-like payoffs of the various share classes while also explicitly considering future scenarios and the discontinuities in outcomes that early-stage compan</w:t>
      </w:r>
      <w:r w:rsidR="00077E58">
        <w:t>ie</w:t>
      </w:r>
      <w:r w:rsidRPr="005203C8">
        <w:t>s experience</w:t>
      </w:r>
      <w:r>
        <w:t xml:space="preserve">.  </w:t>
      </w:r>
      <w:r w:rsidRPr="005203C8">
        <w:t xml:space="preserve">A disadvantage is that these models require </w:t>
      </w:r>
      <w:proofErr w:type="gramStart"/>
      <w:r w:rsidRPr="005203C8">
        <w:t>a number of</w:t>
      </w:r>
      <w:proofErr w:type="gramEnd"/>
      <w:r w:rsidRPr="005203C8">
        <w:t xml:space="preserve"> assumptions and may be overly complex</w:t>
      </w:r>
      <w:r w:rsidR="00077E58">
        <w:t>.  I</w:t>
      </w:r>
      <w:r>
        <w:t>n addition</w:t>
      </w:r>
      <w:r w:rsidR="00077E58">
        <w:t>, there may be many</w:t>
      </w:r>
      <w:r>
        <w:t xml:space="preserve"> potential issues surrounding the integration of risk</w:t>
      </w:r>
      <w:r w:rsidR="00077E58">
        <w:t>-</w:t>
      </w:r>
      <w:r>
        <w:t>adjusted and risk</w:t>
      </w:r>
      <w:r w:rsidR="00077E58">
        <w:t>-</w:t>
      </w:r>
      <w:r>
        <w:t>neutral modeling framework</w:t>
      </w:r>
      <w:r w:rsidR="00077E58">
        <w:t>s</w:t>
      </w:r>
      <w:r>
        <w:t xml:space="preserve">.  </w:t>
      </w:r>
    </w:p>
    <w:p w14:paraId="1EF1454E" w14:textId="77777777" w:rsidR="00573796" w:rsidRPr="005203C8" w:rsidRDefault="00573796" w:rsidP="00571D7E">
      <w:pPr>
        <w:pStyle w:val="RNABodyCopy"/>
      </w:pPr>
    </w:p>
    <w:p w14:paraId="28FC7A48" w14:textId="77777777" w:rsidR="00573796" w:rsidRPr="00474556" w:rsidRDefault="00573796" w:rsidP="00571D7E">
      <w:pPr>
        <w:pStyle w:val="RNABodyCopy"/>
      </w:pPr>
      <w:r w:rsidRPr="00474556">
        <w:br w:type="page"/>
      </w:r>
    </w:p>
    <w:p w14:paraId="78EBF7CA" w14:textId="1C52339F" w:rsidR="00573796" w:rsidRPr="00474556" w:rsidRDefault="00573796" w:rsidP="00565DEF">
      <w:pPr>
        <w:pStyle w:val="RNAHeadlineA"/>
        <w:outlineLvl w:val="0"/>
      </w:pPr>
      <w:bookmarkStart w:id="48" w:name="_Toc432004251"/>
      <w:bookmarkStart w:id="49" w:name="_Toc2188950"/>
      <w:r w:rsidRPr="00474556">
        <w:t>Valuation Analysis</w:t>
      </w:r>
      <w:bookmarkEnd w:id="48"/>
      <w:bookmarkEnd w:id="49"/>
      <w:r w:rsidRPr="00474556">
        <w:t xml:space="preserve"> </w:t>
      </w:r>
    </w:p>
    <w:p w14:paraId="0F8E0635" w14:textId="77777777" w:rsidR="00573796" w:rsidRPr="00C83A29" w:rsidRDefault="00573796" w:rsidP="00565DEF">
      <w:pPr>
        <w:pStyle w:val="RNABodyCopy"/>
      </w:pPr>
    </w:p>
    <w:p w14:paraId="5690E29D" w14:textId="7E2AB3A4" w:rsidR="00573796" w:rsidRPr="00565DEF" w:rsidRDefault="00573796" w:rsidP="00BB5DEE">
      <w:pPr>
        <w:pStyle w:val="RNAHeadlineB"/>
        <w:outlineLvl w:val="1"/>
        <w:rPr>
          <w:rFonts w:ascii="Georgia" w:hAnsi="Georgia"/>
        </w:rPr>
      </w:pPr>
      <w:bookmarkStart w:id="50" w:name="_Toc432004252"/>
      <w:bookmarkStart w:id="51" w:name="_Toc2188951"/>
      <w:r w:rsidRPr="00565DEF">
        <w:rPr>
          <w:rFonts w:ascii="Georgia" w:hAnsi="Georgia"/>
        </w:rPr>
        <w:t>Selected Valuation Approaches</w:t>
      </w:r>
      <w:bookmarkEnd w:id="50"/>
      <w:bookmarkEnd w:id="51"/>
    </w:p>
    <w:p w14:paraId="1E545F72" w14:textId="7CC3EBE6" w:rsidR="00573796" w:rsidRDefault="00627AC1" w:rsidP="00571D7E">
      <w:pPr>
        <w:pStyle w:val="RNABodyCopy"/>
      </w:pPr>
      <w:bookmarkStart w:id="52" w:name="_Toc418791030"/>
      <w:r w:rsidRPr="00627AC1">
        <w:t xml:space="preserve">Considering the above, the allocation determination herein has been developed primarily </w:t>
      </w:r>
      <w:proofErr w:type="gramStart"/>
      <w:r w:rsidRPr="00627AC1">
        <w:t>on the basis of</w:t>
      </w:r>
      <w:proofErr w:type="gramEnd"/>
      <w:r w:rsidRPr="00627AC1">
        <w:t xml:space="preserve"> CVM.  Given the </w:t>
      </w:r>
      <w:r w:rsidR="0017765F">
        <w:t xml:space="preserve">early </w:t>
      </w:r>
      <w:r w:rsidRPr="00627AC1">
        <w:t>stage of development of the Company, we elected not to rely upon a pure application of the three general valuation approaches discussed above.  Refer to Exhibit B.1 for details on the CVM</w:t>
      </w:r>
      <w:r w:rsidR="00573796" w:rsidRPr="00750BFD">
        <w:t>.</w:t>
      </w:r>
      <w:r w:rsidR="00573796">
        <w:t xml:space="preserve">  </w:t>
      </w:r>
    </w:p>
    <w:p w14:paraId="25DE612C" w14:textId="77777777" w:rsidR="00573796" w:rsidRPr="00C83A29" w:rsidRDefault="00573796" w:rsidP="00565DEF">
      <w:pPr>
        <w:pStyle w:val="RNABodyCopy"/>
      </w:pPr>
    </w:p>
    <w:p w14:paraId="5F4296C5" w14:textId="77777777" w:rsidR="00573796" w:rsidRPr="0093626F" w:rsidRDefault="00573796" w:rsidP="00DE5618">
      <w:pPr>
        <w:pStyle w:val="RNAHeadline3"/>
        <w:keepLines w:val="0"/>
        <w:widowControl/>
        <w:spacing w:line="300" w:lineRule="exact"/>
        <w:jc w:val="both"/>
      </w:pPr>
      <w:r w:rsidRPr="00893C63">
        <w:t>Income Approach</w:t>
      </w:r>
      <w:bookmarkEnd w:id="52"/>
    </w:p>
    <w:p w14:paraId="189EEFD7" w14:textId="77777777" w:rsidR="00573796" w:rsidRPr="00474556" w:rsidRDefault="00573796" w:rsidP="00DE5618">
      <w:pPr>
        <w:pStyle w:val="RNABodyCopy"/>
        <w:keepNext/>
      </w:pPr>
      <w:r w:rsidRPr="00474556">
        <w:t xml:space="preserve">The DCF method aggregates the present value of all future cash flows available to the investment holder to determine the valuation indication as of the </w:t>
      </w:r>
      <w:r>
        <w:t>V</w:t>
      </w:r>
      <w:r w:rsidRPr="00474556">
        <w:t xml:space="preserve">aluation </w:t>
      </w:r>
      <w:r>
        <w:t>D</w:t>
      </w:r>
      <w:r w:rsidRPr="00474556">
        <w:t>ate</w:t>
      </w:r>
      <w:r>
        <w:t xml:space="preserve">.  </w:t>
      </w:r>
      <w:r w:rsidRPr="00474556">
        <w:t>The DCF methodology involves the following key steps:</w:t>
      </w:r>
    </w:p>
    <w:p w14:paraId="2463D0A4" w14:textId="77777777" w:rsidR="00573796" w:rsidRPr="00474556" w:rsidRDefault="00573796" w:rsidP="00571D7E">
      <w:pPr>
        <w:pStyle w:val="RNABodyCopy"/>
      </w:pPr>
    </w:p>
    <w:p w14:paraId="2447ECA3" w14:textId="77777777" w:rsidR="00573796" w:rsidRPr="00474556" w:rsidRDefault="00573796" w:rsidP="00724D57">
      <w:pPr>
        <w:pStyle w:val="RNABodyCopy"/>
        <w:numPr>
          <w:ilvl w:val="0"/>
          <w:numId w:val="22"/>
        </w:numPr>
        <w:ind w:left="1080" w:hanging="720"/>
      </w:pPr>
      <w:r>
        <w:t>D</w:t>
      </w:r>
      <w:r w:rsidRPr="00474556">
        <w:t>etermination of cash flow forecasts (“Representative Level Projections”); and</w:t>
      </w:r>
    </w:p>
    <w:p w14:paraId="764DE082" w14:textId="1A1900E3" w:rsidR="00573796" w:rsidRPr="00474556" w:rsidRDefault="00573796" w:rsidP="00724D57">
      <w:pPr>
        <w:pStyle w:val="RNABodyCopy"/>
        <w:numPr>
          <w:ilvl w:val="0"/>
          <w:numId w:val="22"/>
        </w:numPr>
        <w:ind w:left="1080" w:hanging="720"/>
      </w:pPr>
      <w:r>
        <w:t>S</w:t>
      </w:r>
      <w:r w:rsidRPr="00474556">
        <w:t>election of a range of comparative investment</w:t>
      </w:r>
      <w:r w:rsidR="00077E58">
        <w:t xml:space="preserve"> </w:t>
      </w:r>
      <w:r w:rsidRPr="00474556">
        <w:t>risk-adjusted discount rates to apply against the Representative Level Projections.</w:t>
      </w:r>
      <w:r>
        <w:t xml:space="preserve">  </w:t>
      </w:r>
    </w:p>
    <w:p w14:paraId="24AADD61" w14:textId="77777777" w:rsidR="00573796" w:rsidRPr="00474556" w:rsidRDefault="00573796" w:rsidP="00573796"/>
    <w:p w14:paraId="49FB9958" w14:textId="6C0742B4" w:rsidR="00573796" w:rsidRDefault="00573796" w:rsidP="00571D7E">
      <w:pPr>
        <w:pStyle w:val="RNABodyCopy"/>
      </w:pPr>
      <w:r w:rsidRPr="00E153D8">
        <w:t>For purposes of this analysis, as detailed above, RNA did not rely on the DCF in determining a valuation indication for the Company.</w:t>
      </w:r>
    </w:p>
    <w:p w14:paraId="53F906B6" w14:textId="12583F33" w:rsidR="00A55890" w:rsidRDefault="00A55890" w:rsidP="00565DEF">
      <w:pPr>
        <w:pStyle w:val="RNABodyCopy"/>
      </w:pPr>
    </w:p>
    <w:p w14:paraId="13835048" w14:textId="77777777" w:rsidR="00573796" w:rsidRPr="00893C63" w:rsidRDefault="00573796" w:rsidP="00DE5618">
      <w:pPr>
        <w:pStyle w:val="RNAHeadline3"/>
        <w:tabs>
          <w:tab w:val="left" w:pos="6750"/>
        </w:tabs>
      </w:pPr>
      <w:bookmarkStart w:id="53" w:name="_Toc418791034"/>
      <w:r w:rsidRPr="00893C63">
        <w:t>Market Approach – GCM</w:t>
      </w:r>
      <w:bookmarkEnd w:id="53"/>
    </w:p>
    <w:p w14:paraId="2FAB9DAB" w14:textId="77777777" w:rsidR="00573796" w:rsidRPr="00474556" w:rsidRDefault="00573796" w:rsidP="00DE5618">
      <w:pPr>
        <w:pStyle w:val="RNABodyCopy"/>
        <w:keepNext/>
        <w:tabs>
          <w:tab w:val="left" w:pos="6750"/>
        </w:tabs>
      </w:pPr>
      <w:r w:rsidRPr="00474556">
        <w:t xml:space="preserve">The GCM involves the determination of a valuation indication by multiplying a representative level of earnings, cash flows or </w:t>
      </w:r>
      <w:r w:rsidRPr="006D4203">
        <w:rPr>
          <w:noProof/>
        </w:rPr>
        <w:t>other measure</w:t>
      </w:r>
      <w:r w:rsidRPr="00474556">
        <w:t xml:space="preserve"> against an appropriate risk</w:t>
      </w:r>
      <w:r w:rsidRPr="00474556">
        <w:rPr>
          <w:rFonts w:ascii="Cambria Math" w:hAnsi="Cambria Math"/>
        </w:rPr>
        <w:t>‐</w:t>
      </w:r>
      <w:r w:rsidRPr="00474556">
        <w:t xml:space="preserve">adjusted </w:t>
      </w:r>
      <w:r w:rsidRPr="006D4203">
        <w:rPr>
          <w:noProof/>
        </w:rPr>
        <w:t>multiple</w:t>
      </w:r>
      <w:r>
        <w:t xml:space="preserve">.  </w:t>
      </w:r>
      <w:r w:rsidRPr="00474556">
        <w:t xml:space="preserve">This approach provides an indication of value for a company or asset that corresponds with the </w:t>
      </w:r>
      <w:proofErr w:type="gramStart"/>
      <w:r w:rsidRPr="00474556">
        <w:t>particular earnings figure</w:t>
      </w:r>
      <w:proofErr w:type="gramEnd"/>
      <w:r w:rsidRPr="00474556">
        <w:t xml:space="preserve"> being capitalized on a controlling or non</w:t>
      </w:r>
      <w:r w:rsidRPr="00474556">
        <w:rPr>
          <w:rFonts w:ascii="Cambria Math" w:hAnsi="Cambria Math"/>
        </w:rPr>
        <w:t>‐</w:t>
      </w:r>
      <w:r w:rsidRPr="00474556">
        <w:t>controlling basis dependent on the underlying levels of multiples applied.</w:t>
      </w:r>
      <w:r>
        <w:t xml:space="preserve">  </w:t>
      </w:r>
    </w:p>
    <w:p w14:paraId="65CC75D8" w14:textId="77777777" w:rsidR="00573796" w:rsidRPr="00474556" w:rsidRDefault="00573796" w:rsidP="00A55890">
      <w:pPr>
        <w:pStyle w:val="RNABodyCopy"/>
      </w:pPr>
    </w:p>
    <w:p w14:paraId="6FD1DFAB" w14:textId="1E10EF5E" w:rsidR="00573796" w:rsidRDefault="00627AC1" w:rsidP="00A55890">
      <w:pPr>
        <w:pStyle w:val="RNABodyCopy"/>
      </w:pPr>
      <w:r w:rsidRPr="00A71F2E">
        <w:t>F</w:t>
      </w:r>
      <w:r w:rsidR="00573796" w:rsidRPr="00627AC1">
        <w:t>or purposes of this analysis, RNA did not rely upon the GCM in determining the enterprise value of the Company</w:t>
      </w:r>
      <w:r w:rsidR="00C11E9D" w:rsidRPr="00627AC1">
        <w:t xml:space="preserve"> since it is a pre-revenue company</w:t>
      </w:r>
      <w:r w:rsidR="00573796" w:rsidRPr="00627AC1">
        <w:t xml:space="preserve">.  Notwithstanding, RNA did consider Guideline Public Companies deemed comparable to the Company, </w:t>
      </w:r>
      <w:r w:rsidR="00F2070E" w:rsidRPr="00627AC1">
        <w:t>a</w:t>
      </w:r>
      <w:r w:rsidR="00573796" w:rsidRPr="00627AC1">
        <w:t xml:space="preserve"> key element of the Market Approach.  Refer to </w:t>
      </w:r>
      <w:r w:rsidR="00573796" w:rsidRPr="00A71F2E">
        <w:t xml:space="preserve">Exhibits </w:t>
      </w:r>
      <w:r w:rsidRPr="00A71F2E">
        <w:t>D</w:t>
      </w:r>
      <w:r w:rsidR="00573796" w:rsidRPr="00A71F2E">
        <w:t>.1</w:t>
      </w:r>
      <w:r w:rsidRPr="00A71F2E">
        <w:t xml:space="preserve"> </w:t>
      </w:r>
      <w:r w:rsidR="00573796" w:rsidRPr="00A71F2E">
        <w:t xml:space="preserve">and </w:t>
      </w:r>
      <w:r w:rsidRPr="00A71F2E">
        <w:t>D</w:t>
      </w:r>
      <w:r w:rsidR="00573796" w:rsidRPr="00A71F2E">
        <w:t>.</w:t>
      </w:r>
      <w:r w:rsidRPr="00A71F2E">
        <w:t xml:space="preserve">2 </w:t>
      </w:r>
      <w:r w:rsidR="00573796" w:rsidRPr="00A71F2E">
        <w:t xml:space="preserve">for details on </w:t>
      </w:r>
      <w:r w:rsidR="00C11E9D" w:rsidRPr="00A71F2E">
        <w:t xml:space="preserve">enterprise value, projections, </w:t>
      </w:r>
      <w:r w:rsidR="00573796" w:rsidRPr="00A71F2E">
        <w:t>operating metrics, market capitalization,</w:t>
      </w:r>
      <w:r w:rsidR="00C11E9D" w:rsidRPr="00A71F2E">
        <w:t xml:space="preserve"> business descriptions, </w:t>
      </w:r>
      <w:r w:rsidR="00573796" w:rsidRPr="00A71F2E">
        <w:t>and other metrics for the selected Guideline Public Companies.</w:t>
      </w:r>
      <w:r w:rsidR="00573796">
        <w:t xml:space="preserve"> </w:t>
      </w:r>
      <w:r w:rsidR="00493FD8">
        <w:t xml:space="preserve"> </w:t>
      </w:r>
    </w:p>
    <w:p w14:paraId="2470DA51" w14:textId="77777777" w:rsidR="00493FD8" w:rsidRDefault="00493FD8" w:rsidP="00A55890">
      <w:pPr>
        <w:pStyle w:val="RNABodyCopy"/>
      </w:pPr>
    </w:p>
    <w:p w14:paraId="66CEB9B3" w14:textId="59B7AF83" w:rsidR="00573796" w:rsidRPr="00474556" w:rsidRDefault="00573796" w:rsidP="00A55890">
      <w:pPr>
        <w:pStyle w:val="RNABodyCopy"/>
      </w:pPr>
      <w:r w:rsidRPr="004E20DB">
        <w:t>For purposes of this analysis, RNA considered the following Guideline Public Companies.</w:t>
      </w:r>
      <w:r w:rsidR="00493FD8">
        <w:t xml:space="preserve"> </w:t>
      </w:r>
    </w:p>
    <w:p w14:paraId="23B6F1E7" w14:textId="77777777" w:rsidR="00573796" w:rsidRPr="00474556" w:rsidRDefault="00573796" w:rsidP="00DE5618">
      <w:pPr>
        <w:ind w:left="90" w:hanging="90"/>
      </w:pPr>
    </w:p>
    <w:p w14:paraId="68595B35" w14:textId="033DDA48" w:rsidR="00627AC1" w:rsidRPr="00164A70" w:rsidRDefault="00627AC1" w:rsidP="00C744AA">
      <w:pPr>
        <w:pStyle w:val="RNABodyCopy-Numbered"/>
        <w:numPr>
          <w:ilvl w:val="0"/>
          <w:numId w:val="62"/>
        </w:numPr>
        <w:ind w:left="1080" w:hanging="720"/>
      </w:pPr>
      <w:proofErr w:type="spellStart"/>
      <w:r w:rsidRPr="00164A70">
        <w:t>Nektar</w:t>
      </w:r>
      <w:proofErr w:type="spellEnd"/>
      <w:r w:rsidRPr="00164A70">
        <w:t xml:space="preserve"> Therapeutics</w:t>
      </w:r>
      <w:r w:rsidR="0017765F">
        <w:t xml:space="preserve">; </w:t>
      </w:r>
    </w:p>
    <w:p w14:paraId="470CE6C1" w14:textId="76EBBC38" w:rsidR="00627AC1" w:rsidRPr="00892140" w:rsidRDefault="00627AC1" w:rsidP="00C744AA">
      <w:pPr>
        <w:pStyle w:val="RNABodyCopy-Numbered"/>
        <w:numPr>
          <w:ilvl w:val="0"/>
          <w:numId w:val="62"/>
        </w:numPr>
        <w:ind w:left="1080" w:hanging="720"/>
      </w:pPr>
      <w:r w:rsidRPr="00892140">
        <w:t>Fate Therapeutics, Inc.</w:t>
      </w:r>
      <w:r w:rsidR="0017765F">
        <w:t>;</w:t>
      </w:r>
    </w:p>
    <w:p w14:paraId="54FD6689" w14:textId="4CA095CC" w:rsidR="00627AC1" w:rsidRPr="00892140" w:rsidRDefault="00627AC1" w:rsidP="00C744AA">
      <w:pPr>
        <w:pStyle w:val="RNABodyCopy-Numbered"/>
        <w:numPr>
          <w:ilvl w:val="0"/>
          <w:numId w:val="62"/>
        </w:numPr>
        <w:ind w:left="1080" w:hanging="720"/>
      </w:pPr>
      <w:proofErr w:type="spellStart"/>
      <w:r w:rsidRPr="00892140">
        <w:t>Synthorx</w:t>
      </w:r>
      <w:proofErr w:type="spellEnd"/>
      <w:r w:rsidRPr="00892140">
        <w:t>, Inc.</w:t>
      </w:r>
      <w:r w:rsidR="0017765F">
        <w:t>;</w:t>
      </w:r>
    </w:p>
    <w:p w14:paraId="1853693E" w14:textId="479FA1C7" w:rsidR="00627AC1" w:rsidRPr="00892140" w:rsidRDefault="00627AC1" w:rsidP="00C744AA">
      <w:pPr>
        <w:pStyle w:val="RNABodyCopy-Numbered"/>
        <w:numPr>
          <w:ilvl w:val="0"/>
          <w:numId w:val="62"/>
        </w:numPr>
        <w:ind w:left="1080" w:hanging="720"/>
      </w:pPr>
      <w:r w:rsidRPr="00892140">
        <w:t>ZIOPHARM Oncology, Inc.</w:t>
      </w:r>
      <w:r w:rsidR="0017765F">
        <w:t>;</w:t>
      </w:r>
    </w:p>
    <w:p w14:paraId="52F93056" w14:textId="520E33FF" w:rsidR="00627AC1" w:rsidRPr="00892140" w:rsidRDefault="00627AC1" w:rsidP="00C744AA">
      <w:pPr>
        <w:pStyle w:val="RNABodyCopy-Numbered"/>
        <w:numPr>
          <w:ilvl w:val="0"/>
          <w:numId w:val="62"/>
        </w:numPr>
        <w:ind w:left="1080" w:hanging="720"/>
      </w:pPr>
      <w:proofErr w:type="spellStart"/>
      <w:r w:rsidRPr="00892140">
        <w:t>Stemline</w:t>
      </w:r>
      <w:proofErr w:type="spellEnd"/>
      <w:r w:rsidRPr="00892140">
        <w:t xml:space="preserve"> Therapeutics, Inc.</w:t>
      </w:r>
      <w:r w:rsidR="0017765F">
        <w:t>;</w:t>
      </w:r>
    </w:p>
    <w:p w14:paraId="3CC031A7" w14:textId="05ED9C46" w:rsidR="00627AC1" w:rsidRPr="00892140" w:rsidRDefault="00627AC1" w:rsidP="00C744AA">
      <w:pPr>
        <w:pStyle w:val="RNABodyCopy-Numbered"/>
        <w:numPr>
          <w:ilvl w:val="0"/>
          <w:numId w:val="62"/>
        </w:numPr>
        <w:ind w:left="1080" w:hanging="720"/>
      </w:pPr>
      <w:r w:rsidRPr="00892140">
        <w:t>TG Therapeutics, Inc.</w:t>
      </w:r>
      <w:r w:rsidR="0017765F">
        <w:t>;</w:t>
      </w:r>
    </w:p>
    <w:p w14:paraId="343DA86A" w14:textId="0790ECB8" w:rsidR="00627AC1" w:rsidRPr="00892140" w:rsidRDefault="00627AC1" w:rsidP="00C744AA">
      <w:pPr>
        <w:pStyle w:val="RNABodyCopy-Numbered"/>
        <w:numPr>
          <w:ilvl w:val="0"/>
          <w:numId w:val="62"/>
        </w:numPr>
        <w:ind w:left="1080" w:hanging="720"/>
      </w:pPr>
      <w:r w:rsidRPr="00892140">
        <w:t>XOMA Corporation</w:t>
      </w:r>
      <w:r w:rsidR="0017765F">
        <w:t>;</w:t>
      </w:r>
    </w:p>
    <w:p w14:paraId="3C72AEB1" w14:textId="5DD606AA" w:rsidR="00627AC1" w:rsidRPr="00892140" w:rsidRDefault="00627AC1" w:rsidP="00C744AA">
      <w:pPr>
        <w:pStyle w:val="RNABodyCopy-Numbered"/>
        <w:numPr>
          <w:ilvl w:val="0"/>
          <w:numId w:val="62"/>
        </w:numPr>
        <w:ind w:left="1080" w:hanging="720"/>
      </w:pPr>
      <w:r w:rsidRPr="00892140">
        <w:t>Five Prime Therapeutics, Inc.</w:t>
      </w:r>
      <w:r w:rsidR="0017765F">
        <w:t>;</w:t>
      </w:r>
    </w:p>
    <w:p w14:paraId="16A4A162" w14:textId="76CA8DF5" w:rsidR="00627AC1" w:rsidRPr="00892140" w:rsidRDefault="00627AC1" w:rsidP="00C744AA">
      <w:pPr>
        <w:pStyle w:val="RNABodyCopy-Numbered"/>
        <w:numPr>
          <w:ilvl w:val="0"/>
          <w:numId w:val="62"/>
        </w:numPr>
        <w:ind w:left="1080" w:hanging="720"/>
      </w:pPr>
      <w:r w:rsidRPr="00892140">
        <w:t>Cue Biopharma, Inc.</w:t>
      </w:r>
      <w:r w:rsidR="0017765F">
        <w:t>;</w:t>
      </w:r>
    </w:p>
    <w:p w14:paraId="44CFE15A" w14:textId="53B4E6EA" w:rsidR="00627AC1" w:rsidRPr="00892140" w:rsidRDefault="00627AC1" w:rsidP="00C744AA">
      <w:pPr>
        <w:pStyle w:val="RNABodyCopy-Numbered"/>
        <w:numPr>
          <w:ilvl w:val="0"/>
          <w:numId w:val="62"/>
        </w:numPr>
        <w:ind w:left="1080" w:hanging="720"/>
      </w:pPr>
      <w:proofErr w:type="spellStart"/>
      <w:r w:rsidRPr="00892140">
        <w:t>OncoSec</w:t>
      </w:r>
      <w:proofErr w:type="spellEnd"/>
      <w:r w:rsidRPr="00892140">
        <w:t xml:space="preserve"> Medical Incorporated</w:t>
      </w:r>
      <w:r w:rsidR="0017765F">
        <w:t>;</w:t>
      </w:r>
    </w:p>
    <w:p w14:paraId="4068C1E3" w14:textId="5E0B8309" w:rsidR="00627AC1" w:rsidRPr="00627AC1" w:rsidRDefault="00627AC1" w:rsidP="00C744AA">
      <w:pPr>
        <w:pStyle w:val="RNABodyCopy-Numbered"/>
        <w:numPr>
          <w:ilvl w:val="0"/>
          <w:numId w:val="62"/>
        </w:numPr>
        <w:ind w:left="1080" w:hanging="720"/>
      </w:pPr>
      <w:proofErr w:type="spellStart"/>
      <w:r w:rsidRPr="00627AC1">
        <w:t>NantKwest</w:t>
      </w:r>
      <w:proofErr w:type="spellEnd"/>
      <w:r w:rsidRPr="00627AC1">
        <w:t>, Inc.</w:t>
      </w:r>
      <w:r w:rsidR="0017765F">
        <w:t>;</w:t>
      </w:r>
    </w:p>
    <w:p w14:paraId="01310B96" w14:textId="7AAEDCEA" w:rsidR="00812014" w:rsidRDefault="00627AC1" w:rsidP="00C744AA">
      <w:pPr>
        <w:pStyle w:val="RNABodyCopy-Numbered"/>
        <w:numPr>
          <w:ilvl w:val="0"/>
          <w:numId w:val="62"/>
        </w:numPr>
        <w:ind w:left="1080" w:hanging="720"/>
      </w:pPr>
      <w:proofErr w:type="spellStart"/>
      <w:r w:rsidRPr="00627AC1">
        <w:t>Corvus</w:t>
      </w:r>
      <w:proofErr w:type="spellEnd"/>
      <w:r w:rsidRPr="00627AC1">
        <w:t xml:space="preserve"> Pharmaceuticals, Inc.</w:t>
      </w:r>
      <w:r w:rsidR="0017765F">
        <w:t>; and</w:t>
      </w:r>
    </w:p>
    <w:p w14:paraId="301D81C2" w14:textId="1BE9993F" w:rsidR="00812014" w:rsidRDefault="0017765F" w:rsidP="00C744AA">
      <w:pPr>
        <w:pStyle w:val="RNABodyCopy-Numbered"/>
      </w:pPr>
      <w:r>
        <w:t xml:space="preserve">Surface </w:t>
      </w:r>
      <w:r w:rsidR="00812014">
        <w:t>Oncology, Inc.</w:t>
      </w:r>
    </w:p>
    <w:p w14:paraId="199E42F5" w14:textId="77777777" w:rsidR="00627AC1" w:rsidRDefault="00627AC1" w:rsidP="00A71F2E">
      <w:pPr>
        <w:pStyle w:val="ListParagraph"/>
      </w:pPr>
    </w:p>
    <w:p w14:paraId="4769B077" w14:textId="77777777" w:rsidR="00573796" w:rsidRPr="00474556" w:rsidRDefault="00573796" w:rsidP="00A55890">
      <w:pPr>
        <w:pStyle w:val="RNABodyCopy"/>
      </w:pPr>
      <w:r w:rsidRPr="00474556">
        <w:t xml:space="preserve">RNA acknowledged the characteristics of </w:t>
      </w:r>
      <w:r>
        <w:t xml:space="preserve">the Company </w:t>
      </w:r>
      <w:r w:rsidRPr="00474556">
        <w:t xml:space="preserve">that differ from the characteristics of the Guideline </w:t>
      </w:r>
      <w:r>
        <w:t xml:space="preserve">Public </w:t>
      </w:r>
      <w:r w:rsidRPr="00474556">
        <w:t>Companies, detailed as follows:</w:t>
      </w:r>
    </w:p>
    <w:p w14:paraId="3CA3B087" w14:textId="77777777" w:rsidR="00573796" w:rsidRPr="00474556" w:rsidRDefault="00573796" w:rsidP="00A55890">
      <w:pPr>
        <w:pStyle w:val="RNABodyCopy"/>
      </w:pPr>
    </w:p>
    <w:p w14:paraId="6EB80913" w14:textId="46798CD0" w:rsidR="00573796" w:rsidRPr="00057A07" w:rsidRDefault="00573796" w:rsidP="00724D57">
      <w:pPr>
        <w:pStyle w:val="RNABodyCopy"/>
        <w:numPr>
          <w:ilvl w:val="0"/>
          <w:numId w:val="40"/>
        </w:numPr>
        <w:ind w:left="1080" w:hanging="720"/>
      </w:pPr>
      <w:r w:rsidRPr="00057A07">
        <w:t xml:space="preserve">The </w:t>
      </w:r>
      <w:r>
        <w:t>Company</w:t>
      </w:r>
      <w:r w:rsidRPr="00057A07">
        <w:t xml:space="preserve">'s operations focus </w:t>
      </w:r>
      <w:r w:rsidRPr="00812014">
        <w:t xml:space="preserve">primarily on </w:t>
      </w:r>
      <w:r w:rsidRPr="00A71F2E">
        <w:t>developing</w:t>
      </w:r>
      <w:r w:rsidR="006A7B94">
        <w:t xml:space="preserve"> IL-based agonists for IO</w:t>
      </w:r>
      <w:r w:rsidRPr="00057A07">
        <w:t>, which is generally different from and/or less diversified than the business</w:t>
      </w:r>
      <w:r w:rsidR="000137BE">
        <w:t>es</w:t>
      </w:r>
      <w:r w:rsidRPr="00057A07">
        <w:t xml:space="preserve"> of the selected Guideline </w:t>
      </w:r>
      <w:r w:rsidR="004D40E9">
        <w:t xml:space="preserve">Public </w:t>
      </w:r>
      <w:r w:rsidRPr="00057A07">
        <w:t>Companies;</w:t>
      </w:r>
    </w:p>
    <w:p w14:paraId="25411C88" w14:textId="7D9AEBE1" w:rsidR="00573796" w:rsidRPr="00057A07" w:rsidRDefault="00573796" w:rsidP="00724D57">
      <w:pPr>
        <w:pStyle w:val="RNABodyCopy"/>
        <w:numPr>
          <w:ilvl w:val="0"/>
          <w:numId w:val="40"/>
        </w:numPr>
        <w:ind w:left="1080" w:hanging="720"/>
      </w:pPr>
      <w:r>
        <w:t xml:space="preserve">The Company </w:t>
      </w:r>
      <w:r w:rsidRPr="00057A07">
        <w:t xml:space="preserve">must raise financing in order to develop </w:t>
      </w:r>
      <w:r w:rsidR="0062007E">
        <w:t>certain</w:t>
      </w:r>
      <w:r w:rsidR="0062007E" w:rsidRPr="00057A07">
        <w:t xml:space="preserve"> </w:t>
      </w:r>
      <w:r w:rsidRPr="00057A07">
        <w:t>assets (noting that the Guideline</w:t>
      </w:r>
      <w:r>
        <w:t xml:space="preserve"> Public</w:t>
      </w:r>
      <w:r w:rsidRPr="00057A07">
        <w:t xml:space="preserve"> Companies generally have </w:t>
      </w:r>
      <w:r>
        <w:t xml:space="preserve">easier access to </w:t>
      </w:r>
      <w:r w:rsidRPr="00057A07">
        <w:t>capital to develop their programs);</w:t>
      </w:r>
    </w:p>
    <w:p w14:paraId="4DF06658" w14:textId="77777777" w:rsidR="00573796" w:rsidRPr="00057A07" w:rsidRDefault="00573796" w:rsidP="00724D57">
      <w:pPr>
        <w:pStyle w:val="RNABodyCopy"/>
        <w:numPr>
          <w:ilvl w:val="0"/>
          <w:numId w:val="40"/>
        </w:numPr>
        <w:ind w:left="1080" w:hanging="720"/>
      </w:pPr>
      <w:r>
        <w:t xml:space="preserve">The Company </w:t>
      </w:r>
      <w:r w:rsidRPr="00057A07">
        <w:t xml:space="preserve">is generally smaller and at an earlier development stage than the Guideline </w:t>
      </w:r>
      <w:r>
        <w:t xml:space="preserve">Public </w:t>
      </w:r>
      <w:r w:rsidRPr="00057A07">
        <w:t>Companies;</w:t>
      </w:r>
    </w:p>
    <w:p w14:paraId="1A932F1D" w14:textId="77777777" w:rsidR="00573796" w:rsidRDefault="00573796" w:rsidP="00724D57">
      <w:pPr>
        <w:pStyle w:val="RNABodyCopy"/>
        <w:numPr>
          <w:ilvl w:val="0"/>
          <w:numId w:val="40"/>
        </w:numPr>
        <w:ind w:left="1080" w:hanging="720"/>
      </w:pPr>
      <w:r w:rsidRPr="00057A07">
        <w:t>The range of WACC observed for the Guideline</w:t>
      </w:r>
      <w:r>
        <w:t xml:space="preserve"> Public</w:t>
      </w:r>
      <w:r w:rsidRPr="00057A07">
        <w:t xml:space="preserve"> Companies represent the growth and risk profile associated with each of the selected Guideline </w:t>
      </w:r>
      <w:r>
        <w:t xml:space="preserve">Public </w:t>
      </w:r>
      <w:r w:rsidRPr="00057A07">
        <w:t>Companies</w:t>
      </w:r>
      <w:r>
        <w:t xml:space="preserve">.  </w:t>
      </w:r>
      <w:r w:rsidRPr="00057A07">
        <w:t xml:space="preserve">In general, the strategies and prospects of </w:t>
      </w:r>
      <w:r>
        <w:t xml:space="preserve">the Company </w:t>
      </w:r>
      <w:r w:rsidRPr="00057A07">
        <w:t xml:space="preserve">represent a higher risk profile than the Guideline </w:t>
      </w:r>
      <w:r>
        <w:t xml:space="preserve">Public </w:t>
      </w:r>
      <w:r w:rsidRPr="00057A07">
        <w:t>Companies; and</w:t>
      </w:r>
    </w:p>
    <w:p w14:paraId="1B8329A7" w14:textId="77777777" w:rsidR="00573796" w:rsidRPr="00750BFD" w:rsidRDefault="00573796" w:rsidP="00724D57">
      <w:pPr>
        <w:pStyle w:val="RNABodyCopy"/>
        <w:numPr>
          <w:ilvl w:val="0"/>
          <w:numId w:val="40"/>
        </w:numPr>
        <w:ind w:left="1080" w:hanging="720"/>
      </w:pPr>
      <w:r>
        <w:t xml:space="preserve">The Company </w:t>
      </w:r>
      <w:r w:rsidRPr="00750BFD">
        <w:t>is not a publicly traded company and relies on private sources of equity</w:t>
      </w:r>
      <w:r>
        <w:t xml:space="preserve">.  </w:t>
      </w:r>
      <w:r w:rsidRPr="00750BFD">
        <w:t>Public companies typically have lower costs of equity since the public equity markets typically demand lower levels of return compared to private sources of equity</w:t>
      </w:r>
      <w:r>
        <w:t xml:space="preserve">.  </w:t>
      </w:r>
      <w:r w:rsidRPr="00750BFD">
        <w:t>Investments in public companies provide a liquid investment that may compensate for the minority level interest typically involved.</w:t>
      </w:r>
      <w:r>
        <w:t xml:space="preserve">  </w:t>
      </w:r>
    </w:p>
    <w:p w14:paraId="11E1B567" w14:textId="77777777" w:rsidR="00573796" w:rsidRPr="00474556" w:rsidRDefault="00573796" w:rsidP="00A55890">
      <w:pPr>
        <w:pStyle w:val="RNABodyCopy"/>
      </w:pPr>
    </w:p>
    <w:p w14:paraId="1AF8D9B5" w14:textId="33B72EC2" w:rsidR="00573796" w:rsidRDefault="00573796" w:rsidP="00A55890">
      <w:pPr>
        <w:pStyle w:val="RNABodyCopy"/>
      </w:pPr>
      <w:r w:rsidRPr="00C728C8">
        <w:t>As noted above, RNA did not develop an enterprise value indication based on the application of market multiples.</w:t>
      </w:r>
      <w:r w:rsidR="007700E4">
        <w:t xml:space="preserve"> </w:t>
      </w:r>
      <w:r w:rsidRPr="00C728C8">
        <w:t xml:space="preserve"> </w:t>
      </w:r>
    </w:p>
    <w:p w14:paraId="53A4D103" w14:textId="77777777" w:rsidR="005E07BB" w:rsidRPr="00565113" w:rsidRDefault="005E07BB" w:rsidP="00DE5618">
      <w:pPr>
        <w:pStyle w:val="RNABodyCopy"/>
        <w:keepNext/>
      </w:pPr>
    </w:p>
    <w:p w14:paraId="317590BC" w14:textId="3B581CDC" w:rsidR="00573796" w:rsidRPr="00893C63" w:rsidRDefault="00573796" w:rsidP="00BB5DEE">
      <w:pPr>
        <w:pStyle w:val="RNAHeadline3"/>
      </w:pPr>
      <w:r w:rsidRPr="00893C63">
        <w:t>Market Approach – GTM</w:t>
      </w:r>
    </w:p>
    <w:p w14:paraId="5EE48B68" w14:textId="16852556" w:rsidR="00790F97" w:rsidRDefault="00543F11" w:rsidP="00A71F2E">
      <w:pPr>
        <w:pStyle w:val="RNABodyCopy"/>
        <w:keepNext/>
      </w:pPr>
      <w:r w:rsidRPr="00750BFD">
        <w:t xml:space="preserve">RNA did not </w:t>
      </w:r>
      <w:r>
        <w:t>rely upon the</w:t>
      </w:r>
      <w:r w:rsidRPr="00750BFD">
        <w:t xml:space="preserve"> GTM because the</w:t>
      </w:r>
      <w:r>
        <w:t xml:space="preserve"> Company </w:t>
      </w:r>
      <w:r w:rsidRPr="00750BFD">
        <w:t>is still operating at a loss</w:t>
      </w:r>
      <w:r>
        <w:t>.</w:t>
      </w:r>
      <w:r w:rsidRPr="00750BFD">
        <w:t xml:space="preserve"> </w:t>
      </w:r>
      <w:r>
        <w:t xml:space="preserve"> Furthermore, it is</w:t>
      </w:r>
      <w:r w:rsidR="0079183B">
        <w:t xml:space="preserve"> relatively</w:t>
      </w:r>
      <w:r w:rsidR="00573796" w:rsidRPr="00750BFD">
        <w:t xml:space="preserve"> difficult </w:t>
      </w:r>
      <w:r>
        <w:t xml:space="preserve">to </w:t>
      </w:r>
      <w:r w:rsidR="00573796" w:rsidRPr="00750BFD">
        <w:t xml:space="preserve">identify market transactions that are reasonably </w:t>
      </w:r>
      <w:proofErr w:type="gramStart"/>
      <w:r w:rsidR="00573796" w:rsidRPr="00750BFD">
        <w:t>similar to</w:t>
      </w:r>
      <w:proofErr w:type="gramEnd"/>
      <w:r w:rsidR="00573796" w:rsidRPr="00750BFD">
        <w:t xml:space="preserve"> </w:t>
      </w:r>
      <w:r w:rsidR="00573796">
        <w:t xml:space="preserve">the Company </w:t>
      </w:r>
      <w:r w:rsidR="00573796" w:rsidRPr="00750BFD">
        <w:t>with respect to stage of development, underlying economic fundamentals, products (i.e., potential product pipeline) and prospects for success</w:t>
      </w:r>
      <w:r w:rsidR="00573796">
        <w:t xml:space="preserve">.  </w:t>
      </w:r>
    </w:p>
    <w:p w14:paraId="20FCD92A" w14:textId="77777777" w:rsidR="00790F97" w:rsidRDefault="00790F97" w:rsidP="00A71F2E">
      <w:pPr>
        <w:pStyle w:val="RNABodyCopy"/>
        <w:keepNext/>
      </w:pPr>
    </w:p>
    <w:p w14:paraId="17AA0EE5" w14:textId="00C5027B" w:rsidR="00573796" w:rsidRDefault="00573796" w:rsidP="00A71F2E">
      <w:pPr>
        <w:pStyle w:val="RNABodyCopy"/>
        <w:keepNext/>
      </w:pPr>
      <w:r w:rsidRPr="00C728C8">
        <w:t>As noted above, RNA did not develop an enterprise value indication based on the application of market multiples.</w:t>
      </w:r>
      <w:r w:rsidR="00321E23">
        <w:t xml:space="preserve">  </w:t>
      </w:r>
    </w:p>
    <w:p w14:paraId="4BEA6A23" w14:textId="77777777" w:rsidR="00554D0A" w:rsidRDefault="00554D0A" w:rsidP="00DE5618">
      <w:pPr>
        <w:pStyle w:val="RNABodyCopy"/>
        <w:keepNext/>
      </w:pPr>
      <w:bookmarkStart w:id="54" w:name="_Toc418529128"/>
      <w:bookmarkStart w:id="55" w:name="_Toc425496325"/>
      <w:bookmarkStart w:id="56" w:name="_Toc432004253"/>
    </w:p>
    <w:p w14:paraId="5475D455" w14:textId="77777777" w:rsidR="00FA06A8" w:rsidRDefault="00FA06A8">
      <w:pPr>
        <w:spacing w:line="240" w:lineRule="auto"/>
        <w:jc w:val="left"/>
        <w:rPr>
          <w:rFonts w:ascii="Georgia" w:hAnsi="Georgia" w:cs="Arial"/>
          <w:caps/>
          <w:color w:val="2E74B5" w:themeColor="accent2" w:themeShade="BF"/>
          <w:spacing w:val="20"/>
          <w:sz w:val="24"/>
        </w:rPr>
      </w:pPr>
      <w:r>
        <w:rPr>
          <w:rFonts w:ascii="Georgia" w:hAnsi="Georgia"/>
        </w:rPr>
        <w:br w:type="page"/>
      </w:r>
    </w:p>
    <w:p w14:paraId="3FEEA1ED" w14:textId="70ED2373" w:rsidR="00554D0A" w:rsidRPr="00565DEF" w:rsidRDefault="00554D0A" w:rsidP="00554D0A">
      <w:pPr>
        <w:pStyle w:val="RNAHeadlineB"/>
        <w:outlineLvl w:val="1"/>
        <w:rPr>
          <w:rFonts w:ascii="Georgia" w:hAnsi="Georgia"/>
        </w:rPr>
      </w:pPr>
      <w:bookmarkStart w:id="57" w:name="_Toc2188952"/>
      <w:r>
        <w:rPr>
          <w:rFonts w:ascii="Georgia" w:hAnsi="Georgia"/>
        </w:rPr>
        <w:t>Allocation Analysis</w:t>
      </w:r>
      <w:bookmarkEnd w:id="57"/>
    </w:p>
    <w:bookmarkEnd w:id="54"/>
    <w:bookmarkEnd w:id="55"/>
    <w:bookmarkEnd w:id="56"/>
    <w:p w14:paraId="6F364087" w14:textId="1B8603FB" w:rsidR="000D53CD" w:rsidRDefault="000D53CD" w:rsidP="00565DEF">
      <w:pPr>
        <w:pStyle w:val="RNABodyCopy"/>
      </w:pPr>
      <w:r w:rsidRPr="00CC2879">
        <w:t>Based on the considerations detailed above</w:t>
      </w:r>
      <w:r>
        <w:t xml:space="preserve">, </w:t>
      </w:r>
      <w:r w:rsidR="006A7B94" w:rsidRPr="009602E5">
        <w:t xml:space="preserve">the allocation determination herein has been developed primarily </w:t>
      </w:r>
      <w:proofErr w:type="gramStart"/>
      <w:r w:rsidR="006A7B94" w:rsidRPr="009602E5">
        <w:t>on the basis of</w:t>
      </w:r>
      <w:proofErr w:type="gramEnd"/>
      <w:r w:rsidR="006A7B94" w:rsidRPr="009602E5">
        <w:t xml:space="preserve"> the CVM</w:t>
      </w:r>
      <w:r w:rsidR="006A7B94">
        <w:t xml:space="preserve">.  We </w:t>
      </w:r>
      <w:r>
        <w:t>do not believe the OPM construct is appropriate to apply as it assumes a material probabilistic upside for outcomes that are representative of value “not yet created”.  The Company has not yet developed the systems infrastructure, procedures, controls and scale that would suggest that this method would be appropriate.  Value has not yet been created and the OPM construct implicitly assumes that value has been created and this is not appropriate for a</w:t>
      </w:r>
      <w:r w:rsidR="006A7B94">
        <w:t>n</w:t>
      </w:r>
      <w:r>
        <w:t xml:space="preserve"> </w:t>
      </w:r>
      <w:r w:rsidR="006A7B94">
        <w:t>early stage</w:t>
      </w:r>
      <w:r>
        <w:t xml:space="preserve"> company.  We note it will be appropriate at later stages but certainly not at </w:t>
      </w:r>
      <w:r w:rsidR="006A7B94">
        <w:t>the present stage</w:t>
      </w:r>
      <w:r>
        <w:t>.</w:t>
      </w:r>
    </w:p>
    <w:p w14:paraId="577D1F1F" w14:textId="77777777" w:rsidR="004925DA" w:rsidRDefault="004925DA" w:rsidP="00565DEF">
      <w:pPr>
        <w:pStyle w:val="RNABodyCopy"/>
      </w:pPr>
    </w:p>
    <w:p w14:paraId="43D06C99" w14:textId="77777777" w:rsidR="004925DA" w:rsidRPr="00893C63" w:rsidRDefault="004925DA" w:rsidP="004925DA">
      <w:pPr>
        <w:pStyle w:val="RNAHeadline3"/>
        <w:keepLines w:val="0"/>
        <w:widowControl/>
        <w:spacing w:line="300" w:lineRule="exact"/>
        <w:jc w:val="both"/>
      </w:pPr>
      <w:r w:rsidRPr="00893C63">
        <w:t>Option Pricing Method</w:t>
      </w:r>
    </w:p>
    <w:p w14:paraId="2DE303CC" w14:textId="14ED2429" w:rsidR="004925DA" w:rsidRDefault="004925DA" w:rsidP="004925DA">
      <w:pPr>
        <w:pStyle w:val="RNABodyCopy"/>
        <w:keepNext/>
      </w:pPr>
      <w:r w:rsidRPr="00CC2879">
        <w:t>Based on the considerations detailed above, as well as RNA’s observations of Guideline</w:t>
      </w:r>
      <w:r>
        <w:t xml:space="preserve"> Public</w:t>
      </w:r>
      <w:r w:rsidRPr="00CC2879">
        <w:t xml:space="preserve"> Companies, Guideline Transactions </w:t>
      </w:r>
      <w:r w:rsidRPr="006D4203">
        <w:rPr>
          <w:noProof/>
        </w:rPr>
        <w:t>and</w:t>
      </w:r>
      <w:r w:rsidRPr="00CC2879">
        <w:t xml:space="preserve"> general industry experience, RNA noted that the possible future outcomes and the resulting enterprise value indications for the </w:t>
      </w:r>
      <w:r>
        <w:t>Company</w:t>
      </w:r>
      <w:r w:rsidRPr="00CC2879">
        <w:t xml:space="preserve"> would not generally follow a log-normal distribution.  Given the </w:t>
      </w:r>
      <w:r>
        <w:t>Company</w:t>
      </w:r>
      <w:r w:rsidRPr="00CC2879">
        <w:t>’s early stage of development</w:t>
      </w:r>
      <w:r>
        <w:t xml:space="preserve"> (given the discontinuation of the BMP Program)</w:t>
      </w:r>
      <w:r w:rsidRPr="00CC2879">
        <w:t xml:space="preserve"> and limited historical performance and near-term projected performance, the underlying presumptions of a log-normal distribution of returns and a return distribution that follows a Geometric Brownian motion were not reasonable to apply in this analysis.  As such, RNA has elected not to rely upon the OPM</w:t>
      </w:r>
      <w:r w:rsidRPr="00750BFD">
        <w:t>.</w:t>
      </w:r>
      <w:r>
        <w:t xml:space="preserve">  </w:t>
      </w:r>
    </w:p>
    <w:p w14:paraId="79157742" w14:textId="77777777" w:rsidR="004925DA" w:rsidRDefault="004925DA" w:rsidP="004925DA">
      <w:pPr>
        <w:pStyle w:val="RNABodyCopy"/>
      </w:pPr>
    </w:p>
    <w:p w14:paraId="478D0A20" w14:textId="77777777" w:rsidR="004925DA" w:rsidRPr="00893C63" w:rsidRDefault="004925DA" w:rsidP="004925DA">
      <w:pPr>
        <w:pStyle w:val="RNAHeadline3"/>
      </w:pPr>
      <w:r w:rsidRPr="00893C63">
        <w:t xml:space="preserve">Probability Weighted Expected Return Method </w:t>
      </w:r>
    </w:p>
    <w:p w14:paraId="08CA3DE0" w14:textId="77777777" w:rsidR="004925DA" w:rsidRDefault="004925DA" w:rsidP="004925DA">
      <w:pPr>
        <w:pStyle w:val="RNABodyCopy"/>
        <w:keepNext/>
      </w:pPr>
      <w:r w:rsidRPr="00DB7AD5">
        <w:t xml:space="preserve">Since </w:t>
      </w:r>
      <w:r w:rsidRPr="001C7805">
        <w:t>Management had limited visibility into the future exit scenarios for the Company</w:t>
      </w:r>
      <w:r>
        <w:t xml:space="preserve">, </w:t>
      </w:r>
      <w:r w:rsidRPr="00DB7AD5">
        <w:t>RNA did not rely on the PWERM as a primary allocation methodology.</w:t>
      </w:r>
    </w:p>
    <w:p w14:paraId="51B48275" w14:textId="77777777" w:rsidR="004925DA" w:rsidRDefault="004925DA" w:rsidP="004925DA">
      <w:pPr>
        <w:pStyle w:val="RNABodyCopy"/>
        <w:keepNext/>
      </w:pPr>
    </w:p>
    <w:p w14:paraId="14FD924E" w14:textId="77777777" w:rsidR="004925DA" w:rsidRPr="00893C63" w:rsidRDefault="004925DA" w:rsidP="004925DA">
      <w:pPr>
        <w:pStyle w:val="RNAHeadline3"/>
      </w:pPr>
      <w:r>
        <w:t>Hybrid Method</w:t>
      </w:r>
      <w:r w:rsidRPr="00893C63">
        <w:t xml:space="preserve"> </w:t>
      </w:r>
    </w:p>
    <w:p w14:paraId="5EE27EF8" w14:textId="77777777" w:rsidR="004925DA" w:rsidRDefault="004925DA" w:rsidP="004925DA">
      <w:pPr>
        <w:pStyle w:val="RNABodyCopy"/>
        <w:keepNext/>
      </w:pPr>
      <w:r w:rsidRPr="00DB7AD5">
        <w:t xml:space="preserve">Since </w:t>
      </w:r>
      <w:r w:rsidRPr="001C7805">
        <w:t>Management had limited visibility into the future exit scenarios for the Company</w:t>
      </w:r>
      <w:r>
        <w:t xml:space="preserve">, </w:t>
      </w:r>
      <w:r w:rsidRPr="00DB7AD5">
        <w:t xml:space="preserve">RNA did not rely on the </w:t>
      </w:r>
      <w:r>
        <w:t>Hybrid Method</w:t>
      </w:r>
      <w:r w:rsidRPr="00DB7AD5">
        <w:t xml:space="preserve"> as a primary allocation methodology.</w:t>
      </w:r>
    </w:p>
    <w:p w14:paraId="02F6DABF" w14:textId="77777777" w:rsidR="000D53CD" w:rsidRPr="00C83A29" w:rsidRDefault="000D53CD" w:rsidP="00565DEF">
      <w:pPr>
        <w:pStyle w:val="RNABodyCopy"/>
      </w:pPr>
    </w:p>
    <w:p w14:paraId="75623527" w14:textId="23295EDA" w:rsidR="00573796" w:rsidRPr="00893C63" w:rsidRDefault="00573796" w:rsidP="00DE5618">
      <w:pPr>
        <w:pStyle w:val="RNAHeadline3"/>
        <w:keepLines w:val="0"/>
        <w:widowControl/>
        <w:spacing w:line="300" w:lineRule="exact"/>
        <w:jc w:val="both"/>
      </w:pPr>
      <w:r w:rsidRPr="00893C63">
        <w:t>Current Value Method</w:t>
      </w:r>
    </w:p>
    <w:p w14:paraId="66688757" w14:textId="622560BD" w:rsidR="0080569A" w:rsidRDefault="0080569A" w:rsidP="0080569A">
      <w:pPr>
        <w:pStyle w:val="RNABodyCopy"/>
      </w:pPr>
      <w:r w:rsidRPr="00951B5C">
        <w:t xml:space="preserve">Since </w:t>
      </w:r>
      <w:r w:rsidRPr="001811CC">
        <w:t xml:space="preserve">the Company is </w:t>
      </w:r>
      <w:r>
        <w:t xml:space="preserve">at an </w:t>
      </w:r>
      <w:r w:rsidRPr="001811CC">
        <w:t xml:space="preserve">early stage of </w:t>
      </w:r>
      <w:r w:rsidRPr="00892140">
        <w:rPr>
          <w:noProof/>
        </w:rPr>
        <w:t>development</w:t>
      </w:r>
      <w:r w:rsidR="004925DA">
        <w:rPr>
          <w:noProof/>
        </w:rPr>
        <w:t xml:space="preserve"> (given the discontinuation of the BMP Program)</w:t>
      </w:r>
      <w:r w:rsidRPr="001811CC">
        <w:t xml:space="preserve"> and </w:t>
      </w:r>
      <w:r>
        <w:t xml:space="preserve">does not </w:t>
      </w:r>
      <w:r w:rsidRPr="001811CC">
        <w:t>ha</w:t>
      </w:r>
      <w:r>
        <w:t>ve</w:t>
      </w:r>
      <w:r w:rsidRPr="001811CC">
        <w:t xml:space="preserve"> </w:t>
      </w:r>
      <w:r>
        <w:t>a meaningful</w:t>
      </w:r>
      <w:r w:rsidRPr="001811CC">
        <w:t xml:space="preserve"> expense history, </w:t>
      </w:r>
      <w:r w:rsidRPr="00B40B5F">
        <w:t xml:space="preserve">the total equity of the Company was allocated to the Common Stock using the CVM and </w:t>
      </w:r>
      <w:r w:rsidRPr="00892140">
        <w:rPr>
          <w:noProof/>
        </w:rPr>
        <w:t>subsequently</w:t>
      </w:r>
      <w:r w:rsidR="00CB584E">
        <w:rPr>
          <w:noProof/>
        </w:rPr>
        <w:t>,</w:t>
      </w:r>
      <w:r w:rsidRPr="00B40B5F">
        <w:t xml:space="preserve"> the value of Common Stock was determined</w:t>
      </w:r>
      <w:r w:rsidRPr="001811CC">
        <w:t xml:space="preserve">.  </w:t>
      </w:r>
    </w:p>
    <w:p w14:paraId="6C60CFD6" w14:textId="16A51253" w:rsidR="00892140" w:rsidRDefault="00892140" w:rsidP="0080569A">
      <w:pPr>
        <w:pStyle w:val="RNABodyCopy"/>
      </w:pPr>
    </w:p>
    <w:p w14:paraId="68AFBB28" w14:textId="5E698265" w:rsidR="00892140" w:rsidRDefault="00892140" w:rsidP="00892140">
      <w:pPr>
        <w:pStyle w:val="RNABodyCopy"/>
      </w:pPr>
      <w:r>
        <w:t xml:space="preserve">The allocation of equity value herein has been considered based on the rights </w:t>
      </w:r>
      <w:r w:rsidRPr="00963B89">
        <w:t xml:space="preserve">and preferences of </w:t>
      </w:r>
      <w:r w:rsidR="004925DA">
        <w:t>Series Seed 1 and Series Seed 2 (collectively the “Preferred Stock”)</w:t>
      </w:r>
      <w:r w:rsidRPr="00963B89">
        <w:t xml:space="preserve"> and </w:t>
      </w:r>
      <w:r w:rsidR="004925DA">
        <w:t>the Common Stock</w:t>
      </w:r>
      <w:r w:rsidRPr="00963B89">
        <w:t xml:space="preserve">.  </w:t>
      </w:r>
      <w:r>
        <w:t xml:space="preserve">Since the CVM approach determines the equity value as of the Valuation Date and then distributes the value through the existing capital structure, the first preference over the equity value would be given to the </w:t>
      </w:r>
      <w:r w:rsidR="004925DA">
        <w:t xml:space="preserve">Preferred Stock </w:t>
      </w:r>
      <w:r>
        <w:t xml:space="preserve">because of its preference and nature of </w:t>
      </w:r>
      <w:r w:rsidRPr="00812A60">
        <w:rPr>
          <w:noProof/>
        </w:rPr>
        <w:t>the investment</w:t>
      </w:r>
      <w:r>
        <w:t xml:space="preserve">.  </w:t>
      </w:r>
      <w:r w:rsidRPr="00963B89">
        <w:t xml:space="preserve">The equity value would be allocated to the </w:t>
      </w:r>
      <w:r w:rsidR="004925DA">
        <w:t>P</w:t>
      </w:r>
      <w:r w:rsidR="004925DA" w:rsidRPr="00963B89">
        <w:t xml:space="preserve">referred </w:t>
      </w:r>
      <w:r w:rsidR="004925DA">
        <w:t>Stock</w:t>
      </w:r>
      <w:r w:rsidR="004925DA" w:rsidRPr="00963B89">
        <w:t xml:space="preserve"> </w:t>
      </w:r>
      <w:r w:rsidRPr="00963B89">
        <w:t xml:space="preserve">based on their liquidation preferences, and after that, the remaining amount is allocated to the </w:t>
      </w:r>
      <w:r w:rsidR="004925DA">
        <w:t>Common Stock</w:t>
      </w:r>
      <w:r w:rsidRPr="00963B89">
        <w:t xml:space="preserve">.  </w:t>
      </w:r>
      <w:r>
        <w:t xml:space="preserve">If the </w:t>
      </w:r>
      <w:r w:rsidR="004925DA">
        <w:t xml:space="preserve">Preferred Stock </w:t>
      </w:r>
      <w:r>
        <w:t xml:space="preserve">of the Company is converted into the Common Stock the total equity value would be distributed between the Common Stock and the </w:t>
      </w:r>
      <w:r w:rsidR="004925DA">
        <w:t xml:space="preserve">Preferred Stock </w:t>
      </w:r>
      <w:r>
        <w:t xml:space="preserve">on </w:t>
      </w:r>
      <w:r w:rsidR="00F776A3">
        <w:t xml:space="preserve">a </w:t>
      </w:r>
      <w:r>
        <w:t xml:space="preserve">pro-rata basis.  </w:t>
      </w:r>
      <w:r w:rsidR="00AD5ABF">
        <w:t xml:space="preserve">Value allocable to the Preferred Stock was considered based on higher of the value of liquidation preference and value allocated on an as-converted basis.  After allocation to the Preferred Stock, the remaining amount was allocated to the Common Stock.  </w:t>
      </w:r>
      <w:r>
        <w:t xml:space="preserve">To calculate the per share value of the Common Stock on non-marketable, minority basis, we applied a </w:t>
      </w:r>
      <w:r w:rsidRPr="00A940B1">
        <w:t>DLOM.</w:t>
      </w:r>
      <w:r>
        <w:t xml:space="preserve">  Refer to the section “Discount for Lack of Marketability” below.</w:t>
      </w:r>
    </w:p>
    <w:p w14:paraId="4F9CB97F" w14:textId="0528A6FE" w:rsidR="00573796" w:rsidRDefault="00573796" w:rsidP="00203C9E">
      <w:pPr>
        <w:pStyle w:val="RNABodyCopy"/>
      </w:pPr>
    </w:p>
    <w:p w14:paraId="382EF9A9" w14:textId="77777777" w:rsidR="00AD5ABF" w:rsidRPr="00F51DC2" w:rsidRDefault="00AD5ABF" w:rsidP="00AD5ABF">
      <w:pPr>
        <w:pStyle w:val="RNABodyCopy"/>
        <w:rPr>
          <w:b/>
        </w:rPr>
      </w:pPr>
      <w:r w:rsidRPr="00F51DC2">
        <w:rPr>
          <w:b/>
        </w:rPr>
        <w:t>Equity Value</w:t>
      </w:r>
    </w:p>
    <w:p w14:paraId="12271375" w14:textId="5CCBE8B1" w:rsidR="00AD5ABF" w:rsidRDefault="00AD5ABF" w:rsidP="00AD5ABF">
      <w:pPr>
        <w:pStyle w:val="RNABodyCopy"/>
      </w:pPr>
      <w:r>
        <w:t xml:space="preserve">To determine the total allocable equity value of the Company under the CVM, RNA considered the investment in Series Seed 1 and Series Seed 2 (collectively the “Invested Capital”) as of the Valuation Date and applied the </w:t>
      </w:r>
      <w:proofErr w:type="spellStart"/>
      <w:r>
        <w:t>Metrick</w:t>
      </w:r>
      <w:proofErr w:type="spellEnd"/>
      <w:r>
        <w:t xml:space="preserve"> Gross Value Multiple (“MGVM”).</w:t>
      </w:r>
      <w:r>
        <w:rPr>
          <w:rStyle w:val="FootnoteReference"/>
        </w:rPr>
        <w:footnoteReference w:id="23"/>
      </w:r>
    </w:p>
    <w:p w14:paraId="00221FEA" w14:textId="77777777" w:rsidR="00AD5ABF" w:rsidRDefault="00AD5ABF" w:rsidP="00203C9E">
      <w:pPr>
        <w:pStyle w:val="RNABodyCopy"/>
      </w:pPr>
    </w:p>
    <w:p w14:paraId="0B043AED" w14:textId="75352A49" w:rsidR="00AD5ABF" w:rsidRDefault="00AD5ABF" w:rsidP="00AD5ABF">
      <w:pPr>
        <w:pStyle w:val="RNABodyCopy"/>
        <w:keepNext/>
      </w:pPr>
      <w:r>
        <w:t xml:space="preserve">Table </w:t>
      </w:r>
      <w:r w:rsidR="006461FB">
        <w:t>3</w:t>
      </w:r>
      <w:r>
        <w:t xml:space="preserve"> below illustrates the components of equity value:</w:t>
      </w:r>
    </w:p>
    <w:p w14:paraId="3C5552CA" w14:textId="77777777" w:rsidR="00AD5ABF" w:rsidRDefault="00AD5ABF" w:rsidP="00AD5ABF">
      <w:pPr>
        <w:pStyle w:val="RNABodyCopy"/>
        <w:keepNext/>
      </w:pPr>
    </w:p>
    <w:tbl>
      <w:tblPr>
        <w:tblpPr w:leftFromText="180" w:rightFromText="180" w:vertAnchor="text" w:horzAnchor="margin" w:tblpXSpec="center" w:tblpY="632"/>
        <w:tblW w:w="9090" w:type="dxa"/>
        <w:tblLook w:val="04A0" w:firstRow="1" w:lastRow="0" w:firstColumn="1" w:lastColumn="0" w:noHBand="0" w:noVBand="1"/>
      </w:tblPr>
      <w:tblGrid>
        <w:gridCol w:w="9090"/>
      </w:tblGrid>
      <w:tr w:rsidR="00AD5ABF" w:rsidRPr="00EE4C3C" w14:paraId="6B9EB8D7" w14:textId="77777777" w:rsidTr="00EA4D87">
        <w:trPr>
          <w:trHeight w:val="418"/>
        </w:trPr>
        <w:tc>
          <w:tcPr>
            <w:tcW w:w="9090" w:type="dxa"/>
            <w:tcBorders>
              <w:top w:val="nil"/>
              <w:left w:val="nil"/>
              <w:bottom w:val="nil"/>
              <w:right w:val="nil"/>
            </w:tcBorders>
            <w:shd w:val="clear" w:color="000000" w:fill="6F929D"/>
            <w:noWrap/>
            <w:vAlign w:val="center"/>
            <w:hideMark/>
          </w:tcPr>
          <w:p w14:paraId="3055EE2B" w14:textId="77777777" w:rsidR="00AD5ABF" w:rsidRPr="00EE4C3C" w:rsidRDefault="00AD5ABF" w:rsidP="00EA4D87">
            <w:pPr>
              <w:tabs>
                <w:tab w:val="left" w:pos="9720"/>
              </w:tabs>
              <w:spacing w:line="240" w:lineRule="auto"/>
              <w:rPr>
                <w:rFonts w:ascii="Georgia" w:eastAsia="MS PGothic" w:hAnsi="Georgia" w:cs="Arial"/>
                <w:b/>
                <w:color w:val="FFFFFF"/>
              </w:rPr>
            </w:pPr>
            <w:r w:rsidRPr="00EE4C3C">
              <w:rPr>
                <w:rFonts w:ascii="Georgia" w:eastAsia="MS PGothic" w:hAnsi="Georgia" w:cs="Arial"/>
                <w:b/>
                <w:color w:val="FFFFFF"/>
              </w:rPr>
              <w:t>Line Item</w:t>
            </w:r>
          </w:p>
        </w:tc>
      </w:tr>
      <w:tr w:rsidR="00AD5ABF" w:rsidRPr="00EE4C3C" w14:paraId="25B6FF2C" w14:textId="77777777" w:rsidTr="00EA4D87">
        <w:trPr>
          <w:trHeight w:val="418"/>
        </w:trPr>
        <w:tc>
          <w:tcPr>
            <w:tcW w:w="9090" w:type="dxa"/>
            <w:tcBorders>
              <w:top w:val="nil"/>
              <w:left w:val="nil"/>
              <w:bottom w:val="single" w:sz="4" w:space="0" w:color="A5BBC2"/>
              <w:right w:val="nil"/>
            </w:tcBorders>
            <w:shd w:val="clear" w:color="auto" w:fill="auto"/>
            <w:noWrap/>
            <w:vAlign w:val="center"/>
          </w:tcPr>
          <w:p w14:paraId="43260C69" w14:textId="77777777" w:rsidR="00AD5ABF" w:rsidRPr="008211A4" w:rsidRDefault="00AD5ABF" w:rsidP="00EA4D87">
            <w:pPr>
              <w:spacing w:line="240" w:lineRule="auto"/>
              <w:rPr>
                <w:rFonts w:ascii="Georgia" w:eastAsia="MS PGothic" w:hAnsi="Georgia" w:cs="Arial"/>
                <w:b/>
                <w:color w:val="48626B"/>
              </w:rPr>
            </w:pPr>
            <w:r>
              <w:rPr>
                <w:rFonts w:ascii="Georgia" w:eastAsia="MS PGothic" w:hAnsi="Georgia" w:cs="Arial"/>
                <w:b/>
                <w:color w:val="48626B"/>
              </w:rPr>
              <w:t xml:space="preserve">Invested Capital </w:t>
            </w:r>
          </w:p>
        </w:tc>
      </w:tr>
      <w:tr w:rsidR="00AD5ABF" w:rsidRPr="00EE4C3C" w14:paraId="4A8C647D" w14:textId="77777777" w:rsidTr="00EA4D87">
        <w:trPr>
          <w:trHeight w:val="418"/>
        </w:trPr>
        <w:tc>
          <w:tcPr>
            <w:tcW w:w="9090" w:type="dxa"/>
            <w:tcBorders>
              <w:top w:val="single" w:sz="4" w:space="0" w:color="A5BBC2"/>
              <w:left w:val="nil"/>
              <w:bottom w:val="single" w:sz="4" w:space="0" w:color="A5BBC2"/>
              <w:right w:val="nil"/>
            </w:tcBorders>
            <w:shd w:val="clear" w:color="auto" w:fill="auto"/>
            <w:noWrap/>
            <w:vAlign w:val="center"/>
          </w:tcPr>
          <w:p w14:paraId="78680B74" w14:textId="3EE6F69A" w:rsidR="00AD5ABF" w:rsidRPr="00EE4C3C" w:rsidRDefault="00AD5ABF" w:rsidP="00EA4D87">
            <w:pPr>
              <w:spacing w:line="240" w:lineRule="auto"/>
              <w:ind w:firstLine="252"/>
              <w:rPr>
                <w:rFonts w:ascii="Georgia" w:eastAsia="MS PGothic" w:hAnsi="Georgia" w:cs="Arial"/>
                <w:color w:val="48626B"/>
              </w:rPr>
            </w:pPr>
            <w:r>
              <w:rPr>
                <w:rFonts w:ascii="Georgia" w:eastAsia="MS PGothic" w:hAnsi="Georgia" w:cs="Arial"/>
                <w:color w:val="48626B"/>
              </w:rPr>
              <w:t>Multiply: MGVM Exit Multiple</w:t>
            </w:r>
          </w:p>
        </w:tc>
      </w:tr>
      <w:tr w:rsidR="00AD5ABF" w:rsidRPr="00EE4C3C" w14:paraId="7223323E" w14:textId="77777777" w:rsidTr="00EA4D87">
        <w:trPr>
          <w:trHeight w:val="418"/>
        </w:trPr>
        <w:tc>
          <w:tcPr>
            <w:tcW w:w="9090" w:type="dxa"/>
            <w:tcBorders>
              <w:top w:val="single" w:sz="4" w:space="0" w:color="A5BBC2"/>
              <w:left w:val="nil"/>
              <w:bottom w:val="single" w:sz="4" w:space="0" w:color="A5BBC2"/>
              <w:right w:val="nil"/>
            </w:tcBorders>
            <w:shd w:val="clear" w:color="auto" w:fill="auto"/>
            <w:noWrap/>
            <w:vAlign w:val="center"/>
          </w:tcPr>
          <w:p w14:paraId="06F7F94A" w14:textId="3F693806" w:rsidR="00AD5ABF" w:rsidRPr="00EE4C3C" w:rsidRDefault="00AD5ABF" w:rsidP="001C16B3">
            <w:pPr>
              <w:spacing w:line="240" w:lineRule="auto"/>
              <w:rPr>
                <w:rFonts w:ascii="Georgia" w:eastAsia="MS PGothic" w:hAnsi="Georgia" w:cs="Arial"/>
                <w:color w:val="48626B"/>
              </w:rPr>
            </w:pPr>
            <w:r>
              <w:rPr>
                <w:rFonts w:ascii="Georgia" w:eastAsia="MS PGothic" w:hAnsi="Georgia" w:cs="Arial"/>
                <w:b/>
                <w:color w:val="48626B"/>
              </w:rPr>
              <w:t>Exit</w:t>
            </w:r>
            <w:r w:rsidRPr="000B57EE">
              <w:rPr>
                <w:rFonts w:ascii="Georgia" w:eastAsia="MS PGothic" w:hAnsi="Georgia" w:cs="Arial"/>
                <w:b/>
                <w:color w:val="48626B"/>
              </w:rPr>
              <w:t xml:space="preserve"> </w:t>
            </w:r>
            <w:r>
              <w:rPr>
                <w:rFonts w:ascii="Georgia" w:eastAsia="MS PGothic" w:hAnsi="Georgia" w:cs="Arial"/>
                <w:b/>
                <w:color w:val="48626B"/>
              </w:rPr>
              <w:t>V</w:t>
            </w:r>
            <w:r w:rsidRPr="000B57EE">
              <w:rPr>
                <w:rFonts w:ascii="Georgia" w:eastAsia="MS PGothic" w:hAnsi="Georgia" w:cs="Arial"/>
                <w:b/>
                <w:color w:val="48626B"/>
              </w:rPr>
              <w:t>alue</w:t>
            </w:r>
            <w:r>
              <w:rPr>
                <w:rFonts w:ascii="Georgia" w:eastAsia="MS PGothic" w:hAnsi="Georgia" w:cs="Arial"/>
                <w:color w:val="48626B"/>
              </w:rPr>
              <w:t xml:space="preserve"> </w:t>
            </w:r>
          </w:p>
        </w:tc>
      </w:tr>
    </w:tbl>
    <w:p w14:paraId="5C71C0C0" w14:textId="59E66364" w:rsidR="00AD5ABF" w:rsidRDefault="00AD5ABF" w:rsidP="00AD5ABF">
      <w:pPr>
        <w:keepNext/>
        <w:keepLines/>
        <w:jc w:val="center"/>
        <w:rPr>
          <w:rFonts w:ascii="Georgia" w:eastAsia="MS PGothic" w:hAnsi="Georgia"/>
          <w:i/>
          <w:color w:val="595959"/>
        </w:rPr>
      </w:pPr>
      <w:r w:rsidRPr="00EE4C3C">
        <w:rPr>
          <w:rFonts w:ascii="Georgia" w:eastAsia="MS PGothic" w:hAnsi="Georgia"/>
          <w:i/>
          <w:color w:val="595959"/>
        </w:rPr>
        <w:t xml:space="preserve">Table </w:t>
      </w:r>
      <w:r w:rsidR="00CD6388">
        <w:rPr>
          <w:rFonts w:ascii="Georgia" w:eastAsia="MS PGothic" w:hAnsi="Georgia"/>
          <w:i/>
          <w:color w:val="595959"/>
        </w:rPr>
        <w:t>3</w:t>
      </w:r>
      <w:r w:rsidRPr="00EE4C3C">
        <w:rPr>
          <w:rFonts w:ascii="Georgia" w:eastAsia="MS PGothic" w:hAnsi="Georgia"/>
          <w:i/>
          <w:color w:val="595959"/>
        </w:rPr>
        <w:t xml:space="preserve">: </w:t>
      </w:r>
      <w:r>
        <w:rPr>
          <w:rFonts w:ascii="Georgia" w:eastAsia="MS PGothic" w:hAnsi="Georgia"/>
          <w:i/>
          <w:color w:val="595959"/>
        </w:rPr>
        <w:t xml:space="preserve">Equity Value Calculation </w:t>
      </w:r>
    </w:p>
    <w:p w14:paraId="12FC7492" w14:textId="77777777" w:rsidR="00AD5ABF" w:rsidRDefault="00AD5ABF" w:rsidP="00AD5ABF">
      <w:pPr>
        <w:pStyle w:val="RNABodyCopy"/>
      </w:pPr>
    </w:p>
    <w:p w14:paraId="72260122" w14:textId="77777777" w:rsidR="00AD5ABF" w:rsidRDefault="00AD5ABF" w:rsidP="00203C9E">
      <w:pPr>
        <w:pStyle w:val="RNABodyCopy"/>
      </w:pPr>
    </w:p>
    <w:p w14:paraId="370662AC" w14:textId="77777777" w:rsidR="00AD5ABF" w:rsidRDefault="00AD5ABF" w:rsidP="00203C9E">
      <w:pPr>
        <w:pStyle w:val="RNABodyCopy"/>
      </w:pPr>
    </w:p>
    <w:p w14:paraId="79A6DB15" w14:textId="77777777" w:rsidR="003D2A36" w:rsidRPr="00A71F2E" w:rsidRDefault="003D2A36" w:rsidP="003D2A36">
      <w:pPr>
        <w:pStyle w:val="RNABodyCopy"/>
        <w:rPr>
          <w:b/>
        </w:rPr>
      </w:pPr>
      <w:r w:rsidRPr="00A71F2E">
        <w:rPr>
          <w:b/>
        </w:rPr>
        <w:t>Invested Capital</w:t>
      </w:r>
    </w:p>
    <w:p w14:paraId="112FA600" w14:textId="6382DF3B" w:rsidR="003D2A36" w:rsidRDefault="003D2A36" w:rsidP="003D2A36">
      <w:pPr>
        <w:pStyle w:val="RNABodyCopy"/>
      </w:pPr>
      <w:r>
        <w:t>To determine the equity value of the Company under the CVM, RNA considered the Invested Capital</w:t>
      </w:r>
      <w:r w:rsidR="00CD6388">
        <w:t xml:space="preserve"> in Series Seed 1 and Series Seed 2</w:t>
      </w:r>
      <w:r>
        <w:t xml:space="preserve">. </w:t>
      </w:r>
    </w:p>
    <w:p w14:paraId="6BFFFABB" w14:textId="77777777" w:rsidR="003D2A36" w:rsidRDefault="003D2A36" w:rsidP="003D2A36">
      <w:pPr>
        <w:pStyle w:val="RNABodyCopy"/>
      </w:pPr>
    </w:p>
    <w:p w14:paraId="5642C2A1" w14:textId="77777777" w:rsidR="003D2A36" w:rsidRPr="00A71F2E" w:rsidRDefault="003D2A36" w:rsidP="003D2A36">
      <w:pPr>
        <w:pStyle w:val="RNABodyCopy"/>
        <w:rPr>
          <w:b/>
        </w:rPr>
      </w:pPr>
      <w:r w:rsidRPr="00A71F2E">
        <w:rPr>
          <w:b/>
        </w:rPr>
        <w:t>Exit Multiple</w:t>
      </w:r>
    </w:p>
    <w:p w14:paraId="20D08873" w14:textId="10BC503C" w:rsidR="00D578C3" w:rsidRDefault="003D2A36" w:rsidP="00203C9E">
      <w:pPr>
        <w:pStyle w:val="RNABodyCopy"/>
      </w:pPr>
      <w:r>
        <w:t xml:space="preserve">We considered exit multiples based on the MGVM.  The </w:t>
      </w:r>
      <w:r w:rsidRPr="006D4203">
        <w:rPr>
          <w:noProof/>
        </w:rPr>
        <w:t>MGVMs</w:t>
      </w:r>
      <w:r>
        <w:t xml:space="preserve"> are calculated by dividing the total value of all investments at the exit, by the invested capital.  Exhibit </w:t>
      </w:r>
      <w:r w:rsidR="00196784">
        <w:t>F</w:t>
      </w:r>
      <w:r>
        <w:t xml:space="preserve">.1 shows the likelihood for various ranges of MGVMs for </w:t>
      </w:r>
      <w:r w:rsidRPr="006D4203">
        <w:rPr>
          <w:noProof/>
        </w:rPr>
        <w:t>a first-round</w:t>
      </w:r>
      <w:r>
        <w:t xml:space="preserve"> investment by VC </w:t>
      </w:r>
      <w:r w:rsidRPr="006D4203">
        <w:rPr>
          <w:noProof/>
        </w:rPr>
        <w:t>firms</w:t>
      </w:r>
      <w:r w:rsidR="006461FB">
        <w:t>, g</w:t>
      </w:r>
      <w:r>
        <w:t>iven the early stage of development of the Company and its technology</w:t>
      </w:r>
      <w:r w:rsidR="00573796">
        <w:t xml:space="preserve">. </w:t>
      </w:r>
      <w:r w:rsidR="00C83A29">
        <w:t xml:space="preserve"> </w:t>
      </w:r>
      <w:r w:rsidR="006461FB" w:rsidRPr="006461FB">
        <w:t xml:space="preserve">Relative to </w:t>
      </w:r>
      <w:r w:rsidR="006461FB">
        <w:t xml:space="preserve">the </w:t>
      </w:r>
      <w:r w:rsidR="006461FB" w:rsidRPr="006461FB">
        <w:t xml:space="preserve">Previous Valuation, the Company discontinued the development of </w:t>
      </w:r>
      <w:r w:rsidR="006461FB">
        <w:t xml:space="preserve">the </w:t>
      </w:r>
      <w:r w:rsidR="006461FB" w:rsidRPr="006461FB">
        <w:t>BMP</w:t>
      </w:r>
      <w:r w:rsidR="006461FB">
        <w:t xml:space="preserve"> Program</w:t>
      </w:r>
      <w:r w:rsidR="006461FB" w:rsidRPr="006461FB">
        <w:t xml:space="preserve">. </w:t>
      </w:r>
      <w:r w:rsidR="006461FB">
        <w:t xml:space="preserve"> </w:t>
      </w:r>
      <w:r w:rsidR="006461FB" w:rsidRPr="006461FB">
        <w:t xml:space="preserve">Considering most of the </w:t>
      </w:r>
      <w:r w:rsidR="006461FB">
        <w:t>Invested Capital</w:t>
      </w:r>
      <w:r w:rsidR="006461FB" w:rsidRPr="006461FB">
        <w:t xml:space="preserve"> for Series Seed 1 was spent on the BMP</w:t>
      </w:r>
      <w:r w:rsidR="006461FB">
        <w:t xml:space="preserve"> Program</w:t>
      </w:r>
      <w:r w:rsidR="006461FB" w:rsidRPr="006461FB">
        <w:t>, we chose to apply a multiple close to the de-</w:t>
      </w:r>
      <w:proofErr w:type="spellStart"/>
      <w:r w:rsidR="006461FB" w:rsidRPr="006461FB">
        <w:t>minimus</w:t>
      </w:r>
      <w:proofErr w:type="spellEnd"/>
      <w:r w:rsidR="006461FB" w:rsidRPr="006461FB">
        <w:t xml:space="preserve"> multiple </w:t>
      </w:r>
      <w:r w:rsidR="006461FB" w:rsidRPr="006D4203">
        <w:rPr>
          <w:noProof/>
        </w:rPr>
        <w:t>range</w:t>
      </w:r>
      <w:r w:rsidR="006461FB" w:rsidRPr="006461FB">
        <w:t xml:space="preserve">. </w:t>
      </w:r>
      <w:r w:rsidR="006461FB">
        <w:t xml:space="preserve"> </w:t>
      </w:r>
      <w:r w:rsidR="006461FB" w:rsidRPr="006461FB">
        <w:t xml:space="preserve">Furthermore, given the early stage of development of the Company and the IL-2 </w:t>
      </w:r>
      <w:r w:rsidR="006461FB">
        <w:t>pipeline</w:t>
      </w:r>
      <w:r w:rsidR="006461FB" w:rsidRPr="006461FB">
        <w:t>, we considered a multiple close to the low of the range for Series Seed 2.</w:t>
      </w:r>
      <w:r w:rsidR="006461FB">
        <w:t xml:space="preserve"> </w:t>
      </w:r>
      <w:r w:rsidR="006461FB" w:rsidRPr="006461FB">
        <w:t xml:space="preserve"> As such, we determined an implied multiple close to the weighted-average multiple based on the investments in Series Seed 1 and Series Seed 2.</w:t>
      </w:r>
      <w:r w:rsidR="00D578C3">
        <w:t xml:space="preserve"> </w:t>
      </w:r>
    </w:p>
    <w:p w14:paraId="0536C76B" w14:textId="77777777" w:rsidR="00573796" w:rsidRDefault="00573796" w:rsidP="00203C9E">
      <w:pPr>
        <w:pStyle w:val="RNABodyCopy"/>
      </w:pPr>
    </w:p>
    <w:p w14:paraId="7BE17750" w14:textId="6C536093" w:rsidR="006461FB" w:rsidRDefault="006461FB" w:rsidP="006461FB">
      <w:pPr>
        <w:pStyle w:val="RNABodyCopy"/>
        <w:keepNext/>
      </w:pPr>
      <w:r>
        <w:t>Table 4 below illustrates the calculation:</w:t>
      </w:r>
    </w:p>
    <w:p w14:paraId="13AB4395" w14:textId="77777777" w:rsidR="006461FB" w:rsidRDefault="006461FB" w:rsidP="006461FB">
      <w:pPr>
        <w:pStyle w:val="RNABodyCopy"/>
        <w:keepNext/>
      </w:pPr>
    </w:p>
    <w:tbl>
      <w:tblPr>
        <w:tblpPr w:leftFromText="180" w:rightFromText="180" w:vertAnchor="text" w:horzAnchor="margin" w:tblpXSpec="center" w:tblpY="632"/>
        <w:tblW w:w="10080" w:type="dxa"/>
        <w:tblLook w:val="04A0" w:firstRow="1" w:lastRow="0" w:firstColumn="1" w:lastColumn="0" w:noHBand="0" w:noVBand="1"/>
      </w:tblPr>
      <w:tblGrid>
        <w:gridCol w:w="4230"/>
        <w:gridCol w:w="2925"/>
        <w:gridCol w:w="2925"/>
      </w:tblGrid>
      <w:tr w:rsidR="006461FB" w:rsidRPr="00EE4C3C" w14:paraId="0A182380" w14:textId="16446FED" w:rsidTr="00951B5C">
        <w:trPr>
          <w:trHeight w:val="418"/>
        </w:trPr>
        <w:tc>
          <w:tcPr>
            <w:tcW w:w="4230" w:type="dxa"/>
            <w:tcBorders>
              <w:top w:val="nil"/>
              <w:left w:val="nil"/>
              <w:bottom w:val="nil"/>
              <w:right w:val="nil"/>
            </w:tcBorders>
            <w:shd w:val="clear" w:color="000000" w:fill="6F929D"/>
            <w:noWrap/>
            <w:vAlign w:val="center"/>
            <w:hideMark/>
          </w:tcPr>
          <w:p w14:paraId="2C4C6700" w14:textId="77777777" w:rsidR="006461FB" w:rsidRPr="00EE4C3C" w:rsidRDefault="006461FB" w:rsidP="00EA4D87">
            <w:pPr>
              <w:tabs>
                <w:tab w:val="left" w:pos="9720"/>
              </w:tabs>
              <w:spacing w:line="240" w:lineRule="auto"/>
              <w:rPr>
                <w:rFonts w:ascii="Georgia" w:eastAsia="MS PGothic" w:hAnsi="Georgia" w:cs="Arial"/>
                <w:b/>
                <w:color w:val="FFFFFF"/>
              </w:rPr>
            </w:pPr>
            <w:r w:rsidRPr="00EE4C3C">
              <w:rPr>
                <w:rFonts w:ascii="Georgia" w:eastAsia="MS PGothic" w:hAnsi="Georgia" w:cs="Arial"/>
                <w:b/>
                <w:color w:val="FFFFFF"/>
              </w:rPr>
              <w:t>Line Item</w:t>
            </w:r>
          </w:p>
        </w:tc>
        <w:tc>
          <w:tcPr>
            <w:tcW w:w="2925" w:type="dxa"/>
            <w:tcBorders>
              <w:top w:val="nil"/>
              <w:left w:val="nil"/>
              <w:bottom w:val="nil"/>
              <w:right w:val="nil"/>
            </w:tcBorders>
            <w:shd w:val="clear" w:color="000000" w:fill="6F929D"/>
          </w:tcPr>
          <w:p w14:paraId="6A506854" w14:textId="499890D3" w:rsidR="006461FB" w:rsidRPr="00EE4C3C" w:rsidRDefault="006461FB" w:rsidP="00951B5C">
            <w:pPr>
              <w:tabs>
                <w:tab w:val="left" w:pos="9720"/>
              </w:tabs>
              <w:spacing w:line="240" w:lineRule="auto"/>
              <w:jc w:val="right"/>
              <w:rPr>
                <w:rFonts w:ascii="Georgia" w:eastAsia="MS PGothic" w:hAnsi="Georgia" w:cs="Arial"/>
                <w:b/>
                <w:color w:val="FFFFFF"/>
              </w:rPr>
            </w:pPr>
            <w:r w:rsidRPr="006461FB">
              <w:rPr>
                <w:rFonts w:ascii="Georgia" w:eastAsia="MS PGothic" w:hAnsi="Georgia" w:cs="Arial"/>
                <w:b/>
                <w:color w:val="FFFFFF"/>
              </w:rPr>
              <w:t>% Share of Total Invested Capital</w:t>
            </w:r>
          </w:p>
        </w:tc>
        <w:tc>
          <w:tcPr>
            <w:tcW w:w="2925" w:type="dxa"/>
            <w:tcBorders>
              <w:top w:val="nil"/>
              <w:left w:val="nil"/>
              <w:bottom w:val="nil"/>
              <w:right w:val="nil"/>
            </w:tcBorders>
            <w:shd w:val="clear" w:color="000000" w:fill="6F929D"/>
          </w:tcPr>
          <w:p w14:paraId="5A86949D" w14:textId="2D6EE5D0" w:rsidR="006461FB" w:rsidRPr="00EE4C3C" w:rsidRDefault="006461FB" w:rsidP="00951B5C">
            <w:pPr>
              <w:tabs>
                <w:tab w:val="left" w:pos="9720"/>
              </w:tabs>
              <w:spacing w:line="240" w:lineRule="auto"/>
              <w:jc w:val="right"/>
              <w:rPr>
                <w:rFonts w:ascii="Georgia" w:eastAsia="MS PGothic" w:hAnsi="Georgia" w:cs="Arial"/>
                <w:b/>
                <w:color w:val="FFFFFF"/>
              </w:rPr>
            </w:pPr>
            <w:r>
              <w:rPr>
                <w:rFonts w:ascii="Georgia" w:eastAsia="MS PGothic" w:hAnsi="Georgia" w:cs="Arial"/>
                <w:b/>
                <w:color w:val="FFFFFF"/>
              </w:rPr>
              <w:t>Multiple</w:t>
            </w:r>
          </w:p>
        </w:tc>
      </w:tr>
      <w:tr w:rsidR="006461FB" w:rsidRPr="001C16B3" w14:paraId="0CB84357" w14:textId="7800353E" w:rsidTr="00951B5C">
        <w:trPr>
          <w:trHeight w:val="418"/>
        </w:trPr>
        <w:tc>
          <w:tcPr>
            <w:tcW w:w="4230" w:type="dxa"/>
            <w:tcBorders>
              <w:top w:val="nil"/>
              <w:left w:val="nil"/>
              <w:bottom w:val="single" w:sz="4" w:space="0" w:color="A5BBC2"/>
              <w:right w:val="nil"/>
            </w:tcBorders>
            <w:shd w:val="clear" w:color="auto" w:fill="auto"/>
            <w:noWrap/>
            <w:vAlign w:val="center"/>
          </w:tcPr>
          <w:p w14:paraId="5B169753" w14:textId="1D6A99BA" w:rsidR="006461FB" w:rsidRPr="00951B5C" w:rsidRDefault="006461FB" w:rsidP="00EA4D87">
            <w:pPr>
              <w:spacing w:line="240" w:lineRule="auto"/>
              <w:rPr>
                <w:rFonts w:ascii="Georgia" w:eastAsia="MS PGothic" w:hAnsi="Georgia" w:cs="Arial"/>
                <w:color w:val="48626B"/>
              </w:rPr>
            </w:pPr>
            <w:r w:rsidRPr="00951B5C">
              <w:rPr>
                <w:rFonts w:ascii="Georgia" w:eastAsia="MS PGothic" w:hAnsi="Georgia" w:cs="Arial"/>
                <w:color w:val="48626B"/>
              </w:rPr>
              <w:t xml:space="preserve">Series Seed 1 </w:t>
            </w:r>
          </w:p>
        </w:tc>
        <w:tc>
          <w:tcPr>
            <w:tcW w:w="2925" w:type="dxa"/>
            <w:tcBorders>
              <w:top w:val="nil"/>
              <w:left w:val="nil"/>
              <w:bottom w:val="single" w:sz="4" w:space="0" w:color="A5BBC2"/>
              <w:right w:val="nil"/>
            </w:tcBorders>
          </w:tcPr>
          <w:p w14:paraId="2BA7A147" w14:textId="64610BB2" w:rsidR="006461FB" w:rsidRPr="00951B5C" w:rsidRDefault="006461FB" w:rsidP="00951B5C">
            <w:pPr>
              <w:spacing w:line="240" w:lineRule="auto"/>
              <w:jc w:val="right"/>
              <w:rPr>
                <w:rFonts w:ascii="Georgia" w:eastAsia="MS PGothic" w:hAnsi="Georgia" w:cs="Arial"/>
                <w:color w:val="48626B"/>
              </w:rPr>
            </w:pPr>
            <w:r w:rsidRPr="00951B5C">
              <w:rPr>
                <w:rFonts w:ascii="Georgia" w:eastAsia="MS PGothic" w:hAnsi="Georgia" w:cs="Arial"/>
                <w:color w:val="48626B"/>
              </w:rPr>
              <w:t>23.6%</w:t>
            </w:r>
          </w:p>
        </w:tc>
        <w:tc>
          <w:tcPr>
            <w:tcW w:w="2925" w:type="dxa"/>
            <w:tcBorders>
              <w:top w:val="nil"/>
              <w:left w:val="nil"/>
              <w:bottom w:val="single" w:sz="4" w:space="0" w:color="A5BBC2"/>
              <w:right w:val="nil"/>
            </w:tcBorders>
          </w:tcPr>
          <w:p w14:paraId="3B078AC1" w14:textId="76641FC0" w:rsidR="006461FB" w:rsidRPr="00951B5C" w:rsidRDefault="001C16B3" w:rsidP="00951B5C">
            <w:pPr>
              <w:spacing w:line="240" w:lineRule="auto"/>
              <w:jc w:val="right"/>
              <w:rPr>
                <w:rFonts w:ascii="Georgia" w:eastAsia="MS PGothic" w:hAnsi="Georgia" w:cs="Arial"/>
                <w:color w:val="48626B"/>
              </w:rPr>
            </w:pPr>
            <w:r w:rsidRPr="00951B5C">
              <w:rPr>
                <w:rFonts w:ascii="Georgia" w:eastAsia="MS PGothic" w:hAnsi="Georgia" w:cs="Arial"/>
                <w:color w:val="48626B"/>
              </w:rPr>
              <w:t>0.37x</w:t>
            </w:r>
          </w:p>
        </w:tc>
      </w:tr>
      <w:tr w:rsidR="006461FB" w:rsidRPr="00EE4C3C" w14:paraId="4AA0A406" w14:textId="2B62D213" w:rsidTr="00951B5C">
        <w:trPr>
          <w:trHeight w:val="418"/>
        </w:trPr>
        <w:tc>
          <w:tcPr>
            <w:tcW w:w="4230" w:type="dxa"/>
            <w:tcBorders>
              <w:top w:val="single" w:sz="4" w:space="0" w:color="A5BBC2"/>
              <w:left w:val="nil"/>
              <w:bottom w:val="single" w:sz="4" w:space="0" w:color="A5BBC2"/>
              <w:right w:val="nil"/>
            </w:tcBorders>
            <w:shd w:val="clear" w:color="auto" w:fill="auto"/>
            <w:noWrap/>
            <w:vAlign w:val="center"/>
          </w:tcPr>
          <w:p w14:paraId="13FC2192" w14:textId="61025A25" w:rsidR="006461FB" w:rsidRPr="001C16B3" w:rsidRDefault="006461FB" w:rsidP="00951B5C">
            <w:pPr>
              <w:spacing w:line="240" w:lineRule="auto"/>
              <w:rPr>
                <w:rFonts w:ascii="Georgia" w:eastAsia="MS PGothic" w:hAnsi="Georgia" w:cs="Arial"/>
                <w:color w:val="48626B"/>
              </w:rPr>
            </w:pPr>
            <w:r w:rsidRPr="00951B5C">
              <w:rPr>
                <w:rFonts w:ascii="Georgia" w:eastAsia="MS PGothic" w:hAnsi="Georgia" w:cs="Arial"/>
                <w:color w:val="48626B"/>
              </w:rPr>
              <w:t>Series Seed 2</w:t>
            </w:r>
          </w:p>
        </w:tc>
        <w:tc>
          <w:tcPr>
            <w:tcW w:w="2925" w:type="dxa"/>
            <w:tcBorders>
              <w:top w:val="single" w:sz="4" w:space="0" w:color="A5BBC2"/>
              <w:left w:val="nil"/>
              <w:bottom w:val="single" w:sz="4" w:space="0" w:color="A5BBC2"/>
              <w:right w:val="nil"/>
            </w:tcBorders>
          </w:tcPr>
          <w:p w14:paraId="161AB183" w14:textId="7A0A8F9D" w:rsidR="006461FB" w:rsidRPr="001C16B3" w:rsidRDefault="006461FB" w:rsidP="00951B5C">
            <w:pPr>
              <w:spacing w:line="240" w:lineRule="auto"/>
              <w:ind w:firstLine="252"/>
              <w:jc w:val="right"/>
              <w:rPr>
                <w:rFonts w:ascii="Georgia" w:eastAsia="MS PGothic" w:hAnsi="Georgia" w:cs="Arial"/>
                <w:color w:val="48626B"/>
              </w:rPr>
            </w:pPr>
            <w:r w:rsidRPr="001C16B3">
              <w:rPr>
                <w:rFonts w:ascii="Georgia" w:eastAsia="MS PGothic" w:hAnsi="Georgia" w:cs="Arial"/>
                <w:color w:val="48626B"/>
              </w:rPr>
              <w:t>76.4%</w:t>
            </w:r>
          </w:p>
        </w:tc>
        <w:tc>
          <w:tcPr>
            <w:tcW w:w="2925" w:type="dxa"/>
            <w:tcBorders>
              <w:top w:val="single" w:sz="4" w:space="0" w:color="A5BBC2"/>
              <w:left w:val="nil"/>
              <w:bottom w:val="single" w:sz="4" w:space="0" w:color="A5BBC2"/>
              <w:right w:val="nil"/>
            </w:tcBorders>
          </w:tcPr>
          <w:p w14:paraId="0921F314" w14:textId="7A23056D" w:rsidR="006461FB" w:rsidRDefault="001C16B3" w:rsidP="00951B5C">
            <w:pPr>
              <w:spacing w:line="240" w:lineRule="auto"/>
              <w:ind w:firstLine="252"/>
              <w:jc w:val="right"/>
              <w:rPr>
                <w:rFonts w:ascii="Georgia" w:eastAsia="MS PGothic" w:hAnsi="Georgia" w:cs="Arial"/>
                <w:color w:val="48626B"/>
              </w:rPr>
            </w:pPr>
            <w:r>
              <w:rPr>
                <w:rFonts w:ascii="Georgia" w:eastAsia="MS PGothic" w:hAnsi="Georgia" w:cs="Arial"/>
                <w:color w:val="48626B"/>
              </w:rPr>
              <w:t>1.46x</w:t>
            </w:r>
          </w:p>
        </w:tc>
      </w:tr>
      <w:tr w:rsidR="006461FB" w:rsidRPr="00EE4C3C" w14:paraId="04C16C83" w14:textId="76770760" w:rsidTr="00951B5C">
        <w:trPr>
          <w:trHeight w:val="418"/>
        </w:trPr>
        <w:tc>
          <w:tcPr>
            <w:tcW w:w="4230" w:type="dxa"/>
            <w:tcBorders>
              <w:top w:val="single" w:sz="4" w:space="0" w:color="A5BBC2"/>
              <w:left w:val="nil"/>
              <w:bottom w:val="single" w:sz="4" w:space="0" w:color="A5BBC2"/>
              <w:right w:val="nil"/>
            </w:tcBorders>
            <w:shd w:val="clear" w:color="auto" w:fill="auto"/>
            <w:noWrap/>
            <w:vAlign w:val="center"/>
          </w:tcPr>
          <w:p w14:paraId="0FC146AF" w14:textId="3002204A" w:rsidR="006461FB" w:rsidRPr="00EE4C3C" w:rsidRDefault="006461FB" w:rsidP="001C16B3">
            <w:pPr>
              <w:spacing w:line="240" w:lineRule="auto"/>
              <w:rPr>
                <w:rFonts w:ascii="Georgia" w:eastAsia="MS PGothic" w:hAnsi="Georgia" w:cs="Arial"/>
                <w:color w:val="48626B"/>
              </w:rPr>
            </w:pPr>
            <w:r w:rsidRPr="006461FB">
              <w:rPr>
                <w:rFonts w:ascii="Georgia" w:eastAsia="MS PGothic" w:hAnsi="Georgia" w:cs="Arial"/>
                <w:b/>
                <w:color w:val="48626B"/>
              </w:rPr>
              <w:t>Implied W</w:t>
            </w:r>
            <w:r w:rsidR="001C16B3">
              <w:rPr>
                <w:rFonts w:ascii="Georgia" w:eastAsia="MS PGothic" w:hAnsi="Georgia" w:cs="Arial"/>
                <w:b/>
                <w:color w:val="48626B"/>
              </w:rPr>
              <w:t>eighted</w:t>
            </w:r>
            <w:r w:rsidRPr="006461FB">
              <w:rPr>
                <w:rFonts w:ascii="Georgia" w:eastAsia="MS PGothic" w:hAnsi="Georgia" w:cs="Arial"/>
                <w:b/>
                <w:color w:val="48626B"/>
              </w:rPr>
              <w:t xml:space="preserve"> Av</w:t>
            </w:r>
            <w:r w:rsidR="001C16B3">
              <w:rPr>
                <w:rFonts w:ascii="Georgia" w:eastAsia="MS PGothic" w:hAnsi="Georgia" w:cs="Arial"/>
                <w:b/>
                <w:color w:val="48626B"/>
              </w:rPr>
              <w:t>era</w:t>
            </w:r>
            <w:r w:rsidRPr="006461FB">
              <w:rPr>
                <w:rFonts w:ascii="Georgia" w:eastAsia="MS PGothic" w:hAnsi="Georgia" w:cs="Arial"/>
                <w:b/>
                <w:color w:val="48626B"/>
              </w:rPr>
              <w:t>g</w:t>
            </w:r>
            <w:r w:rsidR="001C16B3">
              <w:rPr>
                <w:rFonts w:ascii="Georgia" w:eastAsia="MS PGothic" w:hAnsi="Georgia" w:cs="Arial"/>
                <w:b/>
                <w:color w:val="48626B"/>
              </w:rPr>
              <w:t>e</w:t>
            </w:r>
            <w:r w:rsidRPr="006461FB">
              <w:rPr>
                <w:rFonts w:ascii="Georgia" w:eastAsia="MS PGothic" w:hAnsi="Georgia" w:cs="Arial"/>
                <w:b/>
                <w:color w:val="48626B"/>
              </w:rPr>
              <w:t xml:space="preserve"> Multiple</w:t>
            </w:r>
          </w:p>
        </w:tc>
        <w:tc>
          <w:tcPr>
            <w:tcW w:w="2925" w:type="dxa"/>
            <w:tcBorders>
              <w:top w:val="single" w:sz="4" w:space="0" w:color="A5BBC2"/>
              <w:left w:val="nil"/>
              <w:bottom w:val="single" w:sz="4" w:space="0" w:color="A5BBC2"/>
              <w:right w:val="nil"/>
            </w:tcBorders>
          </w:tcPr>
          <w:p w14:paraId="5FD7C5D0" w14:textId="77777777" w:rsidR="006461FB" w:rsidRDefault="006461FB" w:rsidP="00EA4D87">
            <w:pPr>
              <w:spacing w:line="240" w:lineRule="auto"/>
              <w:rPr>
                <w:rFonts w:ascii="Georgia" w:eastAsia="MS PGothic" w:hAnsi="Georgia" w:cs="Arial"/>
                <w:b/>
                <w:color w:val="48626B"/>
              </w:rPr>
            </w:pPr>
          </w:p>
        </w:tc>
        <w:tc>
          <w:tcPr>
            <w:tcW w:w="2925" w:type="dxa"/>
            <w:tcBorders>
              <w:top w:val="single" w:sz="4" w:space="0" w:color="A5BBC2"/>
              <w:left w:val="nil"/>
              <w:bottom w:val="single" w:sz="4" w:space="0" w:color="A5BBC2"/>
              <w:right w:val="nil"/>
            </w:tcBorders>
          </w:tcPr>
          <w:p w14:paraId="4F62E828" w14:textId="2C943064" w:rsidR="006461FB" w:rsidRDefault="001C16B3" w:rsidP="00951B5C">
            <w:pPr>
              <w:spacing w:line="240" w:lineRule="auto"/>
              <w:jc w:val="right"/>
              <w:rPr>
                <w:rFonts w:ascii="Georgia" w:eastAsia="MS PGothic" w:hAnsi="Georgia" w:cs="Arial"/>
                <w:b/>
                <w:color w:val="48626B"/>
              </w:rPr>
            </w:pPr>
            <w:r>
              <w:rPr>
                <w:rFonts w:ascii="Georgia" w:eastAsia="MS PGothic" w:hAnsi="Georgia" w:cs="Arial"/>
                <w:b/>
                <w:color w:val="48626B"/>
              </w:rPr>
              <w:t>1.20x</w:t>
            </w:r>
          </w:p>
        </w:tc>
      </w:tr>
    </w:tbl>
    <w:p w14:paraId="0D45ACBE" w14:textId="1F1FD06C" w:rsidR="006461FB" w:rsidRDefault="006461FB" w:rsidP="006461FB">
      <w:pPr>
        <w:keepNext/>
        <w:keepLines/>
        <w:jc w:val="center"/>
        <w:rPr>
          <w:rFonts w:ascii="Georgia" w:eastAsia="MS PGothic" w:hAnsi="Georgia"/>
          <w:i/>
          <w:color w:val="595959"/>
        </w:rPr>
      </w:pPr>
      <w:r w:rsidRPr="00EE4C3C">
        <w:rPr>
          <w:rFonts w:ascii="Georgia" w:eastAsia="MS PGothic" w:hAnsi="Georgia"/>
          <w:i/>
          <w:color w:val="595959"/>
        </w:rPr>
        <w:t xml:space="preserve">Table </w:t>
      </w:r>
      <w:r w:rsidR="001C16B3">
        <w:rPr>
          <w:rFonts w:ascii="Georgia" w:eastAsia="MS PGothic" w:hAnsi="Georgia"/>
          <w:i/>
          <w:color w:val="595959"/>
        </w:rPr>
        <w:t>4</w:t>
      </w:r>
      <w:r w:rsidRPr="00EE4C3C">
        <w:rPr>
          <w:rFonts w:ascii="Georgia" w:eastAsia="MS PGothic" w:hAnsi="Georgia"/>
          <w:i/>
          <w:color w:val="595959"/>
        </w:rPr>
        <w:t xml:space="preserve">: </w:t>
      </w:r>
      <w:r>
        <w:rPr>
          <w:rFonts w:ascii="Georgia" w:eastAsia="MS PGothic" w:hAnsi="Georgia"/>
          <w:i/>
          <w:color w:val="595959"/>
        </w:rPr>
        <w:t xml:space="preserve">Weighted Average Multiple Calculation </w:t>
      </w:r>
    </w:p>
    <w:p w14:paraId="4500A7C0" w14:textId="77777777" w:rsidR="006461FB" w:rsidRDefault="006461FB" w:rsidP="006461FB">
      <w:pPr>
        <w:pStyle w:val="RNABodyCopy"/>
      </w:pPr>
    </w:p>
    <w:p w14:paraId="15C40A80" w14:textId="77777777" w:rsidR="006461FB" w:rsidRDefault="006461FB" w:rsidP="0080569A">
      <w:pPr>
        <w:pStyle w:val="RNABodyCopy"/>
        <w:keepNext/>
        <w:rPr>
          <w:b/>
        </w:rPr>
      </w:pPr>
    </w:p>
    <w:p w14:paraId="1CD3A0AD" w14:textId="77777777" w:rsidR="006461FB" w:rsidRDefault="006461FB" w:rsidP="0080569A">
      <w:pPr>
        <w:pStyle w:val="RNABodyCopy"/>
        <w:keepNext/>
        <w:rPr>
          <w:b/>
        </w:rPr>
      </w:pPr>
    </w:p>
    <w:p w14:paraId="2C097A39" w14:textId="77777777" w:rsidR="0080569A" w:rsidRPr="00172DCB" w:rsidRDefault="0080569A" w:rsidP="0080569A">
      <w:pPr>
        <w:pStyle w:val="RNABodyCopy"/>
        <w:keepNext/>
        <w:rPr>
          <w:b/>
        </w:rPr>
      </w:pPr>
      <w:r w:rsidRPr="00172DCB">
        <w:rPr>
          <w:b/>
        </w:rPr>
        <w:t>CVM Conclusion</w:t>
      </w:r>
    </w:p>
    <w:p w14:paraId="02A29BCD" w14:textId="60974439" w:rsidR="0080569A" w:rsidRDefault="0080569A" w:rsidP="0080569A">
      <w:pPr>
        <w:pStyle w:val="RNABodyCopy"/>
        <w:keepNext/>
      </w:pPr>
      <w:r>
        <w:t xml:space="preserve">Based on the above, we concluded the total equity </w:t>
      </w:r>
      <w:r w:rsidRPr="00164A70">
        <w:t>value of $</w:t>
      </w:r>
      <w:r w:rsidR="00AD5ABF">
        <w:t>6</w:t>
      </w:r>
      <w:r w:rsidRPr="00164A70">
        <w:t>.</w:t>
      </w:r>
      <w:r w:rsidR="00AD5ABF">
        <w:t>3</w:t>
      </w:r>
      <w:r w:rsidR="00AD5ABF" w:rsidRPr="00164A70">
        <w:t xml:space="preserve"> </w:t>
      </w:r>
      <w:r w:rsidRPr="00164A70">
        <w:t>million and a price per share of Common Stock of $0.0</w:t>
      </w:r>
      <w:r w:rsidR="003D2A36" w:rsidRPr="00164A70">
        <w:t>8</w:t>
      </w:r>
      <w:r w:rsidRPr="00892140">
        <w:t>, on a non-marketable, minority basis.  Refer to Exhibit B.1 for further</w:t>
      </w:r>
      <w:r w:rsidRPr="00E90B98">
        <w:t xml:space="preserve"> details.</w:t>
      </w:r>
      <w:r>
        <w:t xml:space="preserve">  </w:t>
      </w:r>
    </w:p>
    <w:p w14:paraId="03BAB048" w14:textId="77777777" w:rsidR="0080569A" w:rsidRDefault="0080569A" w:rsidP="00203C9E">
      <w:pPr>
        <w:pStyle w:val="RNABodyCopy"/>
      </w:pPr>
    </w:p>
    <w:p w14:paraId="756CEF51" w14:textId="42CAC25C" w:rsidR="00191A1B" w:rsidRPr="00565DEF" w:rsidRDefault="00191A1B" w:rsidP="00191A1B">
      <w:pPr>
        <w:pStyle w:val="RNAHeadlineB"/>
        <w:outlineLvl w:val="1"/>
        <w:rPr>
          <w:rFonts w:ascii="Georgia" w:hAnsi="Georgia"/>
        </w:rPr>
      </w:pPr>
      <w:bookmarkStart w:id="58" w:name="_Toc2188953"/>
      <w:r>
        <w:rPr>
          <w:rFonts w:ascii="Georgia" w:hAnsi="Georgia"/>
        </w:rPr>
        <w:t>Discounts and Premiums</w:t>
      </w:r>
      <w:bookmarkEnd w:id="58"/>
    </w:p>
    <w:p w14:paraId="2EC96A5B" w14:textId="77777777" w:rsidR="005D7651" w:rsidRPr="009E5638" w:rsidRDefault="005D7651" w:rsidP="00BB5DEE">
      <w:pPr>
        <w:pStyle w:val="RNAHeadline3"/>
      </w:pPr>
      <w:r w:rsidRPr="009E5638">
        <w:t>Discount for Lack of Marketability</w:t>
      </w:r>
    </w:p>
    <w:p w14:paraId="0001F0AA" w14:textId="32FE4C8B" w:rsidR="005D7651" w:rsidRPr="00565113" w:rsidRDefault="005D7651" w:rsidP="00DE5618">
      <w:pPr>
        <w:pStyle w:val="RNABodyCopy"/>
        <w:keepNext/>
      </w:pPr>
      <w:r w:rsidRPr="00675D7A">
        <w:t>The holder of a nonmarketable investment is subject to the risk that the investment’s value will decline before the investment can be sold to another investor in a private t</w:t>
      </w:r>
      <w:r w:rsidRPr="00FE03C7">
        <w:t xml:space="preserve">ransaction.  Conversely, the holder of an investment that is identical but for the fact that there exists an active public market is not subject to the same risk.  Therefore, the holder of the nonmarketable investment will have a higher required rate of return on the investment than the holder of the marketable investment.  Consequently, the nonmarketable investment will sell at a discount to the marketable investment.  </w:t>
      </w:r>
      <w:r w:rsidR="00F56BCF" w:rsidRPr="00FE03C7">
        <w:t xml:space="preserve">RNA determined </w:t>
      </w:r>
      <w:r w:rsidR="00F56BCF" w:rsidRPr="00DE5618">
        <w:t>a DLOM</w:t>
      </w:r>
      <w:r w:rsidR="00F56BCF" w:rsidRPr="00675D7A">
        <w:t xml:space="preserve"> as a necessary consideration in the analysis since the minority co</w:t>
      </w:r>
      <w:r w:rsidR="00F56BCF" w:rsidRPr="00FE03C7">
        <w:t xml:space="preserve">mmon </w:t>
      </w:r>
      <w:r w:rsidR="00F56BCF" w:rsidRPr="006D4203">
        <w:rPr>
          <w:noProof/>
        </w:rPr>
        <w:t>stock holders</w:t>
      </w:r>
      <w:r w:rsidR="00F56BCF" w:rsidRPr="00FE03C7">
        <w:t xml:space="preserve"> of the Company, unlike the shareholders of the Guideline Public Companies, do not have access to an active public market for their securities.  Further, the Company’s common </w:t>
      </w:r>
      <w:r w:rsidR="00F56BCF" w:rsidRPr="006D4203">
        <w:rPr>
          <w:noProof/>
        </w:rPr>
        <w:t>stock holders</w:t>
      </w:r>
      <w:r w:rsidR="00F56BCF" w:rsidRPr="00FE03C7">
        <w:t xml:space="preserve"> do not possess the rights to force the Company to register with the Securities and Exchange Commission in order to sell their shares.  The lack of marketability of common stock may materially limit a shareholder’s ability to liquidate the investment into cash without the risk of loss in value.</w:t>
      </w:r>
    </w:p>
    <w:p w14:paraId="657A67CC" w14:textId="77777777" w:rsidR="005D7651" w:rsidRPr="00565113" w:rsidRDefault="005D7651" w:rsidP="005D7651">
      <w:pPr>
        <w:pStyle w:val="RNABodyCopy"/>
      </w:pPr>
    </w:p>
    <w:p w14:paraId="23ECE63D" w14:textId="77777777" w:rsidR="005D7651" w:rsidRPr="00565113" w:rsidRDefault="005D7651" w:rsidP="005D7651">
      <w:pPr>
        <w:pStyle w:val="RNABodyCopy"/>
      </w:pPr>
      <w:r>
        <w:t>F</w:t>
      </w:r>
      <w:r w:rsidRPr="00565113">
        <w:t>actor</w:t>
      </w:r>
      <w:r>
        <w:t>s</w:t>
      </w:r>
      <w:r w:rsidRPr="00565113">
        <w:t xml:space="preserve"> that impact the size of the DLOM fall into two categories: (1) factors that affect the duration of the holding period necessary to locate a buyer and negotiate a sale, and (2) factors that affect the degree of risk faced per unit of time during this holding period.  Risk per unit of time, according to modern investment theory, is the volatility of an investment’s total return (i.e., both dividends and capital appreciation), or the propensity for an investment’s actual return to differ from its expected return.  Factors that either increase the duration of the holding period or increase the expected volatility of an investment’s total return result in higher DLOM.  These factors and their directional impact (all else equal) on the size of the DLOM include the following, among others:</w:t>
      </w:r>
    </w:p>
    <w:p w14:paraId="52496D6D" w14:textId="77777777" w:rsidR="005D7651" w:rsidRPr="00565113" w:rsidRDefault="005D7651" w:rsidP="005D7651">
      <w:pPr>
        <w:pStyle w:val="RNABodyCopy"/>
      </w:pPr>
    </w:p>
    <w:p w14:paraId="65F7E26F" w14:textId="77777777" w:rsidR="005D7651" w:rsidRPr="00565113" w:rsidRDefault="005D7651" w:rsidP="005D7651">
      <w:pPr>
        <w:pStyle w:val="RNABodyCopy-bullets"/>
        <w:numPr>
          <w:ilvl w:val="0"/>
          <w:numId w:val="51"/>
        </w:numPr>
        <w:ind w:hanging="720"/>
      </w:pPr>
      <w:r w:rsidRPr="00565113">
        <w:t xml:space="preserve">Presence/absence of a public market for the investment interest: </w:t>
      </w:r>
      <w:r>
        <w:t>P</w:t>
      </w:r>
      <w:r w:rsidRPr="00565113">
        <w:t>resence of a public market eliminates the discount</w:t>
      </w:r>
      <w:r>
        <w:t>;</w:t>
      </w:r>
    </w:p>
    <w:p w14:paraId="71B6B57B" w14:textId="77777777" w:rsidR="005D7651" w:rsidRDefault="005D7651" w:rsidP="005D7651">
      <w:pPr>
        <w:pStyle w:val="RNABodyCopy-bullets"/>
        <w:numPr>
          <w:ilvl w:val="0"/>
          <w:numId w:val="51"/>
        </w:numPr>
        <w:ind w:hanging="720"/>
      </w:pPr>
      <w:r w:rsidRPr="00565113">
        <w:t xml:space="preserve">Availability of information on the underlying business and its financial condition: </w:t>
      </w:r>
      <w:r>
        <w:t>M</w:t>
      </w:r>
      <w:r w:rsidRPr="00565113">
        <w:t>ore information reduces the discount because it is easier for prospective investors to perform valuation analyses of the investment</w:t>
      </w:r>
      <w:r>
        <w:t>;</w:t>
      </w:r>
    </w:p>
    <w:p w14:paraId="095D24E0" w14:textId="77777777" w:rsidR="005D7651" w:rsidRDefault="005D7651" w:rsidP="005D7651">
      <w:pPr>
        <w:pStyle w:val="RNABodyCopy-bullets"/>
        <w:numPr>
          <w:ilvl w:val="0"/>
          <w:numId w:val="51"/>
        </w:numPr>
        <w:ind w:hanging="720"/>
      </w:pPr>
      <w:r w:rsidRPr="006D4203">
        <w:rPr>
          <w:noProof/>
        </w:rPr>
        <w:t>Complexity</w:t>
      </w:r>
      <w:r w:rsidRPr="00565113">
        <w:t xml:space="preserve"> of the underlying business and business strategy: </w:t>
      </w:r>
      <w:r>
        <w:t>G</w:t>
      </w:r>
      <w:r w:rsidRPr="00565113">
        <w:t>reater complexity increases the discount by making it more difficult for prospective investors to evaluate the business’ opportunities and threats, thus making it more difficult to perform valuation analyses of the investment</w:t>
      </w:r>
      <w:r>
        <w:t>;</w:t>
      </w:r>
    </w:p>
    <w:p w14:paraId="555C5C26" w14:textId="77777777" w:rsidR="005D7651" w:rsidRPr="00565113" w:rsidRDefault="005D7651" w:rsidP="005D7651">
      <w:pPr>
        <w:pStyle w:val="RNABodyCopy-bullets"/>
        <w:numPr>
          <w:ilvl w:val="0"/>
          <w:numId w:val="51"/>
        </w:numPr>
        <w:ind w:hanging="720"/>
      </w:pPr>
      <w:r w:rsidRPr="00565113">
        <w:t xml:space="preserve">Access to Management of the underlying business: </w:t>
      </w:r>
      <w:r>
        <w:t>G</w:t>
      </w:r>
      <w:r w:rsidRPr="00565113">
        <w:t>reater access to Management reduces the discount by making it easier for prospective investors to understand the business and evaluate the talent of the business’</w:t>
      </w:r>
      <w:r>
        <w:t>s</w:t>
      </w:r>
      <w:r w:rsidRPr="00565113">
        <w:t xml:space="preserve"> management</w:t>
      </w:r>
      <w:r>
        <w:t>;</w:t>
      </w:r>
    </w:p>
    <w:p w14:paraId="5347EF2D" w14:textId="77777777" w:rsidR="005D7651" w:rsidRDefault="005D7651" w:rsidP="005D7651">
      <w:pPr>
        <w:pStyle w:val="RNABodyCopy-bullets"/>
        <w:numPr>
          <w:ilvl w:val="0"/>
          <w:numId w:val="51"/>
        </w:numPr>
        <w:ind w:hanging="720"/>
      </w:pPr>
      <w:r>
        <w:t>Information tracking by</w:t>
      </w:r>
      <w:r w:rsidRPr="00565113">
        <w:t xml:space="preserve"> security/business analysts: </w:t>
      </w:r>
      <w:r>
        <w:t>S</w:t>
      </w:r>
      <w:r w:rsidRPr="00565113">
        <w:t>ome large private companies release financial and other data and are followed by analysts tracking their publicly traded competitors</w:t>
      </w:r>
      <w:r>
        <w:t>.  T</w:t>
      </w:r>
      <w:r w:rsidRPr="00565113">
        <w:t>he presence of such a following reduces the discount by making it easier for prospective investors to perform valuation analyses of the investment</w:t>
      </w:r>
      <w:r>
        <w:t>;</w:t>
      </w:r>
    </w:p>
    <w:p w14:paraId="09AF753B" w14:textId="77777777" w:rsidR="005D7651" w:rsidRDefault="005D7651" w:rsidP="005D7651">
      <w:pPr>
        <w:pStyle w:val="RNABodyCopy-bullets"/>
        <w:numPr>
          <w:ilvl w:val="0"/>
          <w:numId w:val="51"/>
        </w:numPr>
        <w:ind w:hanging="720"/>
      </w:pPr>
      <w:r w:rsidRPr="006D4203">
        <w:rPr>
          <w:noProof/>
        </w:rPr>
        <w:t>Potential</w:t>
      </w:r>
      <w:r w:rsidRPr="00565113">
        <w:t xml:space="preserve"> for a sale of the business or an </w:t>
      </w:r>
      <w:r>
        <w:t>IPO</w:t>
      </w:r>
      <w:r w:rsidRPr="00565113">
        <w:t xml:space="preserve"> of stock: </w:t>
      </w:r>
      <w:r>
        <w:t>S</w:t>
      </w:r>
      <w:r w:rsidRPr="00565113">
        <w:t xml:space="preserve">uch potential </w:t>
      </w:r>
      <w:r>
        <w:t>scenarios decrease</w:t>
      </w:r>
      <w:r w:rsidRPr="00565113">
        <w:t xml:space="preserve"> the discount by reducing the expected total costs to an investor exiting the investment and decreasing the expected time until exit</w:t>
      </w:r>
      <w:r>
        <w:t>;</w:t>
      </w:r>
    </w:p>
    <w:p w14:paraId="2B3110C8" w14:textId="77777777" w:rsidR="005D7651" w:rsidRDefault="005D7651" w:rsidP="005D7651">
      <w:pPr>
        <w:pStyle w:val="RNABodyCopy-bullets"/>
        <w:numPr>
          <w:ilvl w:val="0"/>
          <w:numId w:val="51"/>
        </w:numPr>
        <w:ind w:hanging="720"/>
      </w:pPr>
      <w:r w:rsidRPr="00565113">
        <w:t>Variability of the business’</w:t>
      </w:r>
      <w:r>
        <w:t>s</w:t>
      </w:r>
      <w:r w:rsidRPr="00565113">
        <w:t xml:space="preserve"> operating profit: </w:t>
      </w:r>
      <w:r>
        <w:t>G</w:t>
      </w:r>
      <w:r w:rsidRPr="00565113">
        <w:t xml:space="preserve">reater variability increases the discount since it increases the degree of risk per unit of time during the holding period (by affecting the outlook for future dividends </w:t>
      </w:r>
      <w:proofErr w:type="gramStart"/>
      <w:r w:rsidRPr="00565113">
        <w:t>and also</w:t>
      </w:r>
      <w:proofErr w:type="gramEnd"/>
      <w:r w:rsidRPr="00565113">
        <w:t>, therefore, the valuation of the investment)</w:t>
      </w:r>
      <w:r>
        <w:t>;</w:t>
      </w:r>
    </w:p>
    <w:p w14:paraId="145D92EA" w14:textId="77777777" w:rsidR="005D7651" w:rsidRDefault="005D7651" w:rsidP="005D7651">
      <w:pPr>
        <w:pStyle w:val="RNABodyCopy-bullets"/>
        <w:numPr>
          <w:ilvl w:val="0"/>
          <w:numId w:val="51"/>
        </w:numPr>
        <w:ind w:hanging="720"/>
      </w:pPr>
      <w:r>
        <w:t>F</w:t>
      </w:r>
      <w:r w:rsidRPr="00565113">
        <w:t xml:space="preserve">inancial leverage in the business: </w:t>
      </w:r>
      <w:r>
        <w:t xml:space="preserve">Higher </w:t>
      </w:r>
      <w:r w:rsidRPr="00565113">
        <w:t xml:space="preserve">leverage increases the discount since it increases the degree of risk per unit of time during the holding period (by affecting the outlook for future dividends </w:t>
      </w:r>
      <w:proofErr w:type="gramStart"/>
      <w:r w:rsidRPr="00565113">
        <w:t>and also</w:t>
      </w:r>
      <w:proofErr w:type="gramEnd"/>
      <w:r w:rsidRPr="00565113">
        <w:t>, therefore, the valuation of the investment)</w:t>
      </w:r>
      <w:r>
        <w:t>;</w:t>
      </w:r>
    </w:p>
    <w:p w14:paraId="64D9CEB5" w14:textId="77777777" w:rsidR="005D7651" w:rsidRDefault="005D7651" w:rsidP="005D7651">
      <w:pPr>
        <w:pStyle w:val="RNABodyCopy-bullets"/>
        <w:numPr>
          <w:ilvl w:val="0"/>
          <w:numId w:val="51"/>
        </w:numPr>
        <w:ind w:hanging="720"/>
      </w:pPr>
      <w:r>
        <w:t>S</w:t>
      </w:r>
      <w:r w:rsidRPr="00565113">
        <w:t xml:space="preserve">ize of the business as measured by sales or total assets: </w:t>
      </w:r>
      <w:r>
        <w:t>S</w:t>
      </w:r>
      <w:r w:rsidRPr="00565113">
        <w:t>mall size, which has been associated empirically with greater overall business risk, increases the discount and vice versa</w:t>
      </w:r>
      <w:r>
        <w:t>; and</w:t>
      </w:r>
    </w:p>
    <w:p w14:paraId="12DBDC55" w14:textId="748BF918" w:rsidR="005D7651" w:rsidRPr="00565113" w:rsidRDefault="005D7651" w:rsidP="005D7651">
      <w:pPr>
        <w:pStyle w:val="RNABodyCopy-bullets"/>
        <w:numPr>
          <w:ilvl w:val="0"/>
          <w:numId w:val="51"/>
        </w:numPr>
        <w:ind w:hanging="720"/>
      </w:pPr>
      <w:r w:rsidRPr="006D4203">
        <w:rPr>
          <w:noProof/>
        </w:rPr>
        <w:t>Regularity</w:t>
      </w:r>
      <w:r w:rsidRPr="00565113">
        <w:t xml:space="preserve"> of distributions to equity holders: </w:t>
      </w:r>
      <w:r>
        <w:t>The e</w:t>
      </w:r>
      <w:r w:rsidRPr="00565113">
        <w:t xml:space="preserve">xpectation of regular future distributions monetized for equity holders in a </w:t>
      </w:r>
      <w:r w:rsidRPr="006D4203">
        <w:rPr>
          <w:noProof/>
        </w:rPr>
        <w:t>flow through</w:t>
      </w:r>
      <w:r w:rsidRPr="00565113">
        <w:t xml:space="preserve"> </w:t>
      </w:r>
      <w:r w:rsidRPr="006D4203">
        <w:rPr>
          <w:noProof/>
        </w:rPr>
        <w:t>company</w:t>
      </w:r>
      <w:r>
        <w:t xml:space="preserve"> and the</w:t>
      </w:r>
      <w:r w:rsidRPr="00565113">
        <w:t xml:space="preserve"> potential for insufficient cash distributions to satisfy their tax liabilities </w:t>
      </w:r>
      <w:r>
        <w:t>(</w:t>
      </w:r>
      <w:r w:rsidRPr="00565113">
        <w:t xml:space="preserve">attributable to such </w:t>
      </w:r>
      <w:r>
        <w:t>company</w:t>
      </w:r>
      <w:r w:rsidRPr="00565113">
        <w:t>’s income</w:t>
      </w:r>
      <w:r>
        <w:t>)</w:t>
      </w:r>
      <w:r w:rsidRPr="00565113">
        <w:t xml:space="preserve"> increase</w:t>
      </w:r>
      <w:r w:rsidR="005A471A">
        <w:t>s</w:t>
      </w:r>
      <w:r w:rsidRPr="00565113">
        <w:t xml:space="preserve"> the discount</w:t>
      </w:r>
      <w:r>
        <w:t>.</w:t>
      </w:r>
    </w:p>
    <w:p w14:paraId="17A075E8" w14:textId="77777777" w:rsidR="005D7651" w:rsidRPr="00565113" w:rsidRDefault="005D7651" w:rsidP="005D7651">
      <w:pPr>
        <w:pStyle w:val="ListParagraph"/>
      </w:pPr>
    </w:p>
    <w:p w14:paraId="01D814A2" w14:textId="77777777" w:rsidR="005D7651" w:rsidRPr="00565113" w:rsidRDefault="005D7651" w:rsidP="005D7651">
      <w:pPr>
        <w:pStyle w:val="RNABodyCopy"/>
      </w:pPr>
      <w:r>
        <w:t>With respect to a DLOM, e</w:t>
      </w:r>
      <w:r w:rsidRPr="00565113">
        <w:t xml:space="preserve">mpirical observations exist that show that, when investors consider alternative investments in either a freely traded security </w:t>
      </w:r>
      <w:r>
        <w:t>or</w:t>
      </w:r>
      <w:r w:rsidRPr="00565113">
        <w:t xml:space="preserve"> </w:t>
      </w:r>
      <w:r w:rsidRPr="006D4203">
        <w:rPr>
          <w:noProof/>
        </w:rPr>
        <w:t>a security</w:t>
      </w:r>
      <w:r w:rsidRPr="00565113">
        <w:t xml:space="preserve"> whose marketability is limited, they will price the security with limited marketability at a discount to its freely traded counterpart.  Market evidence of the </w:t>
      </w:r>
      <w:r>
        <w:t>DLOM</w:t>
      </w:r>
      <w:r w:rsidRPr="00565113">
        <w:t xml:space="preserve"> can be found in two types of transactions, among others: (1) private placements of restricted stock by public companies, and (2) private placements of stock by private companies that later undergo initial public offerings of their stock.</w:t>
      </w:r>
      <w:r>
        <w:t xml:space="preserve">  </w:t>
      </w:r>
    </w:p>
    <w:p w14:paraId="599C4C0A" w14:textId="77777777" w:rsidR="005D7651" w:rsidRDefault="005D7651" w:rsidP="005D7651">
      <w:pPr>
        <w:pStyle w:val="RNABodyCopy"/>
        <w:rPr>
          <w:b/>
        </w:rPr>
      </w:pPr>
    </w:p>
    <w:p w14:paraId="5C1DF686" w14:textId="77777777" w:rsidR="005D7651" w:rsidRPr="00094F80" w:rsidRDefault="005D7651" w:rsidP="00DE5618">
      <w:pPr>
        <w:pStyle w:val="RNABodyCopy"/>
        <w:keepNext/>
        <w:rPr>
          <w:b/>
        </w:rPr>
      </w:pPr>
      <w:r w:rsidRPr="00094F80">
        <w:rPr>
          <w:b/>
        </w:rPr>
        <w:t>Finnerty Analysis</w:t>
      </w:r>
    </w:p>
    <w:p w14:paraId="048749D3" w14:textId="235EC4B9" w:rsidR="005D7651" w:rsidRPr="00164A70" w:rsidRDefault="005D7651" w:rsidP="00DE5618">
      <w:pPr>
        <w:pStyle w:val="RNABodyCopy"/>
        <w:keepNext/>
      </w:pPr>
      <w:proofErr w:type="gramStart"/>
      <w:r w:rsidRPr="00094F80">
        <w:t>In particular, John Finnerty</w:t>
      </w:r>
      <w:proofErr w:type="gramEnd"/>
      <w:r w:rsidRPr="00094F80">
        <w:t xml:space="preserve"> proposed a model that assumes the investor does not possess special market timing ability and would be equally likely to exercise the hypothetical liquid security at any given point of time. </w:t>
      </w:r>
      <w:r>
        <w:t xml:space="preserve"> </w:t>
      </w:r>
      <w:r w:rsidRPr="00094F80">
        <w:t xml:space="preserve">The value of marketability was modeled as the present value of cash flows, </w:t>
      </w:r>
      <w:proofErr w:type="gramStart"/>
      <w:r w:rsidRPr="00094F80">
        <w:t>similar to</w:t>
      </w:r>
      <w:proofErr w:type="gramEnd"/>
      <w:r w:rsidRPr="00094F80">
        <w:t xml:space="preserve"> an average-strike put option.</w:t>
      </w:r>
      <w:r>
        <w:t xml:space="preserve"> </w:t>
      </w:r>
      <w:r w:rsidRPr="00094F80">
        <w:t xml:space="preserve"> The Finnerty method addresses the issue of assuming perfect market timing in Longstaff’s look-back option method and the issue of assuming protection on the downside while still realizing appreciation on the upside in the protective put method.</w:t>
      </w:r>
      <w:r>
        <w:t xml:space="preserve"> </w:t>
      </w:r>
      <w:r w:rsidRPr="00094F80">
        <w:t xml:space="preserve"> Finnerty also performed a regression analysis to restricted stock studies, adjusting to remove other significant factors, such as </w:t>
      </w:r>
      <w:r w:rsidRPr="006D4203">
        <w:rPr>
          <w:noProof/>
        </w:rPr>
        <w:t>concentration</w:t>
      </w:r>
      <w:r w:rsidRPr="00094F80">
        <w:t xml:space="preserve"> of ownership and information effects, and found that after isolating the marketability-related factors, the discounts predicted by his method are </w:t>
      </w:r>
      <w:r w:rsidRPr="00164A70">
        <w:t>consistent with the data.  Finnerty presented an updated version of his model at the American Society of Appra</w:t>
      </w:r>
      <w:r w:rsidRPr="00892140">
        <w:t xml:space="preserve">isers’ Advanced Business Valuation conference in October 2009.  Based on this analysis, RNA determined a DLOM of </w:t>
      </w:r>
      <w:r w:rsidR="005C5E3F" w:rsidRPr="00A71F2E">
        <w:t>36</w:t>
      </w:r>
      <w:r w:rsidRPr="00A71F2E">
        <w:t>.</w:t>
      </w:r>
      <w:r w:rsidR="005C5E3F" w:rsidRPr="00A71F2E">
        <w:t>2</w:t>
      </w:r>
      <w:r w:rsidRPr="00A71F2E">
        <w:t>%</w:t>
      </w:r>
      <w:r w:rsidRPr="00164A70">
        <w:t xml:space="preserve">.  Refer to </w:t>
      </w:r>
      <w:r w:rsidRPr="00A71F2E">
        <w:t xml:space="preserve">Exhibit </w:t>
      </w:r>
      <w:r w:rsidR="00196784">
        <w:t>F</w:t>
      </w:r>
      <w:r w:rsidRPr="00A71F2E">
        <w:t>.</w:t>
      </w:r>
      <w:r w:rsidR="005C5E3F" w:rsidRPr="00164A70">
        <w:t xml:space="preserve">2 </w:t>
      </w:r>
      <w:r w:rsidRPr="00892140">
        <w:t>for further details</w:t>
      </w:r>
      <w:r w:rsidRPr="00164A70">
        <w:t xml:space="preserve">.  </w:t>
      </w:r>
    </w:p>
    <w:p w14:paraId="5527E0A5" w14:textId="77777777" w:rsidR="005D7651" w:rsidRPr="00892140" w:rsidRDefault="005D7651" w:rsidP="005D7651">
      <w:pPr>
        <w:pStyle w:val="RNABodyCopy"/>
        <w:rPr>
          <w:b/>
        </w:rPr>
      </w:pPr>
    </w:p>
    <w:p w14:paraId="693897F9" w14:textId="77777777" w:rsidR="005D7651" w:rsidRPr="00892140" w:rsidRDefault="005D7651" w:rsidP="00DE5618">
      <w:pPr>
        <w:pStyle w:val="RNABodyCopy"/>
        <w:keepNext/>
      </w:pPr>
      <w:r w:rsidRPr="00892140">
        <w:rPr>
          <w:b/>
        </w:rPr>
        <w:t>Asian Put Analysis</w:t>
      </w:r>
    </w:p>
    <w:p w14:paraId="07F81420" w14:textId="05ADA628" w:rsidR="005D7651" w:rsidRPr="00892140" w:rsidRDefault="005D7651" w:rsidP="00A71F2E">
      <w:pPr>
        <w:pStyle w:val="RNABodyCopy"/>
        <w:keepNext/>
      </w:pPr>
      <w:r w:rsidRPr="00892140">
        <w:t xml:space="preserve">The Finnerty average-strike put option </w:t>
      </w:r>
      <w:r w:rsidRPr="006D4203">
        <w:rPr>
          <w:noProof/>
        </w:rPr>
        <w:t>model,</w:t>
      </w:r>
      <w:r w:rsidRPr="00892140">
        <w:t xml:space="preserve"> also called an Asian put option, assumes that the put option is struck at the average price of the stock over the period from </w:t>
      </w:r>
      <w:r w:rsidR="005A471A">
        <w:t xml:space="preserve">the </w:t>
      </w:r>
      <w:r w:rsidRPr="00892140">
        <w:t xml:space="preserve">valuation date to </w:t>
      </w:r>
      <w:r w:rsidR="005A471A">
        <w:t xml:space="preserve">the </w:t>
      </w:r>
      <w:r w:rsidRPr="00892140">
        <w:t xml:space="preserve">expiration date.  The seller is not assumed to have any special market timing ability.  Based on this analysis, RNA determined a DLOM of </w:t>
      </w:r>
      <w:r w:rsidR="005C5E3F" w:rsidRPr="00A71F2E">
        <w:t>42.3</w:t>
      </w:r>
      <w:r w:rsidRPr="00A71F2E">
        <w:t>%</w:t>
      </w:r>
      <w:r w:rsidRPr="00164A70">
        <w:t xml:space="preserve">.  Refer to </w:t>
      </w:r>
      <w:r w:rsidRPr="00A71F2E">
        <w:t xml:space="preserve">Exhibit </w:t>
      </w:r>
      <w:r w:rsidR="00196784">
        <w:t>F</w:t>
      </w:r>
      <w:r w:rsidRPr="00A71F2E">
        <w:t>.</w:t>
      </w:r>
      <w:r w:rsidR="005C5E3F" w:rsidRPr="00164A70">
        <w:t>2</w:t>
      </w:r>
      <w:r w:rsidR="005C5E3F" w:rsidRPr="00892140">
        <w:t xml:space="preserve"> </w:t>
      </w:r>
      <w:r w:rsidRPr="00892140">
        <w:t>for further details</w:t>
      </w:r>
      <w:r w:rsidR="00671E92" w:rsidRPr="00892140">
        <w:t>.</w:t>
      </w:r>
    </w:p>
    <w:p w14:paraId="5328BCBB" w14:textId="77777777" w:rsidR="005D7651" w:rsidRPr="00892140" w:rsidRDefault="005D7651" w:rsidP="005D7651">
      <w:pPr>
        <w:pStyle w:val="RNABodyCopy"/>
      </w:pPr>
    </w:p>
    <w:p w14:paraId="5CDD391C" w14:textId="77777777" w:rsidR="005D7651" w:rsidRPr="00164A70" w:rsidRDefault="005D7651" w:rsidP="00DE5618">
      <w:pPr>
        <w:pStyle w:val="RNABodyCopy"/>
        <w:keepNext/>
        <w:rPr>
          <w:b/>
        </w:rPr>
      </w:pPr>
      <w:r w:rsidRPr="00892140">
        <w:rPr>
          <w:b/>
        </w:rPr>
        <w:t>DLOM Conclusion</w:t>
      </w:r>
    </w:p>
    <w:p w14:paraId="2DE4C595" w14:textId="71CC01CD" w:rsidR="005D7651" w:rsidRDefault="005D7651" w:rsidP="00DE5618">
      <w:pPr>
        <w:pStyle w:val="RNABodyCopy"/>
        <w:keepNext/>
      </w:pPr>
      <w:r w:rsidRPr="00164A70">
        <w:t>Based on the quantitati</w:t>
      </w:r>
      <w:r w:rsidRPr="00892140">
        <w:t xml:space="preserve">ve and qualitative analysis above, RNA concluded a </w:t>
      </w:r>
      <w:r w:rsidRPr="00A71F2E">
        <w:t xml:space="preserve">DLOM of </w:t>
      </w:r>
      <w:r w:rsidR="00671E92" w:rsidRPr="00A71F2E">
        <w:t>40</w:t>
      </w:r>
      <w:r w:rsidRPr="00A71F2E">
        <w:t>.0%</w:t>
      </w:r>
      <w:r w:rsidRPr="00164A70">
        <w:t xml:space="preserve"> to be applied to the </w:t>
      </w:r>
      <w:r w:rsidRPr="00A71F2E">
        <w:t>Common Stock.</w:t>
      </w:r>
      <w:r w:rsidRPr="00164A70">
        <w:t xml:space="preserve">  Refer to </w:t>
      </w:r>
      <w:r w:rsidRPr="00A71F2E">
        <w:t xml:space="preserve">Exhibit </w:t>
      </w:r>
      <w:r w:rsidR="00196784">
        <w:t>F</w:t>
      </w:r>
      <w:r w:rsidRPr="00A71F2E">
        <w:t>.</w:t>
      </w:r>
      <w:r w:rsidR="00671E92" w:rsidRPr="00164A70">
        <w:t>2</w:t>
      </w:r>
      <w:r w:rsidR="00671E92" w:rsidRPr="00892140">
        <w:t xml:space="preserve"> </w:t>
      </w:r>
      <w:r w:rsidRPr="00164A70">
        <w:t>for further details.</w:t>
      </w:r>
      <w:r>
        <w:t xml:space="preserve">  </w:t>
      </w:r>
    </w:p>
    <w:p w14:paraId="14548FFA" w14:textId="77777777" w:rsidR="00E503D0" w:rsidRDefault="00E503D0" w:rsidP="00DE5618">
      <w:pPr>
        <w:pStyle w:val="RNABodyCopy"/>
        <w:keepNext/>
      </w:pPr>
    </w:p>
    <w:p w14:paraId="0B243833" w14:textId="77777777" w:rsidR="00E503D0" w:rsidRDefault="00E503D0" w:rsidP="00DE5618">
      <w:pPr>
        <w:pStyle w:val="RNABodyCopy"/>
        <w:keepNext/>
      </w:pPr>
    </w:p>
    <w:p w14:paraId="71C02FAF" w14:textId="3297842A" w:rsidR="007E4AD0" w:rsidRDefault="007E4AD0" w:rsidP="00DE5618">
      <w:pPr>
        <w:pStyle w:val="RNABodyCopy"/>
        <w:keepNext/>
        <w:rPr>
          <w:noProof/>
        </w:rPr>
      </w:pPr>
      <w:bookmarkStart w:id="59" w:name="_Toc425496326"/>
      <w:r>
        <w:rPr>
          <w:noProof/>
        </w:rPr>
        <w:br w:type="page"/>
      </w:r>
    </w:p>
    <w:p w14:paraId="74F24907" w14:textId="6206FD2B" w:rsidR="00573796" w:rsidRPr="00032785" w:rsidRDefault="00573796" w:rsidP="00565DEF">
      <w:pPr>
        <w:pStyle w:val="RNAHeadlineA"/>
        <w:outlineLvl w:val="0"/>
      </w:pPr>
      <w:bookmarkStart w:id="60" w:name="_Toc2188954"/>
      <w:r w:rsidRPr="00032785">
        <w:t>Conclusion</w:t>
      </w:r>
      <w:bookmarkEnd w:id="59"/>
      <w:bookmarkEnd w:id="60"/>
    </w:p>
    <w:p w14:paraId="0DE88682" w14:textId="77777777" w:rsidR="00573796" w:rsidRDefault="00573796" w:rsidP="00573796"/>
    <w:p w14:paraId="396380C3" w14:textId="61C56F95" w:rsidR="00573796" w:rsidRDefault="00573796" w:rsidP="00DD7C07">
      <w:pPr>
        <w:pStyle w:val="RNABodyCopy"/>
      </w:pPr>
      <w:r w:rsidRPr="00474556">
        <w:t xml:space="preserve">Based on our analysis, our opinion </w:t>
      </w:r>
      <w:r>
        <w:t>of</w:t>
      </w:r>
      <w:r w:rsidRPr="00474556">
        <w:t xml:space="preserve"> the</w:t>
      </w:r>
      <w:r>
        <w:t xml:space="preserve"> fair </w:t>
      </w:r>
      <w:r w:rsidR="00557D41">
        <w:t xml:space="preserve">market </w:t>
      </w:r>
      <w:r w:rsidRPr="00474556">
        <w:t xml:space="preserve">value </w:t>
      </w:r>
      <w:r w:rsidR="00B94878">
        <w:t xml:space="preserve">of </w:t>
      </w:r>
      <w:r w:rsidRPr="00164A70">
        <w:t xml:space="preserve">Common Stock of </w:t>
      </w:r>
      <w:r w:rsidRPr="00892140">
        <w:t xml:space="preserve">the Company, on a non-marketable, minority interest basis as of the Valuation Date is </w:t>
      </w:r>
      <w:r w:rsidRPr="00A71F2E">
        <w:rPr>
          <w:b/>
        </w:rPr>
        <w:t>$0.</w:t>
      </w:r>
      <w:r w:rsidR="0038539A" w:rsidRPr="00A71F2E">
        <w:rPr>
          <w:b/>
        </w:rPr>
        <w:t xml:space="preserve">08 </w:t>
      </w:r>
      <w:r w:rsidRPr="00A71F2E">
        <w:rPr>
          <w:b/>
        </w:rPr>
        <w:t>(</w:t>
      </w:r>
      <w:r w:rsidR="002D74F5">
        <w:rPr>
          <w:b/>
        </w:rPr>
        <w:t>EIGHT</w:t>
      </w:r>
      <w:r w:rsidR="002D74F5" w:rsidRPr="00A71F2E">
        <w:rPr>
          <w:b/>
        </w:rPr>
        <w:t xml:space="preserve"> </w:t>
      </w:r>
      <w:r w:rsidRPr="00A71F2E">
        <w:rPr>
          <w:b/>
        </w:rPr>
        <w:t>CENTS</w:t>
      </w:r>
      <w:r w:rsidRPr="00164A70">
        <w:rPr>
          <w:b/>
        </w:rPr>
        <w:t>) per Share</w:t>
      </w:r>
      <w:r w:rsidRPr="00474556">
        <w:t>.</w:t>
      </w:r>
      <w:r>
        <w:t xml:space="preserve"> </w:t>
      </w:r>
      <w:r w:rsidR="00525EA2">
        <w:t xml:space="preserve"> </w:t>
      </w:r>
    </w:p>
    <w:p w14:paraId="47615050" w14:textId="77777777" w:rsidR="00DD7C07" w:rsidRDefault="00DD7C07" w:rsidP="00DD7C07">
      <w:pPr>
        <w:pStyle w:val="RNABodyCopy"/>
      </w:pPr>
    </w:p>
    <w:p w14:paraId="3A76BB5A" w14:textId="6E5698B8" w:rsidR="00D7426A" w:rsidRDefault="00D7426A" w:rsidP="00D7426A">
      <w:pPr>
        <w:pStyle w:val="RNABodyCopy"/>
        <w:keepNext/>
        <w:keepLines/>
        <w:jc w:val="center"/>
        <w:rPr>
          <w:i/>
        </w:rPr>
      </w:pPr>
      <w:r w:rsidRPr="006B6651">
        <w:rPr>
          <w:i/>
        </w:rPr>
        <w:t xml:space="preserve">Table </w:t>
      </w:r>
      <w:r w:rsidR="006461FB">
        <w:rPr>
          <w:i/>
        </w:rPr>
        <w:t>5</w:t>
      </w:r>
      <w:r w:rsidRPr="006B6651">
        <w:rPr>
          <w:i/>
        </w:rPr>
        <w:t xml:space="preserve">: </w:t>
      </w:r>
      <w:r>
        <w:rPr>
          <w:i/>
        </w:rPr>
        <w:t>Valuation Summary</w:t>
      </w:r>
    </w:p>
    <w:p w14:paraId="394F9CCB" w14:textId="77777777" w:rsidR="00573796" w:rsidRPr="00035858" w:rsidRDefault="00573796" w:rsidP="00565DEF">
      <w:pPr>
        <w:pStyle w:val="RNABodyCopy"/>
      </w:pPr>
    </w:p>
    <w:tbl>
      <w:tblPr>
        <w:tblpPr w:leftFromText="180" w:rightFromText="180" w:vertAnchor="text" w:horzAnchor="page" w:tblpX="1549" w:tblpY="206"/>
        <w:tblW w:w="10080" w:type="dxa"/>
        <w:tblLook w:val="04A0" w:firstRow="1" w:lastRow="0" w:firstColumn="1" w:lastColumn="0" w:noHBand="0" w:noVBand="1"/>
      </w:tblPr>
      <w:tblGrid>
        <w:gridCol w:w="3543"/>
        <w:gridCol w:w="236"/>
        <w:gridCol w:w="236"/>
        <w:gridCol w:w="1846"/>
        <w:gridCol w:w="2346"/>
        <w:gridCol w:w="113"/>
        <w:gridCol w:w="1510"/>
        <w:gridCol w:w="250"/>
      </w:tblGrid>
      <w:tr w:rsidR="00573796" w:rsidRPr="00525EA2" w14:paraId="301D1017" w14:textId="77777777" w:rsidTr="00A71F2E">
        <w:trPr>
          <w:trHeight w:val="631"/>
        </w:trPr>
        <w:tc>
          <w:tcPr>
            <w:tcW w:w="3543" w:type="dxa"/>
            <w:tcBorders>
              <w:top w:val="nil"/>
              <w:left w:val="nil"/>
              <w:bottom w:val="nil"/>
              <w:right w:val="nil"/>
            </w:tcBorders>
            <w:shd w:val="clear" w:color="000000" w:fill="6F929D" w:themeFill="accent5" w:themeFillShade="BF"/>
            <w:noWrap/>
            <w:vAlign w:val="center"/>
            <w:hideMark/>
          </w:tcPr>
          <w:p w14:paraId="3E3EFD6D" w14:textId="2F6FB1D3" w:rsidR="00573796" w:rsidRPr="00565DEF" w:rsidRDefault="00E8313B" w:rsidP="00DE5618">
            <w:pPr>
              <w:tabs>
                <w:tab w:val="left" w:pos="9720"/>
              </w:tabs>
              <w:spacing w:line="240" w:lineRule="auto"/>
              <w:jc w:val="left"/>
              <w:rPr>
                <w:rFonts w:ascii="Georgia" w:hAnsi="Georgia" w:cs="Arial"/>
                <w:b/>
                <w:color w:val="FFFFFF" w:themeColor="background1"/>
              </w:rPr>
            </w:pPr>
            <w:r w:rsidRPr="00565DEF">
              <w:rPr>
                <w:rFonts w:ascii="Georgia" w:hAnsi="Georgia" w:cs="Arial"/>
                <w:b/>
                <w:color w:val="FFFFFF" w:themeColor="background1"/>
              </w:rPr>
              <w:t>VALUATION SUMMARY</w:t>
            </w:r>
          </w:p>
        </w:tc>
        <w:tc>
          <w:tcPr>
            <w:tcW w:w="236" w:type="dxa"/>
            <w:tcBorders>
              <w:top w:val="nil"/>
              <w:left w:val="nil"/>
              <w:bottom w:val="nil"/>
              <w:right w:val="nil"/>
            </w:tcBorders>
            <w:shd w:val="clear" w:color="000000" w:fill="6F929D" w:themeFill="accent5" w:themeFillShade="BF"/>
            <w:noWrap/>
            <w:vAlign w:val="center"/>
            <w:hideMark/>
          </w:tcPr>
          <w:p w14:paraId="118D04BC" w14:textId="0BF4763B" w:rsidR="00573796" w:rsidRPr="00565DEF" w:rsidRDefault="00573796" w:rsidP="00D55352">
            <w:pPr>
              <w:spacing w:line="240" w:lineRule="auto"/>
              <w:jc w:val="center"/>
              <w:rPr>
                <w:rFonts w:ascii="Georgia" w:hAnsi="Georgia" w:cs="Arial"/>
                <w:b/>
                <w:color w:val="FFFFFF" w:themeColor="background1"/>
              </w:rPr>
            </w:pPr>
          </w:p>
        </w:tc>
        <w:tc>
          <w:tcPr>
            <w:tcW w:w="236" w:type="dxa"/>
            <w:tcBorders>
              <w:top w:val="nil"/>
              <w:left w:val="nil"/>
              <w:bottom w:val="nil"/>
              <w:right w:val="nil"/>
            </w:tcBorders>
            <w:shd w:val="clear" w:color="000000" w:fill="6F929D" w:themeFill="accent5" w:themeFillShade="BF"/>
            <w:noWrap/>
            <w:vAlign w:val="center"/>
            <w:hideMark/>
          </w:tcPr>
          <w:p w14:paraId="69FB545F" w14:textId="3C687EA4" w:rsidR="00573796" w:rsidRPr="00565DEF" w:rsidRDefault="00573796" w:rsidP="00D55352">
            <w:pPr>
              <w:spacing w:line="240" w:lineRule="auto"/>
              <w:jc w:val="center"/>
              <w:rPr>
                <w:rFonts w:ascii="Georgia" w:hAnsi="Georgia" w:cs="Arial"/>
                <w:b/>
                <w:color w:val="FFFFFF" w:themeColor="background1"/>
              </w:rPr>
            </w:pPr>
          </w:p>
        </w:tc>
        <w:tc>
          <w:tcPr>
            <w:tcW w:w="5815" w:type="dxa"/>
            <w:gridSpan w:val="4"/>
            <w:tcBorders>
              <w:top w:val="nil"/>
              <w:left w:val="nil"/>
              <w:bottom w:val="nil"/>
              <w:right w:val="nil"/>
            </w:tcBorders>
            <w:shd w:val="clear" w:color="000000" w:fill="6F929D" w:themeFill="accent5" w:themeFillShade="BF"/>
            <w:noWrap/>
            <w:vAlign w:val="center"/>
            <w:hideMark/>
          </w:tcPr>
          <w:p w14:paraId="69E0A391" w14:textId="5F9BACED" w:rsidR="00573796" w:rsidRPr="00565DEF" w:rsidRDefault="00573796" w:rsidP="00D55352">
            <w:pPr>
              <w:spacing w:line="240" w:lineRule="auto"/>
              <w:jc w:val="center"/>
              <w:rPr>
                <w:rFonts w:ascii="Georgia" w:hAnsi="Georgia" w:cs="Arial"/>
                <w:b/>
                <w:color w:val="FFFFFF" w:themeColor="background1"/>
              </w:rPr>
            </w:pPr>
            <w:r w:rsidRPr="00565DEF">
              <w:rPr>
                <w:rFonts w:ascii="Georgia" w:hAnsi="Georgia" w:cs="Arial"/>
                <w:b/>
                <w:color w:val="FFFFFF" w:themeColor="background1"/>
              </w:rPr>
              <w:t xml:space="preserve">(USD </w:t>
            </w:r>
            <w:r w:rsidR="00D55352" w:rsidRPr="00565DEF">
              <w:rPr>
                <w:rFonts w:ascii="Georgia" w:hAnsi="Georgia" w:cs="Arial"/>
                <w:b/>
                <w:color w:val="FFFFFF" w:themeColor="background1"/>
              </w:rPr>
              <w:t xml:space="preserve">IN THOUSANDS </w:t>
            </w:r>
            <w:r w:rsidR="00D55352" w:rsidRPr="00565DEF">
              <w:rPr>
                <w:rFonts w:ascii="Georgia" w:hAnsi="Georgia" w:cs="Arial"/>
                <w:b/>
                <w:color w:val="FFFFFF" w:themeColor="background1"/>
              </w:rPr>
              <w:br/>
            </w:r>
            <w:r w:rsidR="00D55352" w:rsidRPr="006D4203">
              <w:rPr>
                <w:rFonts w:ascii="Georgia" w:hAnsi="Georgia" w:cs="Arial"/>
                <w:b/>
                <w:noProof/>
                <w:color w:val="FFFFFF" w:themeColor="background1"/>
              </w:rPr>
              <w:t>EXCEPT</w:t>
            </w:r>
            <w:r w:rsidR="00D55352" w:rsidRPr="00565DEF">
              <w:rPr>
                <w:rFonts w:ascii="Georgia" w:hAnsi="Georgia" w:cs="Arial"/>
                <w:b/>
                <w:color w:val="FFFFFF" w:themeColor="background1"/>
              </w:rPr>
              <w:t xml:space="preserve"> PER SHARE PRICE)</w:t>
            </w:r>
            <w:r w:rsidRPr="00565DEF">
              <w:rPr>
                <w:rFonts w:ascii="Georgia" w:hAnsi="Georgia" w:cs="Arial"/>
                <w:b/>
                <w:color w:val="FFFFFF" w:themeColor="background1"/>
              </w:rPr>
              <w:t xml:space="preserve"> </w:t>
            </w:r>
          </w:p>
        </w:tc>
        <w:tc>
          <w:tcPr>
            <w:tcW w:w="250" w:type="dxa"/>
            <w:tcBorders>
              <w:top w:val="nil"/>
              <w:left w:val="nil"/>
              <w:bottom w:val="nil"/>
              <w:right w:val="nil"/>
            </w:tcBorders>
            <w:shd w:val="clear" w:color="auto" w:fill="auto"/>
            <w:noWrap/>
            <w:vAlign w:val="bottom"/>
            <w:hideMark/>
          </w:tcPr>
          <w:p w14:paraId="69EFD075" w14:textId="77777777" w:rsidR="00573796" w:rsidRPr="00565DEF" w:rsidRDefault="00573796" w:rsidP="00D55352">
            <w:pPr>
              <w:rPr>
                <w:rFonts w:ascii="Georgia" w:hAnsi="Georgia" w:cs="Arial"/>
              </w:rPr>
            </w:pPr>
          </w:p>
        </w:tc>
      </w:tr>
      <w:tr w:rsidR="00573796" w:rsidRPr="00525EA2" w14:paraId="4D61D6F8" w14:textId="77777777" w:rsidTr="00A71F2E">
        <w:trPr>
          <w:trHeight w:val="759"/>
        </w:trPr>
        <w:tc>
          <w:tcPr>
            <w:tcW w:w="3543" w:type="dxa"/>
            <w:tcBorders>
              <w:top w:val="nil"/>
              <w:left w:val="nil"/>
              <w:bottom w:val="nil"/>
              <w:right w:val="nil"/>
            </w:tcBorders>
            <w:shd w:val="clear" w:color="000000" w:fill="DAE3E6" w:themeFill="accent5" w:themeFillTint="66"/>
            <w:noWrap/>
            <w:vAlign w:val="center"/>
            <w:hideMark/>
          </w:tcPr>
          <w:p w14:paraId="65FF184C" w14:textId="77777777" w:rsidR="00573796" w:rsidRPr="00565DEF" w:rsidRDefault="00573796" w:rsidP="00DE5618">
            <w:pPr>
              <w:spacing w:line="240" w:lineRule="auto"/>
              <w:jc w:val="left"/>
              <w:rPr>
                <w:rFonts w:ascii="Georgia" w:hAnsi="Georgia" w:cs="Arial"/>
                <w:b/>
                <w:color w:val="48626B" w:themeColor="accent5" w:themeShade="80"/>
              </w:rPr>
            </w:pPr>
            <w:r w:rsidRPr="00565DEF">
              <w:rPr>
                <w:rFonts w:ascii="Georgia" w:hAnsi="Georgia" w:cs="Arial"/>
                <w:b/>
                <w:color w:val="48626B" w:themeColor="accent5" w:themeShade="80"/>
              </w:rPr>
              <w:t xml:space="preserve">Allocation of </w:t>
            </w:r>
            <w:r w:rsidRPr="00565DEF">
              <w:rPr>
                <w:rFonts w:ascii="Georgia" w:eastAsia="Times New Roman" w:hAnsi="Georgia" w:cs="Arial"/>
                <w:b/>
                <w:color w:val="48626B" w:themeColor="accent5" w:themeShade="80"/>
              </w:rPr>
              <w:t>Value</w:t>
            </w:r>
          </w:p>
        </w:tc>
        <w:tc>
          <w:tcPr>
            <w:tcW w:w="236" w:type="dxa"/>
            <w:tcBorders>
              <w:top w:val="nil"/>
              <w:left w:val="nil"/>
              <w:bottom w:val="nil"/>
              <w:right w:val="nil"/>
            </w:tcBorders>
            <w:shd w:val="clear" w:color="000000" w:fill="DAE3E6" w:themeFill="accent5" w:themeFillTint="66"/>
            <w:vAlign w:val="center"/>
            <w:hideMark/>
          </w:tcPr>
          <w:p w14:paraId="06540291" w14:textId="414C042B" w:rsidR="00573796" w:rsidRPr="00565DEF" w:rsidRDefault="00573796" w:rsidP="00D55352">
            <w:pPr>
              <w:spacing w:line="240" w:lineRule="auto"/>
              <w:rPr>
                <w:rFonts w:ascii="Georgia" w:hAnsi="Georgia" w:cs="Arial"/>
                <w:b/>
                <w:color w:val="48626B" w:themeColor="accent5" w:themeShade="80"/>
              </w:rPr>
            </w:pPr>
          </w:p>
        </w:tc>
        <w:tc>
          <w:tcPr>
            <w:tcW w:w="236" w:type="dxa"/>
            <w:tcBorders>
              <w:top w:val="nil"/>
              <w:left w:val="nil"/>
              <w:bottom w:val="nil"/>
              <w:right w:val="nil"/>
            </w:tcBorders>
            <w:shd w:val="clear" w:color="000000" w:fill="DAE3E6" w:themeFill="accent5" w:themeFillTint="66"/>
            <w:vAlign w:val="center"/>
            <w:hideMark/>
          </w:tcPr>
          <w:p w14:paraId="5FF317D1" w14:textId="77777777" w:rsidR="00573796" w:rsidRPr="00565DEF" w:rsidRDefault="00573796" w:rsidP="00D55352">
            <w:pPr>
              <w:spacing w:line="240" w:lineRule="auto"/>
              <w:rPr>
                <w:rFonts w:ascii="Georgia" w:hAnsi="Georgia" w:cs="Arial"/>
                <w:b/>
                <w:color w:val="48626B" w:themeColor="accent5" w:themeShade="80"/>
              </w:rPr>
            </w:pPr>
          </w:p>
        </w:tc>
        <w:tc>
          <w:tcPr>
            <w:tcW w:w="1846" w:type="dxa"/>
            <w:tcBorders>
              <w:top w:val="nil"/>
              <w:left w:val="nil"/>
              <w:bottom w:val="nil"/>
              <w:right w:val="nil"/>
            </w:tcBorders>
            <w:shd w:val="clear" w:color="000000" w:fill="DAE3E6" w:themeFill="accent5" w:themeFillTint="66"/>
            <w:vAlign w:val="center"/>
            <w:hideMark/>
          </w:tcPr>
          <w:p w14:paraId="0BE58E09" w14:textId="77777777" w:rsidR="00573796" w:rsidRPr="00565DEF" w:rsidRDefault="00573796" w:rsidP="00D55352">
            <w:pPr>
              <w:spacing w:line="240" w:lineRule="auto"/>
              <w:jc w:val="center"/>
              <w:rPr>
                <w:rFonts w:ascii="Georgia" w:hAnsi="Georgia" w:cs="Arial"/>
                <w:b/>
                <w:color w:val="48626B" w:themeColor="accent5" w:themeShade="80"/>
              </w:rPr>
            </w:pPr>
            <w:r w:rsidRPr="00565DEF">
              <w:rPr>
                <w:rFonts w:ascii="Georgia" w:hAnsi="Georgia" w:cs="Arial"/>
                <w:b/>
                <w:color w:val="48626B" w:themeColor="accent5" w:themeShade="80"/>
              </w:rPr>
              <w:t xml:space="preserve">Common </w:t>
            </w:r>
            <w:r w:rsidRPr="00565DEF">
              <w:rPr>
                <w:rFonts w:ascii="Georgia" w:eastAsia="Times New Roman" w:hAnsi="Georgia" w:cs="Arial"/>
                <w:b/>
                <w:color w:val="48626B" w:themeColor="accent5" w:themeShade="80"/>
              </w:rPr>
              <w:t>Stock</w:t>
            </w:r>
          </w:p>
        </w:tc>
        <w:tc>
          <w:tcPr>
            <w:tcW w:w="2459" w:type="dxa"/>
            <w:gridSpan w:val="2"/>
            <w:tcBorders>
              <w:top w:val="nil"/>
              <w:left w:val="nil"/>
              <w:bottom w:val="nil"/>
              <w:right w:val="nil"/>
            </w:tcBorders>
            <w:shd w:val="clear" w:color="000000" w:fill="DAE3E6" w:themeFill="accent5" w:themeFillTint="66"/>
            <w:vAlign w:val="center"/>
            <w:hideMark/>
          </w:tcPr>
          <w:p w14:paraId="0086B256" w14:textId="4441389C" w:rsidR="00573796" w:rsidRPr="00565DEF" w:rsidRDefault="00C45889" w:rsidP="00D55352">
            <w:pPr>
              <w:spacing w:line="240" w:lineRule="auto"/>
              <w:jc w:val="center"/>
              <w:rPr>
                <w:rFonts w:ascii="Georgia" w:hAnsi="Georgia" w:cs="Arial"/>
                <w:b/>
                <w:color w:val="48626B" w:themeColor="accent5" w:themeShade="80"/>
              </w:rPr>
            </w:pPr>
            <w:r>
              <w:rPr>
                <w:rFonts w:ascii="Georgia" w:hAnsi="Georgia" w:cs="Arial"/>
                <w:b/>
                <w:color w:val="48626B" w:themeColor="accent5" w:themeShade="80"/>
              </w:rPr>
              <w:t>Equity</w:t>
            </w:r>
            <w:r w:rsidRPr="00565DEF">
              <w:rPr>
                <w:rFonts w:ascii="Georgia" w:hAnsi="Georgia" w:cs="Arial"/>
                <w:b/>
                <w:color w:val="48626B" w:themeColor="accent5" w:themeShade="80"/>
              </w:rPr>
              <w:t xml:space="preserve"> </w:t>
            </w:r>
            <w:r w:rsidR="00573796" w:rsidRPr="00565DEF">
              <w:rPr>
                <w:rFonts w:ascii="Georgia" w:hAnsi="Georgia" w:cs="Arial"/>
                <w:b/>
                <w:color w:val="48626B" w:themeColor="accent5" w:themeShade="80"/>
              </w:rPr>
              <w:t>Value</w:t>
            </w:r>
          </w:p>
        </w:tc>
        <w:tc>
          <w:tcPr>
            <w:tcW w:w="1510" w:type="dxa"/>
            <w:tcBorders>
              <w:top w:val="nil"/>
              <w:left w:val="nil"/>
              <w:bottom w:val="nil"/>
              <w:right w:val="nil"/>
            </w:tcBorders>
            <w:shd w:val="clear" w:color="000000" w:fill="DAE3E6" w:themeFill="accent5" w:themeFillTint="66"/>
            <w:vAlign w:val="center"/>
            <w:hideMark/>
          </w:tcPr>
          <w:p w14:paraId="4A743029" w14:textId="77777777" w:rsidR="00573796" w:rsidRPr="00565DEF" w:rsidRDefault="00573796" w:rsidP="00D55352">
            <w:pPr>
              <w:spacing w:line="240" w:lineRule="auto"/>
              <w:jc w:val="center"/>
              <w:rPr>
                <w:rFonts w:ascii="Georgia" w:hAnsi="Georgia" w:cs="Arial"/>
                <w:b/>
                <w:color w:val="48626B" w:themeColor="accent5" w:themeShade="80"/>
              </w:rPr>
            </w:pPr>
            <w:r w:rsidRPr="00565DEF">
              <w:rPr>
                <w:rFonts w:ascii="Georgia" w:hAnsi="Georgia" w:cs="Arial"/>
                <w:b/>
                <w:color w:val="48626B" w:themeColor="accent5" w:themeShade="80"/>
              </w:rPr>
              <w:t xml:space="preserve">Selected </w:t>
            </w:r>
            <w:r w:rsidRPr="00565DEF">
              <w:rPr>
                <w:rFonts w:ascii="Georgia" w:eastAsia="Times New Roman" w:hAnsi="Georgia" w:cs="Arial"/>
                <w:b/>
                <w:color w:val="48626B" w:themeColor="accent5" w:themeShade="80"/>
              </w:rPr>
              <w:t>Approach</w:t>
            </w:r>
          </w:p>
        </w:tc>
        <w:tc>
          <w:tcPr>
            <w:tcW w:w="250" w:type="dxa"/>
            <w:tcBorders>
              <w:top w:val="nil"/>
              <w:left w:val="nil"/>
              <w:bottom w:val="nil"/>
              <w:right w:val="nil"/>
            </w:tcBorders>
            <w:shd w:val="clear" w:color="auto" w:fill="auto"/>
            <w:noWrap/>
            <w:vAlign w:val="bottom"/>
            <w:hideMark/>
          </w:tcPr>
          <w:p w14:paraId="66686119" w14:textId="77777777" w:rsidR="00573796" w:rsidRPr="00565DEF" w:rsidRDefault="00573796" w:rsidP="00D55352">
            <w:pPr>
              <w:rPr>
                <w:rFonts w:ascii="Georgia" w:hAnsi="Georgia" w:cs="Arial"/>
              </w:rPr>
            </w:pPr>
          </w:p>
        </w:tc>
      </w:tr>
      <w:tr w:rsidR="00D55352" w:rsidRPr="00525EA2" w14:paraId="6D31FF03" w14:textId="77777777" w:rsidTr="00A71F2E">
        <w:trPr>
          <w:trHeight w:val="536"/>
        </w:trPr>
        <w:tc>
          <w:tcPr>
            <w:tcW w:w="3543" w:type="dxa"/>
            <w:tcBorders>
              <w:top w:val="nil"/>
              <w:left w:val="nil"/>
              <w:bottom w:val="single" w:sz="4" w:space="0" w:color="A5BBC2" w:themeColor="accent5"/>
              <w:right w:val="nil"/>
            </w:tcBorders>
            <w:shd w:val="clear" w:color="auto" w:fill="auto"/>
            <w:noWrap/>
            <w:vAlign w:val="center"/>
          </w:tcPr>
          <w:p w14:paraId="3D80CE99" w14:textId="6531E1AA" w:rsidR="00D55352" w:rsidRPr="00A71F2E" w:rsidRDefault="0038539A" w:rsidP="00D55352">
            <w:pPr>
              <w:spacing w:line="240" w:lineRule="auto"/>
              <w:jc w:val="left"/>
              <w:rPr>
                <w:rFonts w:ascii="Georgia" w:hAnsi="Georgia" w:cs="Arial"/>
                <w:color w:val="48626B" w:themeColor="accent5" w:themeShade="80"/>
              </w:rPr>
            </w:pPr>
            <w:r w:rsidRPr="00A71F2E">
              <w:rPr>
                <w:rFonts w:ascii="Georgia" w:hAnsi="Georgia" w:cs="Arial"/>
                <w:color w:val="48626B" w:themeColor="accent5" w:themeShade="80"/>
              </w:rPr>
              <w:t>Current Value Method</w:t>
            </w:r>
          </w:p>
        </w:tc>
        <w:tc>
          <w:tcPr>
            <w:tcW w:w="236" w:type="dxa"/>
            <w:tcBorders>
              <w:top w:val="nil"/>
              <w:left w:val="nil"/>
              <w:bottom w:val="single" w:sz="4" w:space="0" w:color="A5BBC2" w:themeColor="accent5"/>
              <w:right w:val="nil"/>
            </w:tcBorders>
            <w:shd w:val="clear" w:color="auto" w:fill="auto"/>
            <w:noWrap/>
            <w:vAlign w:val="center"/>
          </w:tcPr>
          <w:p w14:paraId="118289A5" w14:textId="77777777" w:rsidR="00D55352" w:rsidRPr="00164A70" w:rsidRDefault="00D55352" w:rsidP="00D55352">
            <w:pPr>
              <w:spacing w:line="240" w:lineRule="auto"/>
              <w:jc w:val="center"/>
              <w:rPr>
                <w:rFonts w:ascii="Georgia" w:hAnsi="Georgia" w:cs="Arial"/>
              </w:rPr>
            </w:pPr>
          </w:p>
        </w:tc>
        <w:tc>
          <w:tcPr>
            <w:tcW w:w="236" w:type="dxa"/>
            <w:tcBorders>
              <w:top w:val="nil"/>
              <w:left w:val="nil"/>
              <w:bottom w:val="single" w:sz="4" w:space="0" w:color="A5BBC2" w:themeColor="accent5"/>
              <w:right w:val="nil"/>
            </w:tcBorders>
            <w:shd w:val="clear" w:color="auto" w:fill="auto"/>
            <w:noWrap/>
            <w:vAlign w:val="center"/>
          </w:tcPr>
          <w:p w14:paraId="57E72C0C" w14:textId="77777777" w:rsidR="00D55352" w:rsidRPr="00892140" w:rsidRDefault="00D55352" w:rsidP="00A71F2E">
            <w:pPr>
              <w:spacing w:line="240" w:lineRule="auto"/>
              <w:rPr>
                <w:rFonts w:ascii="Georgia" w:hAnsi="Georgia" w:cs="Arial"/>
              </w:rPr>
            </w:pPr>
          </w:p>
        </w:tc>
        <w:tc>
          <w:tcPr>
            <w:tcW w:w="1846" w:type="dxa"/>
            <w:tcBorders>
              <w:top w:val="nil"/>
              <w:left w:val="nil"/>
              <w:bottom w:val="single" w:sz="4" w:space="0" w:color="A5BBC2" w:themeColor="accent5"/>
              <w:right w:val="nil"/>
            </w:tcBorders>
            <w:shd w:val="clear" w:color="auto" w:fill="auto"/>
            <w:noWrap/>
            <w:vAlign w:val="center"/>
          </w:tcPr>
          <w:p w14:paraId="5A91AF89" w14:textId="45AB2CFF" w:rsidR="00D55352" w:rsidRPr="00A71F2E" w:rsidRDefault="00D55352" w:rsidP="00D55352">
            <w:pPr>
              <w:spacing w:line="240" w:lineRule="auto"/>
              <w:jc w:val="center"/>
              <w:rPr>
                <w:rFonts w:ascii="Georgia" w:hAnsi="Georgia"/>
                <w:color w:val="595959" w:themeColor="text1" w:themeTint="A6"/>
              </w:rPr>
            </w:pPr>
            <w:r w:rsidRPr="00A71F2E">
              <w:rPr>
                <w:rFonts w:ascii="Georgia" w:hAnsi="Georgia"/>
                <w:color w:val="595959" w:themeColor="text1" w:themeTint="A6"/>
              </w:rPr>
              <w:t>$0.</w:t>
            </w:r>
            <w:r w:rsidR="0038539A" w:rsidRPr="00A71F2E">
              <w:rPr>
                <w:rFonts w:ascii="Georgia" w:hAnsi="Georgia"/>
                <w:color w:val="595959" w:themeColor="text1" w:themeTint="A6"/>
              </w:rPr>
              <w:t>08</w:t>
            </w:r>
          </w:p>
        </w:tc>
        <w:tc>
          <w:tcPr>
            <w:tcW w:w="2459" w:type="dxa"/>
            <w:gridSpan w:val="2"/>
            <w:tcBorders>
              <w:top w:val="nil"/>
              <w:left w:val="nil"/>
              <w:bottom w:val="single" w:sz="4" w:space="0" w:color="A5BBC2" w:themeColor="accent5"/>
              <w:right w:val="nil"/>
            </w:tcBorders>
            <w:shd w:val="clear" w:color="auto" w:fill="auto"/>
            <w:noWrap/>
            <w:vAlign w:val="center"/>
          </w:tcPr>
          <w:p w14:paraId="2207F92E" w14:textId="75CB4E90" w:rsidR="00D55352" w:rsidRPr="00A71F2E" w:rsidRDefault="0038539A" w:rsidP="00D55352">
            <w:pPr>
              <w:spacing w:line="240" w:lineRule="auto"/>
              <w:jc w:val="center"/>
              <w:rPr>
                <w:rFonts w:ascii="Georgia" w:hAnsi="Georgia"/>
                <w:color w:val="595959" w:themeColor="text1" w:themeTint="A6"/>
              </w:rPr>
            </w:pPr>
            <w:r w:rsidRPr="00A71F2E">
              <w:rPr>
                <w:rFonts w:ascii="Georgia" w:hAnsi="Georgia"/>
                <w:color w:val="595959" w:themeColor="text1" w:themeTint="A6"/>
              </w:rPr>
              <w:t>$6,282</w:t>
            </w:r>
          </w:p>
        </w:tc>
        <w:tc>
          <w:tcPr>
            <w:tcW w:w="1510" w:type="dxa"/>
            <w:tcBorders>
              <w:top w:val="nil"/>
              <w:left w:val="nil"/>
              <w:bottom w:val="single" w:sz="4" w:space="0" w:color="A5BBC2" w:themeColor="accent5"/>
              <w:right w:val="nil"/>
            </w:tcBorders>
            <w:shd w:val="clear" w:color="auto" w:fill="auto"/>
            <w:noWrap/>
            <w:vAlign w:val="center"/>
          </w:tcPr>
          <w:p w14:paraId="26EF2E75" w14:textId="77777777" w:rsidR="00D55352" w:rsidRPr="00A71F2E" w:rsidRDefault="00D55352" w:rsidP="00D55352">
            <w:pPr>
              <w:spacing w:line="240" w:lineRule="auto"/>
              <w:jc w:val="center"/>
              <w:rPr>
                <w:rFonts w:ascii="Georgia" w:hAnsi="Georgia"/>
                <w:color w:val="595959" w:themeColor="text1" w:themeTint="A6"/>
              </w:rPr>
            </w:pPr>
            <w:r w:rsidRPr="00A71F2E">
              <w:rPr>
                <w:rFonts w:ascii="Georgia" w:hAnsi="Georgia"/>
                <w:color w:val="595959" w:themeColor="text1" w:themeTint="A6"/>
              </w:rPr>
              <w:t>Primary</w:t>
            </w:r>
          </w:p>
        </w:tc>
        <w:tc>
          <w:tcPr>
            <w:tcW w:w="250" w:type="dxa"/>
            <w:tcBorders>
              <w:top w:val="nil"/>
              <w:left w:val="nil"/>
              <w:right w:val="nil"/>
            </w:tcBorders>
            <w:shd w:val="clear" w:color="auto" w:fill="auto"/>
            <w:noWrap/>
            <w:vAlign w:val="bottom"/>
          </w:tcPr>
          <w:p w14:paraId="40D602B0" w14:textId="77777777" w:rsidR="00D55352" w:rsidRPr="00565DEF" w:rsidRDefault="00D55352" w:rsidP="00D55352">
            <w:pPr>
              <w:rPr>
                <w:rFonts w:ascii="Georgia" w:hAnsi="Georgia" w:cs="Arial"/>
              </w:rPr>
            </w:pPr>
          </w:p>
        </w:tc>
      </w:tr>
      <w:tr w:rsidR="00573796" w:rsidRPr="00525EA2" w14:paraId="65227987" w14:textId="77777777" w:rsidTr="00A71F2E">
        <w:trPr>
          <w:trHeight w:val="759"/>
        </w:trPr>
        <w:tc>
          <w:tcPr>
            <w:tcW w:w="8207" w:type="dxa"/>
            <w:gridSpan w:val="5"/>
            <w:tcBorders>
              <w:top w:val="nil"/>
              <w:left w:val="nil"/>
              <w:bottom w:val="single" w:sz="4" w:space="0" w:color="A5BBC2" w:themeColor="accent5"/>
              <w:right w:val="nil"/>
            </w:tcBorders>
            <w:shd w:val="clear" w:color="auto" w:fill="ECF1F2" w:themeFill="accent5" w:themeFillTint="33"/>
            <w:noWrap/>
            <w:vAlign w:val="center"/>
            <w:hideMark/>
          </w:tcPr>
          <w:p w14:paraId="26E267F4" w14:textId="1391D371" w:rsidR="00573796" w:rsidRPr="00892140" w:rsidRDefault="00573796" w:rsidP="00DB7AD5">
            <w:pPr>
              <w:spacing w:line="240" w:lineRule="auto"/>
              <w:jc w:val="left"/>
              <w:rPr>
                <w:rFonts w:ascii="Georgia" w:hAnsi="Georgia" w:cs="Arial"/>
                <w:b/>
                <w:color w:val="6F929D" w:themeColor="accent5" w:themeShade="BF"/>
              </w:rPr>
            </w:pPr>
            <w:r w:rsidRPr="00164A70">
              <w:rPr>
                <w:rFonts w:ascii="Georgia" w:hAnsi="Georgia" w:cs="Arial"/>
                <w:b/>
                <w:color w:val="6F929D" w:themeColor="accent5" w:themeShade="BF"/>
              </w:rPr>
              <w:t xml:space="preserve">Concluded fair market value of Common </w:t>
            </w:r>
            <w:r w:rsidR="00D55352" w:rsidRPr="00892140">
              <w:rPr>
                <w:rFonts w:ascii="Georgia" w:hAnsi="Georgia" w:cs="Arial"/>
                <w:b/>
                <w:color w:val="6F929D" w:themeColor="accent5" w:themeShade="BF"/>
              </w:rPr>
              <w:br/>
            </w:r>
            <w:r w:rsidRPr="00892140">
              <w:rPr>
                <w:rFonts w:ascii="Georgia" w:hAnsi="Georgia" w:cs="Arial"/>
                <w:b/>
                <w:color w:val="6F929D" w:themeColor="accent5" w:themeShade="BF"/>
              </w:rPr>
              <w:t>Stock (non-marketable</w:t>
            </w:r>
            <w:r w:rsidR="00DB7AD5" w:rsidRPr="00892140">
              <w:rPr>
                <w:rFonts w:ascii="Georgia" w:hAnsi="Georgia" w:cs="Arial"/>
                <w:b/>
                <w:color w:val="6F929D" w:themeColor="accent5" w:themeShade="BF"/>
              </w:rPr>
              <w:t>, minority</w:t>
            </w:r>
            <w:r w:rsidRPr="00892140">
              <w:rPr>
                <w:rFonts w:ascii="Georgia" w:hAnsi="Georgia" w:cs="Arial"/>
                <w:b/>
                <w:color w:val="6F929D" w:themeColor="accent5" w:themeShade="BF"/>
              </w:rPr>
              <w:t xml:space="preserve"> basis)</w:t>
            </w:r>
          </w:p>
        </w:tc>
        <w:tc>
          <w:tcPr>
            <w:tcW w:w="1623" w:type="dxa"/>
            <w:gridSpan w:val="2"/>
            <w:tcBorders>
              <w:top w:val="single" w:sz="4" w:space="0" w:color="A5BBC2" w:themeColor="accent5"/>
              <w:left w:val="nil"/>
              <w:bottom w:val="single" w:sz="4" w:space="0" w:color="A5BBC2" w:themeColor="accent5"/>
              <w:right w:val="nil"/>
            </w:tcBorders>
            <w:shd w:val="clear" w:color="auto" w:fill="ECF1F2" w:themeFill="accent5" w:themeFillTint="33"/>
            <w:noWrap/>
            <w:vAlign w:val="center"/>
            <w:hideMark/>
          </w:tcPr>
          <w:p w14:paraId="56BABCC1" w14:textId="5C694388" w:rsidR="00573796" w:rsidRPr="00892140" w:rsidRDefault="00573796" w:rsidP="00D55352">
            <w:pPr>
              <w:spacing w:line="240" w:lineRule="auto"/>
              <w:jc w:val="center"/>
              <w:rPr>
                <w:rFonts w:ascii="Georgia" w:hAnsi="Georgia" w:cs="Arial"/>
                <w:b/>
                <w:color w:val="6F929D" w:themeColor="accent5" w:themeShade="BF"/>
              </w:rPr>
            </w:pPr>
            <w:r w:rsidRPr="00A71F2E">
              <w:rPr>
                <w:rFonts w:ascii="Georgia" w:hAnsi="Georgia" w:cs="Arial"/>
                <w:b/>
                <w:color w:val="6F929D" w:themeColor="accent5" w:themeShade="BF"/>
              </w:rPr>
              <w:t>$0.</w:t>
            </w:r>
            <w:r w:rsidR="0038539A" w:rsidRPr="00164A70">
              <w:rPr>
                <w:rFonts w:ascii="Georgia" w:eastAsia="Times New Roman" w:hAnsi="Georgia" w:cs="Arial"/>
                <w:b/>
                <w:color w:val="6F929D" w:themeColor="accent5" w:themeShade="BF"/>
              </w:rPr>
              <w:t>08</w:t>
            </w:r>
          </w:p>
        </w:tc>
        <w:tc>
          <w:tcPr>
            <w:tcW w:w="250" w:type="dxa"/>
            <w:tcBorders>
              <w:top w:val="nil"/>
              <w:left w:val="nil"/>
              <w:bottom w:val="nil"/>
              <w:right w:val="nil"/>
            </w:tcBorders>
            <w:shd w:val="clear" w:color="auto" w:fill="auto"/>
            <w:noWrap/>
            <w:vAlign w:val="bottom"/>
            <w:hideMark/>
          </w:tcPr>
          <w:p w14:paraId="54E80C08" w14:textId="77777777" w:rsidR="00573796" w:rsidRPr="00565DEF" w:rsidRDefault="00573796" w:rsidP="00D55352">
            <w:pPr>
              <w:rPr>
                <w:rFonts w:ascii="Georgia" w:hAnsi="Georgia" w:cs="Arial"/>
              </w:rPr>
            </w:pPr>
          </w:p>
        </w:tc>
      </w:tr>
    </w:tbl>
    <w:p w14:paraId="769D1C16" w14:textId="77777777" w:rsidR="00573796" w:rsidRPr="00E8313B" w:rsidRDefault="00573796" w:rsidP="00573796">
      <w:pPr>
        <w:rPr>
          <w:rFonts w:ascii="Arial" w:hAnsi="Arial" w:cs="Arial"/>
        </w:rPr>
      </w:pPr>
    </w:p>
    <w:p w14:paraId="044B755A" w14:textId="77777777" w:rsidR="00573796" w:rsidRPr="00DD7C07" w:rsidRDefault="00573796" w:rsidP="00E8313B">
      <w:pPr>
        <w:pStyle w:val="RNABodyCopy"/>
      </w:pPr>
    </w:p>
    <w:p w14:paraId="5DE1ACD3" w14:textId="77777777" w:rsidR="00573796" w:rsidRPr="00474556" w:rsidRDefault="00573796" w:rsidP="00D55352">
      <w:pPr>
        <w:pStyle w:val="RNABodyCopy"/>
      </w:pPr>
      <w:r w:rsidRPr="00474556">
        <w:t xml:space="preserve">The conclusions and opinions expressed in this letter and the accompanying </w:t>
      </w:r>
      <w:r>
        <w:t>R</w:t>
      </w:r>
      <w:r w:rsidRPr="00474556">
        <w:t xml:space="preserve">eport are contingent upon the qualifying factors set forth in the Statement of Limiting Conditions attached to the completed </w:t>
      </w:r>
      <w:r>
        <w:t>R</w:t>
      </w:r>
      <w:r w:rsidRPr="00474556">
        <w:t>eport</w:t>
      </w:r>
      <w:r>
        <w:t xml:space="preserve">.  </w:t>
      </w:r>
    </w:p>
    <w:p w14:paraId="565160C8" w14:textId="77777777" w:rsidR="00E8313B" w:rsidRDefault="00E8313B" w:rsidP="00D55352">
      <w:pPr>
        <w:pStyle w:val="RNABodyCopy"/>
        <w:rPr>
          <w:sz w:val="24"/>
        </w:rPr>
      </w:pPr>
    </w:p>
    <w:p w14:paraId="35AFFE28" w14:textId="1525A1CD" w:rsidR="00573796" w:rsidRPr="00474556" w:rsidRDefault="00573796" w:rsidP="00565DEF">
      <w:pPr>
        <w:pStyle w:val="RNAHeadlineA"/>
        <w:outlineLvl w:val="0"/>
      </w:pPr>
      <w:r w:rsidRPr="00474556">
        <w:rPr>
          <w:sz w:val="24"/>
        </w:rPr>
        <w:br w:type="page"/>
      </w:r>
      <w:bookmarkStart w:id="61" w:name="_Toc425496327"/>
      <w:bookmarkStart w:id="62" w:name="_Toc2188955"/>
      <w:r w:rsidRPr="00474556">
        <w:t>Statement of Limiting Conditions</w:t>
      </w:r>
      <w:bookmarkEnd w:id="61"/>
      <w:bookmarkEnd w:id="62"/>
    </w:p>
    <w:p w14:paraId="3BB626C3" w14:textId="77777777" w:rsidR="00573796" w:rsidRPr="00DC2173" w:rsidRDefault="00573796" w:rsidP="00565DEF">
      <w:pPr>
        <w:pStyle w:val="RNABodyCopy"/>
      </w:pPr>
    </w:p>
    <w:p w14:paraId="55F9E5B3" w14:textId="77777777" w:rsidR="00573796" w:rsidRPr="00DE5618" w:rsidRDefault="00573796" w:rsidP="00E8313B">
      <w:pPr>
        <w:pStyle w:val="RNAHeadlineD"/>
        <w:rPr>
          <w:b w:val="0"/>
        </w:rPr>
      </w:pPr>
      <w:r w:rsidRPr="00DE5618">
        <w:rPr>
          <w:b w:val="0"/>
        </w:rPr>
        <w:t>This Opinion has been prepared pursuant to the following general assumptions and general limiting conditions:</w:t>
      </w:r>
    </w:p>
    <w:p w14:paraId="6EEDDC37" w14:textId="77777777" w:rsidR="00573796" w:rsidRPr="00474556" w:rsidRDefault="00573796" w:rsidP="00E8313B">
      <w:pPr>
        <w:pStyle w:val="RNABodyCopy"/>
      </w:pPr>
    </w:p>
    <w:p w14:paraId="3626222B" w14:textId="77777777" w:rsidR="00573796" w:rsidRPr="00474556" w:rsidRDefault="00573796" w:rsidP="00A71F2E">
      <w:pPr>
        <w:pStyle w:val="RNABodyCopy-bullets"/>
        <w:ind w:left="720" w:hanging="360"/>
      </w:pPr>
      <w:r w:rsidRPr="00474556">
        <w:t>We assume no responsibility for the legal description of real property or matters including legal or title considerations</w:t>
      </w:r>
      <w:r>
        <w:t xml:space="preserve">.  </w:t>
      </w:r>
      <w:r w:rsidRPr="00474556">
        <w:t xml:space="preserve">For real property included in this appraisal, we </w:t>
      </w:r>
      <w:r w:rsidRPr="00951B5C">
        <w:rPr>
          <w:noProof/>
        </w:rPr>
        <w:t>were not furnished</w:t>
      </w:r>
      <w:r w:rsidRPr="00474556">
        <w:t xml:space="preserve"> legal descriptions or other detailed site and improvement drawings</w:t>
      </w:r>
      <w:r>
        <w:t xml:space="preserve">.  </w:t>
      </w:r>
      <w:r w:rsidRPr="00474556">
        <w:t>Title to the subject assets, properties, or business interests is assumed to be good and marketable unless otherwise stated.</w:t>
      </w:r>
      <w:r>
        <w:t xml:space="preserve">  </w:t>
      </w:r>
    </w:p>
    <w:p w14:paraId="6FF98C95" w14:textId="77777777" w:rsidR="00573796" w:rsidRPr="00474556" w:rsidRDefault="00573796" w:rsidP="00A71F2E">
      <w:pPr>
        <w:pStyle w:val="RNABodyCopy-bullets"/>
        <w:ind w:left="720" w:hanging="360"/>
      </w:pPr>
      <w:r w:rsidRPr="00474556">
        <w:t>The subject assets, properties, or business interests are appraised free and clear of any or all liens or encumbrances unless otherwise stated.</w:t>
      </w:r>
      <w:r>
        <w:t xml:space="preserve">  </w:t>
      </w:r>
    </w:p>
    <w:p w14:paraId="53931C79" w14:textId="77777777" w:rsidR="00573796" w:rsidRPr="00474556" w:rsidRDefault="00573796" w:rsidP="00A71F2E">
      <w:pPr>
        <w:pStyle w:val="RNABodyCopy-bullets"/>
        <w:ind w:left="720" w:hanging="360"/>
      </w:pPr>
      <w:r w:rsidRPr="00474556">
        <w:t>We assume responsible ownership and competent management with respect to the subject assets, properties, or business interests.</w:t>
      </w:r>
      <w:r>
        <w:t xml:space="preserve">  </w:t>
      </w:r>
    </w:p>
    <w:p w14:paraId="4DB840F9" w14:textId="77777777" w:rsidR="00573796" w:rsidRPr="00474556" w:rsidRDefault="00573796" w:rsidP="00A71F2E">
      <w:pPr>
        <w:pStyle w:val="RNABodyCopy-bullets"/>
        <w:ind w:left="720" w:hanging="360"/>
      </w:pPr>
      <w:r w:rsidRPr="00474556">
        <w:t>The information furnished by management is believed to be reliable</w:t>
      </w:r>
      <w:r>
        <w:t xml:space="preserve">.  </w:t>
      </w:r>
      <w:r w:rsidRPr="00474556">
        <w:t xml:space="preserve">However, we issue no warranty or </w:t>
      </w:r>
      <w:r w:rsidRPr="006D4203">
        <w:rPr>
          <w:noProof/>
        </w:rPr>
        <w:t>other form</w:t>
      </w:r>
      <w:r w:rsidRPr="00474556">
        <w:t xml:space="preserve"> of assurance regarding its accuracy.</w:t>
      </w:r>
      <w:r>
        <w:t xml:space="preserve">  </w:t>
      </w:r>
    </w:p>
    <w:p w14:paraId="30A16354" w14:textId="77777777" w:rsidR="00573796" w:rsidRPr="00474556" w:rsidRDefault="00573796" w:rsidP="00A71F2E">
      <w:pPr>
        <w:pStyle w:val="RNABodyCopy-bullets"/>
        <w:ind w:left="720" w:hanging="360"/>
      </w:pPr>
      <w:r w:rsidRPr="00474556">
        <w:t xml:space="preserve">We assume that there is full compliance with all applicable Federal, state, and local regulations and laws unless noncompliance is stated, defined, and considered in the </w:t>
      </w:r>
      <w:r w:rsidRPr="006D4203">
        <w:rPr>
          <w:noProof/>
        </w:rPr>
        <w:t>appraisal</w:t>
      </w:r>
      <w:r w:rsidRPr="00474556">
        <w:t xml:space="preserve"> </w:t>
      </w:r>
      <w:r>
        <w:t>R</w:t>
      </w:r>
      <w:r w:rsidRPr="00474556">
        <w:t>eport.</w:t>
      </w:r>
      <w:r>
        <w:t xml:space="preserve">  </w:t>
      </w:r>
    </w:p>
    <w:p w14:paraId="3A6C634F" w14:textId="77777777" w:rsidR="00573796" w:rsidRPr="00474556" w:rsidRDefault="00573796" w:rsidP="00A71F2E">
      <w:pPr>
        <w:pStyle w:val="RNABodyCopy-bullets"/>
        <w:ind w:left="720" w:hanging="360"/>
      </w:pPr>
      <w:r w:rsidRPr="00474556">
        <w:t xml:space="preserve">We assume that all required licenses, certificates of occupancy, consents, or legislative or administrative authority from any local, state, or national government, private </w:t>
      </w:r>
      <w:r>
        <w:t>company</w:t>
      </w:r>
      <w:r w:rsidRPr="00474556">
        <w:t xml:space="preserve"> or organization have been or can be obtained or renewed for any use on which the valuation opinion contained in this </w:t>
      </w:r>
      <w:r>
        <w:t>R</w:t>
      </w:r>
      <w:r w:rsidRPr="00474556">
        <w:t>eport is based.</w:t>
      </w:r>
      <w:r>
        <w:t xml:space="preserve">  </w:t>
      </w:r>
    </w:p>
    <w:p w14:paraId="6B2AA6B6" w14:textId="619DFAF6" w:rsidR="00573796" w:rsidRPr="00474556" w:rsidRDefault="00573796" w:rsidP="00A71F2E">
      <w:pPr>
        <w:pStyle w:val="RNABodyCopy-bullets"/>
        <w:ind w:left="720" w:hanging="360"/>
      </w:pPr>
      <w:r w:rsidRPr="00474556">
        <w:t xml:space="preserve">Possession of this valuation </w:t>
      </w:r>
      <w:r>
        <w:t>R</w:t>
      </w:r>
      <w:r w:rsidRPr="00474556">
        <w:t>eport, or a copy thereof, does not carry with it the right of publication</w:t>
      </w:r>
      <w:r>
        <w:t xml:space="preserve">.  </w:t>
      </w:r>
      <w:r w:rsidRPr="00474556">
        <w:t>It may not be used</w:t>
      </w:r>
      <w:r w:rsidR="00DB7AD5">
        <w:t>, without our written consent,</w:t>
      </w:r>
      <w:r w:rsidRPr="00474556">
        <w:t xml:space="preserve"> for any purpose by any person other than the party to whom it is addressed and, in any event, only with </w:t>
      </w:r>
      <w:r w:rsidRPr="006D4203">
        <w:rPr>
          <w:noProof/>
        </w:rPr>
        <w:t>proper</w:t>
      </w:r>
      <w:r w:rsidRPr="00474556">
        <w:t xml:space="preserve"> written qualifications and only in its entiret</w:t>
      </w:r>
      <w:r>
        <w:t>y</w:t>
      </w:r>
      <w:r w:rsidRPr="00474556">
        <w:t>.</w:t>
      </w:r>
      <w:r>
        <w:t xml:space="preserve">  </w:t>
      </w:r>
    </w:p>
    <w:p w14:paraId="5E4A8C3A" w14:textId="04B1A10A" w:rsidR="00573796" w:rsidRPr="00474556" w:rsidRDefault="00573796" w:rsidP="00A71F2E">
      <w:pPr>
        <w:pStyle w:val="RNABodyCopy-bullets"/>
        <w:ind w:left="720" w:hanging="360"/>
      </w:pPr>
      <w:r w:rsidRPr="00474556">
        <w:t xml:space="preserve">We, by reason of this valuation, are </w:t>
      </w:r>
      <w:r w:rsidR="00C81AA9">
        <w:t>neither</w:t>
      </w:r>
      <w:r w:rsidR="00C81AA9" w:rsidRPr="00474556">
        <w:t xml:space="preserve"> </w:t>
      </w:r>
      <w:r w:rsidRPr="00474556">
        <w:t>required to give testimony nor to be in attendance in court with reference to the assets, properties, or business interests in question unless arrangements have been previously made.</w:t>
      </w:r>
      <w:r>
        <w:t xml:space="preserve">  </w:t>
      </w:r>
    </w:p>
    <w:p w14:paraId="6CF26D80" w14:textId="77777777" w:rsidR="00573796" w:rsidRPr="00474556" w:rsidRDefault="00573796" w:rsidP="00A71F2E">
      <w:pPr>
        <w:pStyle w:val="RNABodyCopy-bullets"/>
        <w:ind w:left="720" w:hanging="360"/>
      </w:pPr>
      <w:r w:rsidRPr="00474556">
        <w:t xml:space="preserve">This valuation </w:t>
      </w:r>
      <w:r>
        <w:t>R</w:t>
      </w:r>
      <w:r w:rsidRPr="00474556">
        <w:t xml:space="preserve">eport has been prepared in conformity </w:t>
      </w:r>
      <w:r w:rsidRPr="006D4203">
        <w:rPr>
          <w:noProof/>
        </w:rPr>
        <w:t>with,</w:t>
      </w:r>
      <w:r w:rsidRPr="00474556">
        <w:t xml:space="preserve"> and is subject to, the requirements of the code of professional ethics and standards of professional conduct of the professional appraisal organizations of which we are members.</w:t>
      </w:r>
      <w:r>
        <w:t xml:space="preserve">  </w:t>
      </w:r>
    </w:p>
    <w:p w14:paraId="2B5FBEF0" w14:textId="77777777" w:rsidR="00573796" w:rsidRPr="00474556" w:rsidRDefault="00573796" w:rsidP="00A71F2E">
      <w:pPr>
        <w:pStyle w:val="RNABodyCopy-bullets"/>
        <w:ind w:left="720" w:hanging="360"/>
      </w:pPr>
      <w:r w:rsidRPr="00474556">
        <w:t xml:space="preserve">Disclosure of the contents of this valuation </w:t>
      </w:r>
      <w:r>
        <w:t>R</w:t>
      </w:r>
      <w:r w:rsidRPr="00474556">
        <w:t>eport is governed by the bylaws and regulations of the CFA Institute.</w:t>
      </w:r>
      <w:r>
        <w:t xml:space="preserve">  </w:t>
      </w:r>
    </w:p>
    <w:p w14:paraId="132CC559" w14:textId="77777777" w:rsidR="00573796" w:rsidRPr="00474556" w:rsidRDefault="00573796" w:rsidP="00A71F2E">
      <w:pPr>
        <w:pStyle w:val="RNABodyCopy-bullets"/>
        <w:ind w:left="720" w:hanging="360"/>
      </w:pPr>
      <w:r w:rsidRPr="00474556">
        <w:t xml:space="preserve">No part of the contents of this </w:t>
      </w:r>
      <w:r>
        <w:t>R</w:t>
      </w:r>
      <w:r w:rsidRPr="00474556">
        <w:t>eport, especially any conclusions of value, the identity of the appraisers, or the firm with which the appraisers are associated, shall be disseminated to the public through advertising, public relations, news, sales, or other media without our prior written consent and approval.</w:t>
      </w:r>
      <w:r>
        <w:t xml:space="preserve">  </w:t>
      </w:r>
    </w:p>
    <w:p w14:paraId="795264ED" w14:textId="4C191304" w:rsidR="00D7426A" w:rsidRDefault="00573796" w:rsidP="00A71F2E">
      <w:pPr>
        <w:pStyle w:val="RNABodyCopy-bullets"/>
        <w:ind w:left="720" w:hanging="360"/>
        <w:rPr>
          <w:color w:val="DE9C2F" w:themeColor="accent4"/>
          <w:sz w:val="42"/>
          <w:szCs w:val="42"/>
        </w:rPr>
      </w:pPr>
      <w:r w:rsidRPr="00474556">
        <w:t xml:space="preserve">We assume no responsibility for any financial reporting judgments, which are appropriately those of </w:t>
      </w:r>
      <w:r>
        <w:t>M</w:t>
      </w:r>
      <w:r w:rsidRPr="00474556">
        <w:t>anagement</w:t>
      </w:r>
      <w:r>
        <w:t xml:space="preserve">.  </w:t>
      </w:r>
      <w:r w:rsidRPr="00474556">
        <w:t>Management accepts the responsibility for any related financial reporting with respect to the assets, properties, or business interests encompassed by this appraisal.</w:t>
      </w:r>
      <w:r>
        <w:t xml:space="preserve">  </w:t>
      </w:r>
      <w:bookmarkStart w:id="63" w:name="_Toc425496328"/>
      <w:bookmarkStart w:id="64" w:name="_Toc432004256"/>
    </w:p>
    <w:p w14:paraId="4275F6E2" w14:textId="5C09A6D7" w:rsidR="00573796" w:rsidRPr="005203C8" w:rsidRDefault="00573796" w:rsidP="00565DEF">
      <w:pPr>
        <w:pStyle w:val="RNAHeadlineA"/>
        <w:outlineLvl w:val="0"/>
      </w:pPr>
      <w:bookmarkStart w:id="65" w:name="_Toc2188956"/>
      <w:r w:rsidRPr="005203C8">
        <w:t>Qualifications</w:t>
      </w:r>
      <w:bookmarkEnd w:id="63"/>
      <w:bookmarkEnd w:id="64"/>
      <w:bookmarkEnd w:id="65"/>
    </w:p>
    <w:p w14:paraId="428D2154" w14:textId="77777777" w:rsidR="00573796" w:rsidRPr="00575DEC" w:rsidRDefault="00573796" w:rsidP="00565DEF">
      <w:pPr>
        <w:pStyle w:val="RNABodyCopy"/>
      </w:pPr>
      <w:bookmarkStart w:id="66" w:name="_Toc425496329"/>
    </w:p>
    <w:p w14:paraId="4D6B937A" w14:textId="4708ADE6" w:rsidR="00573796" w:rsidRPr="00565DEF" w:rsidRDefault="00573796" w:rsidP="00565DEF">
      <w:pPr>
        <w:pStyle w:val="RNAHeadlineB"/>
        <w:outlineLvl w:val="1"/>
        <w:rPr>
          <w:rFonts w:ascii="Georgia" w:hAnsi="Georgia"/>
        </w:rPr>
      </w:pPr>
      <w:bookmarkStart w:id="67" w:name="_Toc424227177"/>
      <w:bookmarkStart w:id="68" w:name="_Toc437003822"/>
      <w:bookmarkStart w:id="69" w:name="_Toc432004257"/>
      <w:bookmarkStart w:id="70" w:name="_Toc2188957"/>
      <w:r w:rsidRPr="00565DEF">
        <w:rPr>
          <w:rFonts w:ascii="Georgia" w:hAnsi="Georgia"/>
        </w:rPr>
        <w:t>Samuel Renwick, CFA</w:t>
      </w:r>
      <w:bookmarkEnd w:id="66"/>
      <w:bookmarkEnd w:id="67"/>
      <w:bookmarkEnd w:id="68"/>
      <w:bookmarkEnd w:id="69"/>
      <w:bookmarkEnd w:id="70"/>
    </w:p>
    <w:p w14:paraId="33059021" w14:textId="77777777" w:rsidR="00573796" w:rsidRDefault="00573796" w:rsidP="00D55352">
      <w:pPr>
        <w:pStyle w:val="RNABodyCopy"/>
      </w:pPr>
      <w:r w:rsidRPr="004F105E">
        <w:t xml:space="preserve">Sam Renwick provides valuation and advisory services to biopharmaceutical, medical device and equipment, diagnostic companies, and clinical research and manufacturing organizations, as well as other IP-centric technology companies. </w:t>
      </w:r>
      <w:r>
        <w:t xml:space="preserve"> </w:t>
      </w:r>
      <w:r w:rsidRPr="004F105E">
        <w:t>His experience includes buy</w:t>
      </w:r>
      <w:r>
        <w:t>-</w:t>
      </w:r>
      <w:r w:rsidRPr="004F105E">
        <w:t xml:space="preserve">side and sell-side advisory engagements for licensing, financing, and mergers and acquisitions, as well as for tax and financial reporting matters for large public companies to small venture-backed enterprises. </w:t>
      </w:r>
      <w:r>
        <w:t xml:space="preserve"> </w:t>
      </w:r>
      <w:r w:rsidRPr="004F105E">
        <w:t xml:space="preserve">Whether developing dynamic, patient flow models for late-clinical therapeutic assets or developing an opinion of value for </w:t>
      </w:r>
      <w:r w:rsidRPr="00951B5C">
        <w:rPr>
          <w:noProof/>
        </w:rPr>
        <w:t>a security</w:t>
      </w:r>
      <w:r w:rsidRPr="004F105E">
        <w:t xml:space="preserve"> for compliance purposes, Mr. Renwick combines his breadth of industry knowledge with deep expertise in finance and financial models to create compelling communications regarding the value proposition of an asset, portfolio of assets or a company. </w:t>
      </w:r>
      <w:r>
        <w:t xml:space="preserve"> </w:t>
      </w:r>
      <w:r w:rsidRPr="004F105E">
        <w:t>Mr. Renwick has worked with well over 600 life sciences and technology companies in his career.</w:t>
      </w:r>
      <w:r>
        <w:t xml:space="preserve">  </w:t>
      </w:r>
    </w:p>
    <w:p w14:paraId="77770F89" w14:textId="77777777" w:rsidR="00573796" w:rsidRPr="005203C8" w:rsidRDefault="00573796" w:rsidP="00D55352">
      <w:pPr>
        <w:pStyle w:val="RNABodyCopy"/>
      </w:pPr>
    </w:p>
    <w:p w14:paraId="2D9BFAE6" w14:textId="77777777" w:rsidR="00573796" w:rsidRPr="005203C8" w:rsidRDefault="00573796" w:rsidP="00D55352">
      <w:pPr>
        <w:pStyle w:val="RNAHeadline3"/>
      </w:pPr>
      <w:r w:rsidRPr="005203C8">
        <w:t>Professional Affiliations</w:t>
      </w:r>
    </w:p>
    <w:p w14:paraId="53F51468" w14:textId="77777777" w:rsidR="00573796" w:rsidRPr="005203C8" w:rsidRDefault="00573796" w:rsidP="00724D57">
      <w:pPr>
        <w:pStyle w:val="RNABodyCopy-bullets"/>
        <w:ind w:left="1080" w:hanging="720"/>
      </w:pPr>
      <w:r w:rsidRPr="005203C8">
        <w:t>UCLA Anderson Business Honor Society</w:t>
      </w:r>
    </w:p>
    <w:p w14:paraId="7C1CC53A" w14:textId="77777777" w:rsidR="00573796" w:rsidRPr="005203C8" w:rsidRDefault="00573796" w:rsidP="00724D57">
      <w:pPr>
        <w:pStyle w:val="RNABodyCopy-bullets"/>
        <w:ind w:left="1080" w:hanging="720"/>
      </w:pPr>
      <w:r w:rsidRPr="005203C8">
        <w:t>CFA Institute</w:t>
      </w:r>
    </w:p>
    <w:p w14:paraId="76C72E0A" w14:textId="77777777" w:rsidR="00573796" w:rsidRPr="005203C8" w:rsidRDefault="00573796" w:rsidP="00724D57">
      <w:pPr>
        <w:pStyle w:val="RNABodyCopy-bullets"/>
        <w:ind w:left="1080" w:hanging="720"/>
      </w:pPr>
      <w:r w:rsidRPr="005203C8">
        <w:t>Chartered Financial Analyst Society of San Francisco</w:t>
      </w:r>
    </w:p>
    <w:p w14:paraId="523E2C18" w14:textId="77777777" w:rsidR="00573796" w:rsidRPr="005203C8" w:rsidRDefault="00573796" w:rsidP="00724D57">
      <w:pPr>
        <w:pStyle w:val="RNABodyCopy-bullets"/>
        <w:ind w:left="1080" w:hanging="720"/>
      </w:pPr>
      <w:r w:rsidRPr="005203C8">
        <w:t>Member, Fair Value Forum</w:t>
      </w:r>
    </w:p>
    <w:p w14:paraId="362E754D" w14:textId="77777777" w:rsidR="00573796" w:rsidRDefault="00573796" w:rsidP="00724D57">
      <w:pPr>
        <w:pStyle w:val="RNABodyCopy-bullets"/>
        <w:ind w:left="1080" w:hanging="720"/>
      </w:pPr>
      <w:r w:rsidRPr="005203C8">
        <w:t>Licensing Executive Society</w:t>
      </w:r>
    </w:p>
    <w:p w14:paraId="5A687343" w14:textId="77777777" w:rsidR="00101F38" w:rsidRPr="005203C8" w:rsidRDefault="00101F38" w:rsidP="00DE5618">
      <w:pPr>
        <w:pStyle w:val="RNABodyCopy-bullets"/>
        <w:numPr>
          <w:ilvl w:val="0"/>
          <w:numId w:val="0"/>
        </w:numPr>
      </w:pPr>
    </w:p>
    <w:p w14:paraId="345B2850" w14:textId="77777777" w:rsidR="00573796" w:rsidRPr="005203C8" w:rsidRDefault="00573796" w:rsidP="00D55352">
      <w:pPr>
        <w:pStyle w:val="RNAHeadline3"/>
      </w:pPr>
      <w:r w:rsidRPr="005203C8">
        <w:t>Education</w:t>
      </w:r>
    </w:p>
    <w:p w14:paraId="28264EA5" w14:textId="77777777" w:rsidR="00573796" w:rsidRPr="005203C8" w:rsidRDefault="00573796" w:rsidP="00724D57">
      <w:pPr>
        <w:pStyle w:val="RNABodyCopy-bullets"/>
        <w:ind w:left="1080" w:hanging="720"/>
      </w:pPr>
      <w:r w:rsidRPr="005203C8">
        <w:t>BA/Economics &amp; Business – Westmont College, Honors</w:t>
      </w:r>
    </w:p>
    <w:p w14:paraId="60A3D1A7" w14:textId="77777777" w:rsidR="00573796" w:rsidRPr="005203C8" w:rsidRDefault="00573796" w:rsidP="00724D57">
      <w:pPr>
        <w:pStyle w:val="RNABodyCopy-bullets"/>
        <w:ind w:left="1080" w:hanging="720"/>
      </w:pPr>
      <w:r w:rsidRPr="005203C8">
        <w:t>MBA/Finance – UCLA Anderson, Honors, J</w:t>
      </w:r>
      <w:r>
        <w:t xml:space="preserve">. </w:t>
      </w:r>
      <w:r w:rsidRPr="005203C8">
        <w:t>Fred Weston award for Academic Excellence in Finance</w:t>
      </w:r>
    </w:p>
    <w:p w14:paraId="07AED8FA" w14:textId="77777777" w:rsidR="00573796" w:rsidRDefault="00573796" w:rsidP="00724D57">
      <w:pPr>
        <w:pStyle w:val="RNABodyCopy-bullets"/>
        <w:ind w:left="1080" w:hanging="720"/>
      </w:pPr>
      <w:r w:rsidRPr="005203C8">
        <w:t>Chartered Financial Analyst (CFA)</w:t>
      </w:r>
    </w:p>
    <w:p w14:paraId="412DF277" w14:textId="77777777" w:rsidR="00101F38" w:rsidRPr="005203C8" w:rsidRDefault="00101F38" w:rsidP="00DE5618">
      <w:pPr>
        <w:pStyle w:val="RNABodyCopy-bullets"/>
        <w:numPr>
          <w:ilvl w:val="0"/>
          <w:numId w:val="0"/>
        </w:numPr>
        <w:ind w:left="576" w:hanging="288"/>
      </w:pPr>
    </w:p>
    <w:p w14:paraId="31E02B37" w14:textId="77777777" w:rsidR="00573796" w:rsidRPr="005203C8" w:rsidRDefault="00573796" w:rsidP="00D55352">
      <w:pPr>
        <w:pStyle w:val="RNAHeadline3"/>
      </w:pPr>
      <w:r w:rsidRPr="005203C8">
        <w:t>Publications</w:t>
      </w:r>
    </w:p>
    <w:p w14:paraId="7FE6BE29" w14:textId="77777777" w:rsidR="00573796" w:rsidRDefault="00573796" w:rsidP="00724D57">
      <w:pPr>
        <w:pStyle w:val="RNABodyCopy-bullets"/>
        <w:ind w:left="1080" w:hanging="720"/>
      </w:pPr>
      <w:r>
        <w:t>409A Administration Handbook Valuation Section – Thomson Reuters, 2014</w:t>
      </w:r>
    </w:p>
    <w:p w14:paraId="521A1B49" w14:textId="77777777" w:rsidR="00573796" w:rsidRDefault="00573796" w:rsidP="00724D57">
      <w:pPr>
        <w:pStyle w:val="RNABodyCopy-bullets"/>
        <w:ind w:left="1080" w:hanging="720"/>
        <w:rPr>
          <w:rFonts w:cstheme="majorBidi"/>
        </w:rPr>
      </w:pPr>
      <w:r>
        <w:t xml:space="preserve">Why Your 409A Valuation is Too High – Dis-Incentive Stock Compensation in the Life Sciences – </w:t>
      </w:r>
      <w:r>
        <w:rPr>
          <w:u w:val="single"/>
        </w:rPr>
        <w:t>BPM White Paper</w:t>
      </w:r>
      <w:r>
        <w:t>, May 2013</w:t>
      </w:r>
    </w:p>
    <w:p w14:paraId="4E95AB0B" w14:textId="77777777" w:rsidR="00573796" w:rsidRDefault="00573796" w:rsidP="00724D57">
      <w:pPr>
        <w:pStyle w:val="RNABodyCopy-bullets"/>
        <w:ind w:left="1080" w:hanging="720"/>
      </w:pPr>
      <w:r>
        <w:t xml:space="preserve">Modeling and Forecasting to Communicate the Biotherapeutic Value Proposition – </w:t>
      </w:r>
      <w:proofErr w:type="spellStart"/>
      <w:r>
        <w:rPr>
          <w:u w:val="single"/>
        </w:rPr>
        <w:t>BayBio</w:t>
      </w:r>
      <w:proofErr w:type="spellEnd"/>
      <w:r>
        <w:rPr>
          <w:u w:val="single"/>
        </w:rPr>
        <w:t xml:space="preserve"> White Paper</w:t>
      </w:r>
      <w:r>
        <w:t>, May 2010</w:t>
      </w:r>
    </w:p>
    <w:p w14:paraId="5ECF9192" w14:textId="77777777" w:rsidR="00573796" w:rsidRDefault="00573796" w:rsidP="00724D57">
      <w:pPr>
        <w:pStyle w:val="RNABodyCopy-bullets"/>
        <w:ind w:left="1080" w:hanging="720"/>
      </w:pPr>
      <w:r>
        <w:t xml:space="preserve">Common Stock Valuation – Tips from the Trade, </w:t>
      </w:r>
      <w:proofErr w:type="spellStart"/>
      <w:r>
        <w:rPr>
          <w:u w:val="single"/>
        </w:rPr>
        <w:t>BayBio</w:t>
      </w:r>
      <w:proofErr w:type="spellEnd"/>
      <w:r>
        <w:rPr>
          <w:u w:val="single"/>
        </w:rPr>
        <w:t xml:space="preserve"> NOTES</w:t>
      </w:r>
      <w:r>
        <w:t>, April 2010</w:t>
      </w:r>
    </w:p>
    <w:p w14:paraId="5C10804E" w14:textId="77777777" w:rsidR="00573796" w:rsidRDefault="00573796" w:rsidP="00724D57">
      <w:pPr>
        <w:pStyle w:val="RNABodyCopy-bullets"/>
        <w:ind w:left="1080" w:hanging="720"/>
      </w:pPr>
      <w:r>
        <w:t xml:space="preserve">Defensible Equity Incentive Valuation Opinions Under IRC 409A, </w:t>
      </w:r>
      <w:r>
        <w:rPr>
          <w:u w:val="single"/>
        </w:rPr>
        <w:t>Company Newsletter</w:t>
      </w:r>
      <w:r>
        <w:t>, December 2009</w:t>
      </w:r>
    </w:p>
    <w:p w14:paraId="00170A41" w14:textId="77777777" w:rsidR="00573796" w:rsidRDefault="00573796" w:rsidP="00724D57">
      <w:pPr>
        <w:pStyle w:val="RNABodyCopy-bullets"/>
        <w:ind w:left="1080" w:hanging="720"/>
      </w:pPr>
      <w:r>
        <w:t xml:space="preserve">What is the IRS Doing with IRC 409A, </w:t>
      </w:r>
      <w:r>
        <w:rPr>
          <w:u w:val="single"/>
        </w:rPr>
        <w:t>Silicon Valley Bank Newsletter</w:t>
      </w:r>
      <w:r>
        <w:t xml:space="preserve">, December </w:t>
      </w:r>
      <w:proofErr w:type="gramStart"/>
      <w:r>
        <w:t>2008</w:t>
      </w:r>
      <w:proofErr w:type="gramEnd"/>
    </w:p>
    <w:p w14:paraId="0EF111E5" w14:textId="77777777" w:rsidR="00573796" w:rsidRDefault="00573796" w:rsidP="00724D57">
      <w:pPr>
        <w:pStyle w:val="RNABodyCopy-bullets"/>
        <w:ind w:left="1080" w:hanging="720"/>
      </w:pPr>
      <w:r>
        <w:t xml:space="preserve">Eleven of the Top Ten Mistakes to Avoid in Your Options Program, </w:t>
      </w:r>
      <w:r>
        <w:rPr>
          <w:u w:val="single"/>
        </w:rPr>
        <w:t xml:space="preserve">Atlanta CEO </w:t>
      </w:r>
      <w:proofErr w:type="spellStart"/>
      <w:r>
        <w:rPr>
          <w:u w:val="single"/>
        </w:rPr>
        <w:t>Connexions</w:t>
      </w:r>
      <w:proofErr w:type="spellEnd"/>
      <w:r>
        <w:t>, August 2007</w:t>
      </w:r>
    </w:p>
    <w:p w14:paraId="29D51A3F" w14:textId="77777777" w:rsidR="00101F38" w:rsidRDefault="00101F38" w:rsidP="00DE5618">
      <w:pPr>
        <w:pStyle w:val="RNABodyCopy-bullets"/>
        <w:numPr>
          <w:ilvl w:val="0"/>
          <w:numId w:val="0"/>
        </w:numPr>
      </w:pPr>
    </w:p>
    <w:p w14:paraId="58F6F456" w14:textId="77777777" w:rsidR="00573796" w:rsidRPr="005203C8" w:rsidRDefault="00573796" w:rsidP="00D55352">
      <w:pPr>
        <w:pStyle w:val="RNAHeadline3"/>
      </w:pPr>
      <w:r w:rsidRPr="005203C8">
        <w:t>Instruction and Seminars</w:t>
      </w:r>
    </w:p>
    <w:p w14:paraId="54E5B071" w14:textId="77777777" w:rsidR="00233E4C" w:rsidRDefault="00233E4C" w:rsidP="00724D57">
      <w:pPr>
        <w:pStyle w:val="RNABodyCopy-bullets"/>
        <w:ind w:left="1080" w:hanging="720"/>
      </w:pPr>
      <w:r>
        <w:t xml:space="preserve">Presentation on Valuation and Funding Strategies for Digital Health Companies at the Cedars Sinai </w:t>
      </w:r>
      <w:proofErr w:type="spellStart"/>
      <w:r>
        <w:t>Techstars</w:t>
      </w:r>
      <w:proofErr w:type="spellEnd"/>
      <w:r>
        <w:t xml:space="preserve"> Accelerator, October 2017</w:t>
      </w:r>
    </w:p>
    <w:p w14:paraId="15087038" w14:textId="0AAEBA51" w:rsidR="00573796" w:rsidRDefault="00573796" w:rsidP="00724D57">
      <w:pPr>
        <w:pStyle w:val="RNABodyCopy-bullets"/>
        <w:ind w:left="1080" w:hanging="720"/>
      </w:pPr>
      <w:r w:rsidRPr="00EA6578">
        <w:t>Panelist on Valuation Issues in Early Stage Company Valuations – Fair Value Summit November 2015</w:t>
      </w:r>
    </w:p>
    <w:p w14:paraId="7FC5DA2C" w14:textId="77777777" w:rsidR="00573796" w:rsidRDefault="00573796" w:rsidP="00724D57">
      <w:pPr>
        <w:pStyle w:val="RNABodyCopy-bullets"/>
        <w:ind w:left="1080" w:hanging="720"/>
      </w:pPr>
      <w:r>
        <w:t>Presentation on Funding Technology Innovation to Caltech Science and Entrepreneurship Group, Pasadena, March 2015</w:t>
      </w:r>
    </w:p>
    <w:p w14:paraId="644FD546" w14:textId="77777777" w:rsidR="00573796" w:rsidRDefault="00573796" w:rsidP="00724D57">
      <w:pPr>
        <w:pStyle w:val="RNABodyCopy-bullets"/>
        <w:ind w:left="1080" w:hanging="720"/>
      </w:pPr>
      <w:r>
        <w:t xml:space="preserve">Presentation to accelerator programs/technology transfer group on Financing Early Stage Technologies – Navigating Valuation Discussions, UC Berkeley, October 2014 </w:t>
      </w:r>
    </w:p>
    <w:p w14:paraId="65B5D20B" w14:textId="77777777" w:rsidR="00573796" w:rsidRDefault="00573796" w:rsidP="00724D57">
      <w:pPr>
        <w:pStyle w:val="RNABodyCopy-bullets"/>
        <w:ind w:left="1080" w:hanging="720"/>
      </w:pPr>
      <w:r>
        <w:t>Panelist, Funding Early Stage Ventures, Sand Hill Angels, September 2013</w:t>
      </w:r>
    </w:p>
    <w:p w14:paraId="0B47D441" w14:textId="77777777" w:rsidR="00573796" w:rsidRDefault="00573796" w:rsidP="00724D57">
      <w:pPr>
        <w:pStyle w:val="RNABodyCopy-bullets"/>
        <w:ind w:left="1080" w:hanging="720"/>
        <w:rPr>
          <w:rFonts w:cstheme="majorBidi"/>
        </w:rPr>
      </w:pPr>
      <w:r>
        <w:t xml:space="preserve">Panelist on Communicating the Biotech Value Proposition, </w:t>
      </w:r>
      <w:proofErr w:type="spellStart"/>
      <w:r>
        <w:t>BayBio</w:t>
      </w:r>
      <w:proofErr w:type="spellEnd"/>
      <w:r>
        <w:t xml:space="preserve"> Annual Event, South San Francisco, May 2011</w:t>
      </w:r>
    </w:p>
    <w:p w14:paraId="5DA67670" w14:textId="77777777" w:rsidR="00573796" w:rsidRDefault="00573796" w:rsidP="00724D57">
      <w:pPr>
        <w:pStyle w:val="RNABodyCopy-bullets"/>
        <w:ind w:left="1080" w:hanging="720"/>
      </w:pPr>
      <w:r>
        <w:t>Presentation on the Use of Discount Rates in the PWERM, Fair Value Forum, Palo Alto, November 2008</w:t>
      </w:r>
    </w:p>
    <w:p w14:paraId="561A82B3" w14:textId="77777777" w:rsidR="00573796" w:rsidRDefault="00573796" w:rsidP="00724D57">
      <w:pPr>
        <w:pStyle w:val="RNABodyCopy-bullets"/>
        <w:ind w:left="1080" w:hanging="720"/>
      </w:pPr>
      <w:r>
        <w:t>Panelist on the Valuation of Biotechnology Companies, Biocom, San Diego, May 2008</w:t>
      </w:r>
    </w:p>
    <w:p w14:paraId="5214E8F7" w14:textId="77777777" w:rsidR="00573796" w:rsidRPr="00474556" w:rsidRDefault="00573796" w:rsidP="00573796">
      <w:pPr>
        <w:rPr>
          <w:color w:val="1F4E79" w:themeColor="accent2" w:themeShade="80"/>
          <w:spacing w:val="15"/>
          <w:sz w:val="24"/>
        </w:rPr>
      </w:pPr>
      <w:r w:rsidRPr="002C6B21">
        <w:br w:type="page"/>
      </w:r>
    </w:p>
    <w:p w14:paraId="073A20B4" w14:textId="4DBB2279" w:rsidR="00573796" w:rsidRPr="00032785" w:rsidRDefault="00573796" w:rsidP="00565DEF">
      <w:pPr>
        <w:pStyle w:val="RNAHeadlineA"/>
        <w:outlineLvl w:val="0"/>
      </w:pPr>
      <w:bookmarkStart w:id="71" w:name="_Toc2188958"/>
      <w:r w:rsidRPr="00032785">
        <w:t>Certification</w:t>
      </w:r>
      <w:bookmarkEnd w:id="71"/>
    </w:p>
    <w:p w14:paraId="5C054C1E" w14:textId="77777777" w:rsidR="00573796" w:rsidRDefault="00573796" w:rsidP="00573796"/>
    <w:p w14:paraId="5245F39D" w14:textId="77777777" w:rsidR="00573796" w:rsidRPr="00474556" w:rsidRDefault="00573796" w:rsidP="00D55352">
      <w:pPr>
        <w:pStyle w:val="RNABodyCopy"/>
      </w:pPr>
      <w:r w:rsidRPr="00474556">
        <w:t xml:space="preserve">I certify </w:t>
      </w:r>
      <w:r w:rsidRPr="00951B5C">
        <w:rPr>
          <w:noProof/>
        </w:rPr>
        <w:t>that,</w:t>
      </w:r>
      <w:r w:rsidRPr="0084131E">
        <w:t xml:space="preserve"> to </w:t>
      </w:r>
      <w:r w:rsidRPr="00474556">
        <w:t xml:space="preserve">the </w:t>
      </w:r>
      <w:r w:rsidRPr="0084131E">
        <w:t>best of my knowledge and belief</w:t>
      </w:r>
      <w:r w:rsidRPr="00474556">
        <w:t>:</w:t>
      </w:r>
    </w:p>
    <w:p w14:paraId="609FAA45" w14:textId="77777777" w:rsidR="00573796" w:rsidRPr="00474556" w:rsidRDefault="00573796" w:rsidP="00D55352">
      <w:pPr>
        <w:pStyle w:val="RNABodyCopy"/>
      </w:pPr>
    </w:p>
    <w:p w14:paraId="685409E8" w14:textId="77777777" w:rsidR="00573796" w:rsidRPr="00474556" w:rsidRDefault="00573796" w:rsidP="00724D57">
      <w:pPr>
        <w:pStyle w:val="RNABodyCopy-bullets"/>
        <w:ind w:left="1080" w:hanging="720"/>
      </w:pPr>
      <w:r w:rsidRPr="00474556">
        <w:t xml:space="preserve">The statements of fact contained in this </w:t>
      </w:r>
      <w:r>
        <w:t>R</w:t>
      </w:r>
      <w:r w:rsidRPr="00474556">
        <w:t>eport are true and correct.</w:t>
      </w:r>
      <w:r>
        <w:t xml:space="preserve">  </w:t>
      </w:r>
    </w:p>
    <w:p w14:paraId="7B0CF83F" w14:textId="77777777" w:rsidR="00573796" w:rsidRPr="00474556" w:rsidRDefault="00573796" w:rsidP="00724D57">
      <w:pPr>
        <w:pStyle w:val="RNABodyCopy-bullets"/>
        <w:ind w:left="1080" w:hanging="720"/>
      </w:pPr>
      <w:r w:rsidRPr="00474556">
        <w:t xml:space="preserve">The reported analyses, opinions, and conclusions are limited only by the reported assumptions and </w:t>
      </w:r>
      <w:r w:rsidRPr="006D481F">
        <w:t xml:space="preserve">limiting </w:t>
      </w:r>
      <w:r w:rsidRPr="006D4203">
        <w:rPr>
          <w:noProof/>
        </w:rPr>
        <w:t>conditions,</w:t>
      </w:r>
      <w:r w:rsidRPr="00474556">
        <w:t xml:space="preserve"> and are </w:t>
      </w:r>
      <w:r w:rsidRPr="006D481F">
        <w:t>our</w:t>
      </w:r>
      <w:r w:rsidRPr="00474556">
        <w:t xml:space="preserve"> personal, impartial, and unbiased professional analyses, opinions, and conclusions.</w:t>
      </w:r>
      <w:r>
        <w:t xml:space="preserve">  </w:t>
      </w:r>
    </w:p>
    <w:p w14:paraId="3B9C8977" w14:textId="77777777" w:rsidR="00573796" w:rsidRPr="00474556" w:rsidRDefault="00573796" w:rsidP="00724D57">
      <w:pPr>
        <w:pStyle w:val="RNABodyCopy-bullets"/>
        <w:ind w:left="1080" w:hanging="720"/>
      </w:pPr>
      <w:r w:rsidRPr="006D481F">
        <w:t>We</w:t>
      </w:r>
      <w:r w:rsidRPr="00474556">
        <w:t xml:space="preserve"> have no present or prospective interest in the property that is the subject of this </w:t>
      </w:r>
      <w:r>
        <w:t>R</w:t>
      </w:r>
      <w:r w:rsidRPr="00474556">
        <w:t>eport</w:t>
      </w:r>
      <w:r w:rsidRPr="006D481F">
        <w:t>,</w:t>
      </w:r>
      <w:r w:rsidRPr="00474556">
        <w:t xml:space="preserve"> and</w:t>
      </w:r>
      <w:r w:rsidRPr="006D481F">
        <w:t xml:space="preserve"> we have</w:t>
      </w:r>
      <w:r w:rsidRPr="00474556">
        <w:t xml:space="preserve"> no personal interest with respect to the parties involved.</w:t>
      </w:r>
      <w:r>
        <w:t xml:space="preserve">  </w:t>
      </w:r>
    </w:p>
    <w:p w14:paraId="7F526861" w14:textId="77777777" w:rsidR="00573796" w:rsidRPr="00474556" w:rsidRDefault="00573796" w:rsidP="00724D57">
      <w:pPr>
        <w:pStyle w:val="RNABodyCopy-bullets"/>
        <w:ind w:left="1080" w:hanging="720"/>
      </w:pPr>
      <w:r w:rsidRPr="006D481F">
        <w:t>We</w:t>
      </w:r>
      <w:r w:rsidRPr="00474556">
        <w:t xml:space="preserve"> have no bias with respect to the property that is the subject of this </w:t>
      </w:r>
      <w:r>
        <w:t>R</w:t>
      </w:r>
      <w:r w:rsidRPr="00474556">
        <w:t>eport or to the parties involved with this assignment.</w:t>
      </w:r>
      <w:r>
        <w:t xml:space="preserve">  </w:t>
      </w:r>
    </w:p>
    <w:p w14:paraId="177B3C63" w14:textId="77777777" w:rsidR="00573796" w:rsidRPr="00474556" w:rsidRDefault="00573796" w:rsidP="00724D57">
      <w:pPr>
        <w:pStyle w:val="RNABodyCopy-bullets"/>
        <w:ind w:left="1080" w:hanging="720"/>
      </w:pPr>
      <w:r w:rsidRPr="006D481F">
        <w:t>Our</w:t>
      </w:r>
      <w:r w:rsidRPr="00474556">
        <w:t xml:space="preserve"> engagement in this assignment was not contingent upon developing or reporting predetermined results.</w:t>
      </w:r>
      <w:r>
        <w:t xml:space="preserve">  </w:t>
      </w:r>
    </w:p>
    <w:p w14:paraId="6DC87236" w14:textId="79ABFE38" w:rsidR="00573796" w:rsidRPr="00474556" w:rsidRDefault="00573796" w:rsidP="00724D57">
      <w:pPr>
        <w:pStyle w:val="RNABodyCopy-bullets"/>
        <w:ind w:left="1080" w:hanging="720"/>
      </w:pPr>
      <w:r w:rsidRPr="006D481F">
        <w:t>Our</w:t>
      </w:r>
      <w:r w:rsidRPr="00474556">
        <w:t xml:space="preserve"> compensation for completing this assignment is not contingent upon the development or reporting of a predetermined value </w:t>
      </w:r>
      <w:r w:rsidRPr="006D481F">
        <w:t>of</w:t>
      </w:r>
      <w:r w:rsidRPr="00474556">
        <w:t xml:space="preserve"> direction in value that favors the cause of the client, the amount of the value opinion, the attainment of a stipulated result, or the occurrence of a subsequent event directly related to the intended use of this appraisal.</w:t>
      </w:r>
      <w:r>
        <w:t xml:space="preserve">  </w:t>
      </w:r>
    </w:p>
    <w:p w14:paraId="794A7473" w14:textId="2731363B" w:rsidR="00DC5146" w:rsidRPr="00474556" w:rsidRDefault="00DC5146" w:rsidP="00C0292E">
      <w:pPr>
        <w:pStyle w:val="RNABodyCopy-bullets"/>
        <w:ind w:left="1080" w:hanging="720"/>
      </w:pPr>
      <w:r w:rsidRPr="006D481F">
        <w:t>Our</w:t>
      </w:r>
      <w:r w:rsidRPr="00474556">
        <w:t xml:space="preserve"> analyses, opinions </w:t>
      </w:r>
      <w:r w:rsidRPr="006D4203">
        <w:rPr>
          <w:noProof/>
        </w:rPr>
        <w:t>and</w:t>
      </w:r>
      <w:r w:rsidRPr="00474556">
        <w:t xml:space="preserve"> conclusions were developed, and this </w:t>
      </w:r>
      <w:r>
        <w:t>R</w:t>
      </w:r>
      <w:r w:rsidRPr="00474556">
        <w:t xml:space="preserve">eport has been prepared, in conformity with the </w:t>
      </w:r>
      <w:r w:rsidR="00FE03C7">
        <w:rPr>
          <w:rFonts w:eastAsiaTheme="minorEastAsia"/>
        </w:rPr>
        <w:t>USPAP</w:t>
      </w:r>
      <w:r w:rsidRPr="00474556">
        <w:t>.</w:t>
      </w:r>
      <w:r>
        <w:t xml:space="preserve">  </w:t>
      </w:r>
    </w:p>
    <w:p w14:paraId="4D21E5C3" w14:textId="527329EA" w:rsidR="00573796" w:rsidRPr="00474556" w:rsidRDefault="00573796" w:rsidP="00573796"/>
    <w:p w14:paraId="28783C6A" w14:textId="0FEF1898" w:rsidR="00573796" w:rsidRPr="00474556" w:rsidRDefault="00573796" w:rsidP="00D55352">
      <w:pPr>
        <w:pStyle w:val="RNABodyCopy"/>
      </w:pPr>
      <w:r w:rsidRPr="00474556">
        <w:t>Sincerely,</w:t>
      </w:r>
    </w:p>
    <w:p w14:paraId="27B2686E" w14:textId="56449FFB" w:rsidR="00573796" w:rsidRPr="002C6B21" w:rsidRDefault="00910E12" w:rsidP="00D55352">
      <w:pPr>
        <w:pStyle w:val="RNABodyCopy"/>
      </w:pPr>
      <w:r>
        <w:rPr>
          <w:i/>
          <w:noProof/>
          <w:color w:val="FF0000"/>
          <w:sz w:val="30"/>
          <w:szCs w:val="30"/>
        </w:rPr>
        <w:drawing>
          <wp:anchor distT="0" distB="0" distL="114300" distR="114300" simplePos="0" relativeHeight="251678720" behindDoc="1" locked="0" layoutInCell="1" allowOverlap="1" wp14:anchorId="3B0FCBAD" wp14:editId="4F88005D">
            <wp:simplePos x="0" y="0"/>
            <wp:positionH relativeFrom="column">
              <wp:posOffset>-635</wp:posOffset>
            </wp:positionH>
            <wp:positionV relativeFrom="paragraph">
              <wp:posOffset>13970</wp:posOffset>
            </wp:positionV>
            <wp:extent cx="1240155" cy="542925"/>
            <wp:effectExtent l="0" t="0" r="0" b="9525"/>
            <wp:wrapTight wrapText="bothSides">
              <wp:wrapPolygon edited="0">
                <wp:start x="0" y="0"/>
                <wp:lineTo x="0" y="21221"/>
                <wp:lineTo x="21235" y="21221"/>
                <wp:lineTo x="212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s Signature.png"/>
                    <pic:cNvPicPr/>
                  </pic:nvPicPr>
                  <pic:blipFill>
                    <a:blip r:embed="rId10"/>
                    <a:stretch>
                      <a:fillRect/>
                    </a:stretch>
                  </pic:blipFill>
                  <pic:spPr>
                    <a:xfrm>
                      <a:off x="0" y="0"/>
                      <a:ext cx="1240155" cy="542925"/>
                    </a:xfrm>
                    <a:prstGeom prst="rect">
                      <a:avLst/>
                    </a:prstGeom>
                  </pic:spPr>
                </pic:pic>
              </a:graphicData>
            </a:graphic>
            <wp14:sizeRelH relativeFrom="page">
              <wp14:pctWidth>0</wp14:pctWidth>
            </wp14:sizeRelH>
            <wp14:sizeRelV relativeFrom="page">
              <wp14:pctHeight>0</wp14:pctHeight>
            </wp14:sizeRelV>
          </wp:anchor>
        </w:drawing>
      </w:r>
    </w:p>
    <w:p w14:paraId="025D071A" w14:textId="422A0B45" w:rsidR="00573796" w:rsidRPr="00942C2A" w:rsidRDefault="00573796" w:rsidP="00D55352">
      <w:pPr>
        <w:pStyle w:val="RNABodyCopy"/>
        <w:rPr>
          <w:i/>
          <w:color w:val="FF0000"/>
          <w:sz w:val="30"/>
          <w:szCs w:val="30"/>
        </w:rPr>
      </w:pPr>
    </w:p>
    <w:p w14:paraId="45E61A55" w14:textId="77777777" w:rsidR="00573796" w:rsidRPr="00474556" w:rsidRDefault="00573796" w:rsidP="00D55352">
      <w:pPr>
        <w:pStyle w:val="RNABodyCopy"/>
      </w:pPr>
    </w:p>
    <w:p w14:paraId="278CF6F7" w14:textId="77777777" w:rsidR="00573796" w:rsidRPr="00474556" w:rsidRDefault="00573796" w:rsidP="00D55352">
      <w:pPr>
        <w:pStyle w:val="RNABodyCopy"/>
      </w:pPr>
      <w:r w:rsidRPr="00474556">
        <w:t>Samuel Renwick, CFA</w:t>
      </w:r>
    </w:p>
    <w:p w14:paraId="65EB222B" w14:textId="77777777" w:rsidR="00573796" w:rsidRPr="00474556" w:rsidRDefault="00573796" w:rsidP="00D55352">
      <w:pPr>
        <w:pStyle w:val="RNABodyCopy"/>
      </w:pPr>
      <w:bookmarkStart w:id="72" w:name="_GoBack"/>
      <w:bookmarkEnd w:id="72"/>
      <w:r w:rsidRPr="00474556">
        <w:br w:type="page"/>
      </w:r>
    </w:p>
    <w:p w14:paraId="088AAD8E" w14:textId="38A751A5" w:rsidR="00573796" w:rsidRPr="00474556" w:rsidRDefault="00573796" w:rsidP="00565DEF">
      <w:pPr>
        <w:pStyle w:val="RNAHeadlineA"/>
        <w:outlineLvl w:val="0"/>
      </w:pPr>
      <w:bookmarkStart w:id="73" w:name="_Toc425496331"/>
      <w:bookmarkStart w:id="74" w:name="_Toc432004259"/>
      <w:bookmarkStart w:id="75" w:name="_Toc2188959"/>
      <w:r w:rsidRPr="00474556">
        <w:t>Exhibits</w:t>
      </w:r>
      <w:bookmarkEnd w:id="73"/>
      <w:bookmarkEnd w:id="74"/>
      <w:bookmarkEnd w:id="75"/>
    </w:p>
    <w:p w14:paraId="4B30E392" w14:textId="77777777" w:rsidR="00C1309D" w:rsidRDefault="00C1309D"/>
    <w:sectPr w:rsidR="00C1309D" w:rsidSect="00573796">
      <w:headerReference w:type="default" r:id="rId11"/>
      <w:footerReference w:type="default" r:id="rId12"/>
      <w:pgSz w:w="12240" w:h="15840" w:code="1"/>
      <w:pgMar w:top="1530" w:right="1080" w:bottom="1620" w:left="1080" w:header="720" w:footer="2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9BFCD" w14:textId="77777777" w:rsidR="00A00873" w:rsidRDefault="00A00873" w:rsidP="00573796">
      <w:pPr>
        <w:spacing w:line="240" w:lineRule="auto"/>
      </w:pPr>
      <w:r>
        <w:separator/>
      </w:r>
    </w:p>
  </w:endnote>
  <w:endnote w:type="continuationSeparator" w:id="0">
    <w:p w14:paraId="442863F7" w14:textId="77777777" w:rsidR="00A00873" w:rsidRDefault="00A00873" w:rsidP="00573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18DE4" w14:textId="7B9C9AE1" w:rsidR="004C53C1" w:rsidRPr="00573796" w:rsidRDefault="004C53C1" w:rsidP="005B018B">
    <w:pPr>
      <w:pStyle w:val="Footer"/>
      <w:tabs>
        <w:tab w:val="clear" w:pos="4680"/>
        <w:tab w:val="clear" w:pos="9360"/>
        <w:tab w:val="left" w:pos="5685"/>
      </w:tabs>
      <w:spacing w:before="200"/>
      <w:ind w:left="90"/>
      <w:rPr>
        <w:rFonts w:ascii="Arial" w:hAnsi="Arial" w:cs="Arial"/>
        <w:color w:val="A5A5A5" w:themeColor="accent3"/>
        <w:sz w:val="20"/>
        <w:szCs w:val="20"/>
      </w:rPr>
    </w:pPr>
    <w:r>
      <w:rPr>
        <w:rFonts w:ascii="Arial" w:hAnsi="Arial" w:cs="Arial"/>
        <w:noProof/>
        <w:color w:val="A5A5A5" w:themeColor="accent3"/>
        <w:sz w:val="20"/>
        <w:szCs w:val="20"/>
      </w:rPr>
      <w:drawing>
        <wp:anchor distT="0" distB="0" distL="114300" distR="114300" simplePos="0" relativeHeight="251665408" behindDoc="1" locked="0" layoutInCell="1" allowOverlap="1" wp14:anchorId="65979AE5" wp14:editId="5022F97B">
          <wp:simplePos x="0" y="0"/>
          <wp:positionH relativeFrom="column">
            <wp:posOffset>-371475</wp:posOffset>
          </wp:positionH>
          <wp:positionV relativeFrom="paragraph">
            <wp:posOffset>-217805</wp:posOffset>
          </wp:positionV>
          <wp:extent cx="6963177" cy="55562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lea13:Desktop:RNA Word Doc:art:Word_Footer2.jpg"/>
                  <pic:cNvPicPr>
                    <a:picLocks noChangeAspect="1" noChangeArrowheads="1"/>
                  </pic:cNvPicPr>
                </pic:nvPicPr>
                <pic:blipFill>
                  <a:blip r:embed="rId1"/>
                  <a:stretch>
                    <a:fillRect/>
                  </a:stretch>
                </pic:blipFill>
                <pic:spPr bwMode="auto">
                  <a:xfrm>
                    <a:off x="0" y="0"/>
                    <a:ext cx="6963177" cy="555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A5A5A5" w:themeColor="accent3"/>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F88DC" w14:textId="77777777" w:rsidR="00A00873" w:rsidRDefault="00A00873" w:rsidP="00573796">
      <w:pPr>
        <w:spacing w:line="240" w:lineRule="auto"/>
      </w:pPr>
      <w:r>
        <w:separator/>
      </w:r>
    </w:p>
  </w:footnote>
  <w:footnote w:type="continuationSeparator" w:id="0">
    <w:p w14:paraId="72898CB3" w14:textId="77777777" w:rsidR="00A00873" w:rsidRDefault="00A00873" w:rsidP="00573796">
      <w:pPr>
        <w:spacing w:line="240" w:lineRule="auto"/>
      </w:pPr>
      <w:r>
        <w:continuationSeparator/>
      </w:r>
    </w:p>
  </w:footnote>
  <w:footnote w:id="1">
    <w:p w14:paraId="22432FFE" w14:textId="77777777" w:rsidR="004C53C1" w:rsidRPr="00B802C4" w:rsidRDefault="004C53C1" w:rsidP="00573796">
      <w:pPr>
        <w:pStyle w:val="RNAFootnote1"/>
      </w:pPr>
      <w:r w:rsidRPr="00B802C4">
        <w:rPr>
          <w:rStyle w:val="FootnoteReference"/>
        </w:rPr>
        <w:footnoteRef/>
      </w:r>
      <w:r w:rsidRPr="00B802C4">
        <w:t xml:space="preserve"> IRS Revenue Ruling 59-60.</w:t>
      </w:r>
    </w:p>
  </w:footnote>
  <w:footnote w:id="2">
    <w:p w14:paraId="085A105F" w14:textId="6A1D19DA" w:rsidR="004C53C1" w:rsidRPr="00A71F2E" w:rsidRDefault="004C53C1" w:rsidP="00A71F2E">
      <w:pPr>
        <w:pStyle w:val="RNAFootnote1"/>
      </w:pPr>
      <w:r w:rsidRPr="00A71F2E">
        <w:rPr>
          <w:rStyle w:val="FootnoteReference"/>
        </w:rPr>
        <w:footnoteRef/>
      </w:r>
      <w:r w:rsidRPr="00A71F2E">
        <w:t xml:space="preserve"> Source: Company website: http://www.medikine.com/.</w:t>
      </w:r>
    </w:p>
  </w:footnote>
  <w:footnote w:id="3">
    <w:p w14:paraId="73733F2F" w14:textId="3C5E9549" w:rsidR="004C53C1" w:rsidRPr="00A71F2E" w:rsidRDefault="004C53C1" w:rsidP="00A71F2E">
      <w:pPr>
        <w:pStyle w:val="RNAFootnote1"/>
      </w:pPr>
      <w:r w:rsidRPr="00A71F2E">
        <w:rPr>
          <w:rStyle w:val="FootnoteReference"/>
        </w:rPr>
        <w:footnoteRef/>
      </w:r>
      <w:r w:rsidRPr="00A71F2E">
        <w:t xml:space="preserve"> Source: Information provided by Management.</w:t>
      </w:r>
    </w:p>
  </w:footnote>
  <w:footnote w:id="4">
    <w:p w14:paraId="79691FEF" w14:textId="1489B098" w:rsidR="004C53C1" w:rsidRPr="00A71F2E" w:rsidRDefault="004C53C1" w:rsidP="00A71F2E">
      <w:pPr>
        <w:pStyle w:val="Footnote1"/>
        <w:rPr>
          <w:rFonts w:ascii="Georgia" w:hAnsi="Georgia"/>
          <w:color w:val="595959" w:themeColor="text1" w:themeTint="A6"/>
          <w:szCs w:val="16"/>
        </w:rPr>
      </w:pPr>
      <w:r w:rsidRPr="00A71F2E">
        <w:rPr>
          <w:rStyle w:val="FootnoteReference"/>
          <w:rFonts w:ascii="Georgia" w:hAnsi="Georgia"/>
          <w:color w:val="595959" w:themeColor="text1" w:themeTint="A6"/>
          <w:szCs w:val="16"/>
        </w:rPr>
        <w:footnoteRef/>
      </w:r>
      <w:r w:rsidRPr="00A71F2E">
        <w:rPr>
          <w:rFonts w:ascii="Georgia" w:hAnsi="Georgia"/>
          <w:color w:val="595959" w:themeColor="text1" w:themeTint="A6"/>
          <w:szCs w:val="16"/>
        </w:rPr>
        <w:t xml:space="preserve"> Source: Information provided by Management.</w:t>
      </w:r>
    </w:p>
  </w:footnote>
  <w:footnote w:id="5">
    <w:p w14:paraId="6A3AAC60" w14:textId="27C6BC95" w:rsidR="004C53C1" w:rsidRDefault="004C53C1">
      <w:pPr>
        <w:pStyle w:val="FootnoteText"/>
      </w:pPr>
      <w:r w:rsidRPr="00A71F2E">
        <w:rPr>
          <w:rStyle w:val="FootnoteReference"/>
          <w:color w:val="595959" w:themeColor="text1" w:themeTint="A6"/>
          <w:sz w:val="16"/>
          <w:szCs w:val="16"/>
        </w:rPr>
        <w:footnoteRef/>
      </w:r>
      <w:r w:rsidRPr="00A71F2E">
        <w:rPr>
          <w:color w:val="595959" w:themeColor="text1" w:themeTint="A6"/>
          <w:sz w:val="16"/>
          <w:szCs w:val="16"/>
        </w:rPr>
        <w:t xml:space="preserve"> Source: Information provided by Management.</w:t>
      </w:r>
    </w:p>
  </w:footnote>
  <w:footnote w:id="6">
    <w:p w14:paraId="2060EB98" w14:textId="12B43C7C" w:rsidR="004C53C1" w:rsidRDefault="004C53C1" w:rsidP="00B52A4E">
      <w:pPr>
        <w:pStyle w:val="FootnoteText"/>
      </w:pPr>
      <w:r w:rsidRPr="003A679A">
        <w:rPr>
          <w:rStyle w:val="FootnoteReference"/>
          <w:color w:val="595959" w:themeColor="text1" w:themeTint="A6"/>
          <w:sz w:val="16"/>
          <w:szCs w:val="16"/>
        </w:rPr>
        <w:footnoteRef/>
      </w:r>
      <w:r w:rsidRPr="003A679A">
        <w:rPr>
          <w:color w:val="595959" w:themeColor="text1" w:themeTint="A6"/>
          <w:sz w:val="16"/>
          <w:szCs w:val="16"/>
        </w:rPr>
        <w:t xml:space="preserve"> Source: Information provided by Management.</w:t>
      </w:r>
    </w:p>
  </w:footnote>
  <w:footnote w:id="7">
    <w:p w14:paraId="071A748A" w14:textId="77777777" w:rsidR="004C53C1" w:rsidRDefault="004C53C1" w:rsidP="007679E2">
      <w:pPr>
        <w:pStyle w:val="FootnoteText"/>
      </w:pPr>
      <w:r w:rsidRPr="003A679A">
        <w:rPr>
          <w:rStyle w:val="FootnoteReference"/>
          <w:color w:val="595959" w:themeColor="text1" w:themeTint="A6"/>
          <w:sz w:val="16"/>
          <w:szCs w:val="16"/>
        </w:rPr>
        <w:footnoteRef/>
      </w:r>
      <w:r w:rsidRPr="003A679A">
        <w:rPr>
          <w:color w:val="595959" w:themeColor="text1" w:themeTint="A6"/>
          <w:sz w:val="16"/>
          <w:szCs w:val="16"/>
        </w:rPr>
        <w:t xml:space="preserve"> Source: Information provided by Management.</w:t>
      </w:r>
    </w:p>
  </w:footnote>
  <w:footnote w:id="8">
    <w:p w14:paraId="68B9C309" w14:textId="77777777" w:rsidR="004C53C1" w:rsidRDefault="004C53C1" w:rsidP="007679E2">
      <w:pPr>
        <w:pStyle w:val="FootnoteText"/>
      </w:pPr>
      <w:r w:rsidRPr="003A679A">
        <w:rPr>
          <w:rStyle w:val="FootnoteReference"/>
          <w:color w:val="595959" w:themeColor="text1" w:themeTint="A6"/>
          <w:sz w:val="16"/>
          <w:szCs w:val="16"/>
        </w:rPr>
        <w:footnoteRef/>
      </w:r>
      <w:r w:rsidRPr="003A679A">
        <w:rPr>
          <w:color w:val="595959" w:themeColor="text1" w:themeTint="A6"/>
          <w:sz w:val="16"/>
          <w:szCs w:val="16"/>
        </w:rPr>
        <w:t xml:space="preserve"> Source: Information provided by Management.</w:t>
      </w:r>
    </w:p>
  </w:footnote>
  <w:footnote w:id="9">
    <w:p w14:paraId="6114F5CB" w14:textId="77777777" w:rsidR="004C53C1" w:rsidRDefault="004C53C1" w:rsidP="00555B83">
      <w:pPr>
        <w:pStyle w:val="FootnoteText"/>
        <w:jc w:val="left"/>
      </w:pPr>
      <w:r>
        <w:rPr>
          <w:color w:val="595959" w:themeColor="text1" w:themeTint="A6"/>
          <w:sz w:val="16"/>
          <w:szCs w:val="16"/>
          <w:vertAlign w:val="superscript"/>
          <w:lang w:val="en-IN"/>
        </w:rPr>
        <w:footnoteRef/>
      </w:r>
      <w:r>
        <w:rPr>
          <w:color w:val="595959" w:themeColor="text1" w:themeTint="A6"/>
          <w:sz w:val="16"/>
          <w:szCs w:val="16"/>
          <w:lang w:val="en-IN"/>
        </w:rPr>
        <w:t xml:space="preserve"> Source: Bloomberg, http://www.bloomberg.com/research/stocks/private/person.asp?personId=516011&amp;privcapId=121767&amp;previousCapId=154924&amp;previousTitle=AGILENT%20TECHNOLOGIES%20INC.</w:t>
      </w:r>
    </w:p>
  </w:footnote>
  <w:footnote w:id="10">
    <w:p w14:paraId="2DA4C94D" w14:textId="77777777" w:rsidR="004C53C1" w:rsidRDefault="004C53C1" w:rsidP="007679E2">
      <w:pPr>
        <w:pStyle w:val="FootnoteText"/>
        <w:jc w:val="left"/>
      </w:pPr>
      <w:r>
        <w:rPr>
          <w:color w:val="595959" w:themeColor="text1" w:themeTint="A6"/>
          <w:sz w:val="16"/>
          <w:szCs w:val="16"/>
          <w:vertAlign w:val="superscript"/>
          <w:lang w:val="en-IN"/>
        </w:rPr>
        <w:footnoteRef/>
      </w:r>
      <w:r>
        <w:rPr>
          <w:color w:val="595959" w:themeColor="text1" w:themeTint="A6"/>
          <w:sz w:val="16"/>
          <w:szCs w:val="16"/>
          <w:vertAlign w:val="superscript"/>
          <w:lang w:val="en-IN"/>
        </w:rPr>
        <w:t xml:space="preserve"> </w:t>
      </w:r>
      <w:r>
        <w:rPr>
          <w:color w:val="595959" w:themeColor="text1" w:themeTint="A6"/>
          <w:sz w:val="16"/>
          <w:szCs w:val="16"/>
          <w:lang w:val="en-IN"/>
        </w:rPr>
        <w:t>Source: Bloomberg, http://www.bloomberg.com/research/stocks/private/person.asp?personId=30214064&amp;privcapId=28689362.</w:t>
      </w:r>
    </w:p>
  </w:footnote>
  <w:footnote w:id="11">
    <w:p w14:paraId="3DD2222F" w14:textId="77777777" w:rsidR="004C53C1" w:rsidRDefault="004C53C1" w:rsidP="00996500">
      <w:pPr>
        <w:pStyle w:val="FootnoteText"/>
        <w:jc w:val="left"/>
      </w:pPr>
      <w:r>
        <w:rPr>
          <w:color w:val="595959" w:themeColor="text1" w:themeTint="A6"/>
          <w:sz w:val="16"/>
          <w:szCs w:val="16"/>
          <w:vertAlign w:val="superscript"/>
          <w:lang w:val="en-IN"/>
        </w:rPr>
        <w:footnoteRef/>
      </w:r>
      <w:r>
        <w:rPr>
          <w:color w:val="595959" w:themeColor="text1" w:themeTint="A6"/>
          <w:sz w:val="16"/>
          <w:szCs w:val="16"/>
          <w:lang w:val="en-IN"/>
        </w:rPr>
        <w:t xml:space="preserve"> Source: Bloomberg, http://www.bloomberg.com/research/stocks/private/person.asp?personId=20669466&amp;privcapId=121767.</w:t>
      </w:r>
    </w:p>
  </w:footnote>
  <w:footnote w:id="12">
    <w:p w14:paraId="4204DB38" w14:textId="7AEF3290" w:rsidR="004C53C1" w:rsidRDefault="004C53C1">
      <w:pPr>
        <w:pStyle w:val="FootnoteText"/>
      </w:pPr>
      <w:r w:rsidRPr="00951B5C">
        <w:rPr>
          <w:rStyle w:val="FootnoteReference"/>
          <w:sz w:val="16"/>
          <w:szCs w:val="16"/>
        </w:rPr>
        <w:footnoteRef/>
      </w:r>
      <w:r w:rsidRPr="00951B5C">
        <w:rPr>
          <w:sz w:val="16"/>
          <w:szCs w:val="16"/>
        </w:rPr>
        <w:t xml:space="preserve"> Source: Report, “Oncology/Cancer Drugs Market by Drug Class Type and Indication: Global Opportunity Analysis and Industry Forecast, 2018 – 2025” dated February 2019, https://www.alliedmarketresearch.com/oncology-cancer-drugs-market.</w:t>
      </w:r>
    </w:p>
  </w:footnote>
  <w:footnote w:id="13">
    <w:p w14:paraId="2114B9BD" w14:textId="77777777" w:rsidR="004C53C1" w:rsidRDefault="004C53C1" w:rsidP="00104C6F">
      <w:pPr>
        <w:pStyle w:val="RNAFootnote1"/>
      </w:pPr>
      <w:r>
        <w:rPr>
          <w:rStyle w:val="FootnoteReference"/>
        </w:rPr>
        <w:footnoteRef/>
      </w:r>
      <w:r>
        <w:t xml:space="preserve"> Source: Report “Global Trends in Oncology – 2018”, published in July 2018, </w:t>
      </w:r>
      <w:r w:rsidRPr="00B90377">
        <w:t>https://www.igeahub.com/2018/07/15/global-trends-in-oncology-2018/</w:t>
      </w:r>
      <w:r>
        <w:t>.</w:t>
      </w:r>
    </w:p>
  </w:footnote>
  <w:footnote w:id="14">
    <w:p w14:paraId="7FF402EB" w14:textId="77777777" w:rsidR="004C53C1" w:rsidRPr="00892140" w:rsidRDefault="004C53C1" w:rsidP="00A71F2E">
      <w:pPr>
        <w:pStyle w:val="RNAFootnote1"/>
        <w:jc w:val="both"/>
      </w:pPr>
      <w:r w:rsidRPr="00A71F2E">
        <w:rPr>
          <w:rStyle w:val="FootnoteReference"/>
        </w:rPr>
        <w:footnoteRef/>
      </w:r>
      <w:r w:rsidRPr="00164A70">
        <w:t xml:space="preserve"> Report by Zion Market Research, “Global Immuno-oncology Therapy Market Set for Rapid Growth, to reach Value USD 42.97 Billion by 2022</w:t>
      </w:r>
      <w:r w:rsidRPr="00892140">
        <w:t>” dated January 17, 2018, https://www.zionmarketresearch.com/news/immuno-oncology-therapy-market.</w:t>
      </w:r>
    </w:p>
  </w:footnote>
  <w:footnote w:id="15">
    <w:p w14:paraId="332653F0" w14:textId="77777777" w:rsidR="004C53C1" w:rsidRPr="00892140" w:rsidRDefault="004C53C1" w:rsidP="00A71F2E">
      <w:pPr>
        <w:pStyle w:val="RNAFootnote1"/>
        <w:jc w:val="both"/>
        <w:rPr>
          <w:lang w:val="en-IN"/>
        </w:rPr>
      </w:pPr>
      <w:r w:rsidRPr="00A71F2E">
        <w:rPr>
          <w:rStyle w:val="FootnoteReference"/>
        </w:rPr>
        <w:footnoteRef/>
      </w:r>
      <w:r w:rsidRPr="00164A70">
        <w:t xml:space="preserve"> </w:t>
      </w:r>
      <w:bookmarkStart w:id="33" w:name="_Hlk520113912"/>
      <w:r w:rsidRPr="00164A70">
        <w:rPr>
          <w:lang w:val="en-IN"/>
        </w:rPr>
        <w:t>Report</w:t>
      </w:r>
      <w:r w:rsidRPr="00892140">
        <w:rPr>
          <w:lang w:val="en-IN"/>
        </w:rPr>
        <w:t xml:space="preserve"> by Research </w:t>
      </w:r>
      <w:r w:rsidRPr="00892140">
        <w:rPr>
          <w:lang w:val="en-IN"/>
        </w:rPr>
        <w:t>And Markets “Immuno-Oncology Market, By Type, By Application - Global Forecast to 2022” published in April 2018, https://www.researchandmarkets.com/research/xgsd9r/global?w=5.</w:t>
      </w:r>
      <w:bookmarkEnd w:id="33"/>
    </w:p>
  </w:footnote>
  <w:footnote w:id="16">
    <w:p w14:paraId="1BA9BC2B" w14:textId="3AA73678" w:rsidR="004C53C1" w:rsidRPr="00892140" w:rsidRDefault="004C53C1" w:rsidP="00A71F2E">
      <w:pPr>
        <w:pStyle w:val="RNAFootnote1"/>
        <w:jc w:val="both"/>
      </w:pPr>
      <w:r w:rsidRPr="00A71F2E">
        <w:rPr>
          <w:rStyle w:val="FootnoteReference"/>
        </w:rPr>
        <w:footnoteRef/>
      </w:r>
      <w:r w:rsidRPr="00164A70">
        <w:t xml:space="preserve"> Press Release, PR Newswire, “Global and USA Cancer Immunotherapy Market 2017-2022</w:t>
      </w:r>
      <w:r>
        <w:t>…”, dated March 7, 2018</w:t>
      </w:r>
      <w:r w:rsidRPr="00164A70">
        <w:t xml:space="preserve">, </w:t>
      </w:r>
      <w:r w:rsidRPr="00892140">
        <w:t>https://www.prnewswire.com/news-releases/global-and-usa-cancer-immunotherapy-market-2017-2022-this-space-will-be-a-significant-revenue-generator-excess-of-80-billion-for-the-biopharmaceutical-industry-by-2020-300609848.html.</w:t>
      </w:r>
    </w:p>
  </w:footnote>
  <w:footnote w:id="17">
    <w:p w14:paraId="49B076C8" w14:textId="77777777" w:rsidR="004C53C1" w:rsidRPr="003A679A" w:rsidRDefault="004C53C1" w:rsidP="008275EE">
      <w:pPr>
        <w:pStyle w:val="RNAFootnote1"/>
        <w:jc w:val="both"/>
      </w:pPr>
      <w:r w:rsidRPr="003A679A">
        <w:rPr>
          <w:rStyle w:val="FootnoteReference"/>
        </w:rPr>
        <w:footnoteRef/>
      </w:r>
      <w:r w:rsidRPr="003A679A">
        <w:t xml:space="preserve"> Report “Global Immuno-Oncology Drugs Market to Surpass US$ 150 Billion Threshold by 2025 Globally”, dated March 1, 2018, https://www.coherentmarketinsights.com/press-release/global-immuno-oncology-drugs-market-to-surpass-us-150-billion-threshold-by-2025-globally-662.</w:t>
      </w:r>
    </w:p>
  </w:footnote>
  <w:footnote w:id="18">
    <w:p w14:paraId="19A45B2B" w14:textId="4323ACBE" w:rsidR="004C53C1" w:rsidRDefault="004C53C1">
      <w:pPr>
        <w:pStyle w:val="FootnoteText"/>
      </w:pPr>
      <w:r w:rsidRPr="00951B5C">
        <w:rPr>
          <w:rStyle w:val="FootnoteReference"/>
          <w:color w:val="595959" w:themeColor="text1" w:themeTint="A6"/>
          <w:sz w:val="16"/>
          <w:szCs w:val="16"/>
        </w:rPr>
        <w:footnoteRef/>
      </w:r>
      <w:r w:rsidRPr="00951B5C">
        <w:rPr>
          <w:color w:val="595959" w:themeColor="text1" w:themeTint="A6"/>
          <w:sz w:val="16"/>
          <w:szCs w:val="16"/>
        </w:rPr>
        <w:t xml:space="preserve"> Source: https://synthorx.com/press-release/synthorx-to-present-preclinical-data-for-thor-707-a-not-alpha-il-2-synthorin-for-the-treatment-of-solid-tumors-at-sitc-2018/.</w:t>
      </w:r>
    </w:p>
  </w:footnote>
  <w:footnote w:id="19">
    <w:p w14:paraId="0D5CAA09" w14:textId="2D5A6D20" w:rsidR="004C53C1" w:rsidRPr="00951B5C" w:rsidRDefault="004C53C1">
      <w:pPr>
        <w:pStyle w:val="FootnoteText"/>
        <w:rPr>
          <w:color w:val="595959" w:themeColor="text1" w:themeTint="A6"/>
          <w:sz w:val="16"/>
        </w:rPr>
      </w:pPr>
      <w:r w:rsidRPr="00951B5C">
        <w:rPr>
          <w:rStyle w:val="FootnoteReference"/>
          <w:color w:val="595959" w:themeColor="text1" w:themeTint="A6"/>
          <w:sz w:val="16"/>
        </w:rPr>
        <w:footnoteRef/>
      </w:r>
      <w:r w:rsidRPr="00951B5C">
        <w:rPr>
          <w:color w:val="595959" w:themeColor="text1" w:themeTint="A6"/>
          <w:sz w:val="16"/>
        </w:rPr>
        <w:t xml:space="preserve"> Source: http://www.evaluate.com/vantage/articles/events/conferences/esmo-2018-lilly-and-roche-confirm-their-place-cytokine-race.</w:t>
      </w:r>
    </w:p>
  </w:footnote>
  <w:footnote w:id="20">
    <w:p w14:paraId="2F6CD52A" w14:textId="2699036D" w:rsidR="004C53C1" w:rsidRDefault="004C53C1">
      <w:pPr>
        <w:pStyle w:val="FootnoteText"/>
      </w:pPr>
      <w:r w:rsidRPr="00951B5C">
        <w:rPr>
          <w:rStyle w:val="FootnoteReference"/>
          <w:color w:val="595959" w:themeColor="text1" w:themeTint="A6"/>
          <w:sz w:val="16"/>
        </w:rPr>
        <w:footnoteRef/>
      </w:r>
      <w:r w:rsidRPr="00951B5C">
        <w:rPr>
          <w:color w:val="595959" w:themeColor="text1" w:themeTint="A6"/>
          <w:sz w:val="16"/>
        </w:rPr>
        <w:t xml:space="preserve"> Source: https://ir.celgene.com/press-releases/press-release-details/2017/Celgene-to-Acquire-Delinia-Inc/default.aspx.</w:t>
      </w:r>
    </w:p>
  </w:footnote>
  <w:footnote w:id="21">
    <w:p w14:paraId="06220E3D" w14:textId="77777777" w:rsidR="004C53C1" w:rsidRPr="00C029FC" w:rsidRDefault="004C53C1" w:rsidP="00573796">
      <w:pPr>
        <w:pStyle w:val="RNAFootnote1"/>
      </w:pPr>
      <w:r w:rsidRPr="00C029FC">
        <w:rPr>
          <w:rStyle w:val="FootnoteReference"/>
        </w:rPr>
        <w:footnoteRef/>
      </w:r>
      <w:r w:rsidRPr="00C029FC">
        <w:t xml:space="preserve"> Originally created in 1973, the Black</w:t>
      </w:r>
      <w:r w:rsidRPr="00C029FC">
        <w:rPr>
          <w:rFonts w:ascii="Cambria Math" w:hAnsi="Cambria Math" w:cs="Cambria Math"/>
        </w:rPr>
        <w:t>‐</w:t>
      </w:r>
      <w:r w:rsidRPr="00C029FC">
        <w:t>Scholes option pricing model attempts to calculate the price of an option by considering several key factors, such as the underlying security price, exercise price, expiration date, risk</w:t>
      </w:r>
      <w:r w:rsidRPr="00C029FC">
        <w:rPr>
          <w:rFonts w:ascii="Cambria Math" w:hAnsi="Cambria Math" w:cs="Cambria Math"/>
        </w:rPr>
        <w:t>‐</w:t>
      </w:r>
      <w:r w:rsidRPr="00C029FC">
        <w:t>free rate and the standard deviation of a stock’s return. Numerous assumptions underlie Black</w:t>
      </w:r>
      <w:r w:rsidRPr="00C029FC">
        <w:rPr>
          <w:rFonts w:ascii="Cambria Math" w:hAnsi="Cambria Math" w:cs="Cambria Math"/>
        </w:rPr>
        <w:t>‐</w:t>
      </w:r>
      <w:r w:rsidRPr="00C029FC">
        <w:t>Scholes, including but not limited to, the log</w:t>
      </w:r>
      <w:r w:rsidRPr="00C029FC">
        <w:rPr>
          <w:rFonts w:ascii="Cambria Math" w:hAnsi="Cambria Math" w:cs="Cambria Math"/>
        </w:rPr>
        <w:t>‐</w:t>
      </w:r>
      <w:r w:rsidRPr="00C029FC">
        <w:t>normal distribution of returns, and static risk</w:t>
      </w:r>
      <w:r w:rsidRPr="00C029FC">
        <w:rPr>
          <w:rFonts w:ascii="Cambria Math" w:hAnsi="Cambria Math" w:cs="Cambria Math"/>
        </w:rPr>
        <w:t>‐</w:t>
      </w:r>
      <w:r w:rsidRPr="00C029FC">
        <w:t>free rates and volatility.</w:t>
      </w:r>
    </w:p>
  </w:footnote>
  <w:footnote w:id="22">
    <w:p w14:paraId="6388F19B" w14:textId="77777777" w:rsidR="004C53C1" w:rsidRPr="007B4C07" w:rsidRDefault="004C53C1" w:rsidP="00573796">
      <w:pPr>
        <w:pStyle w:val="RNAFootnote1"/>
      </w:pPr>
      <w:r w:rsidRPr="00C029FC">
        <w:rPr>
          <w:rStyle w:val="FootnoteReference"/>
        </w:rPr>
        <w:footnoteRef/>
      </w:r>
      <w:r w:rsidRPr="00C029FC">
        <w:t xml:space="preserve"> The binomial model was first proposed by Cox, Ross and Rubinstein in 1979, and essentially uses a “discrete-time” (lattice based) model of the varying price over time of the underlying financial instrument. In general, such models do not have closed-form solutions.</w:t>
      </w:r>
    </w:p>
  </w:footnote>
  <w:footnote w:id="23">
    <w:p w14:paraId="330CB6C1" w14:textId="77777777" w:rsidR="004C53C1" w:rsidRDefault="004C53C1" w:rsidP="00AD5ABF">
      <w:pPr>
        <w:pStyle w:val="FootnoteText"/>
      </w:pPr>
      <w:r w:rsidRPr="00F51DC2">
        <w:rPr>
          <w:rStyle w:val="FootnoteReference"/>
          <w:color w:val="595959" w:themeColor="text1" w:themeTint="A6"/>
          <w:sz w:val="16"/>
          <w:szCs w:val="16"/>
        </w:rPr>
        <w:footnoteRef/>
      </w:r>
      <w:r w:rsidRPr="00F51DC2">
        <w:rPr>
          <w:color w:val="595959" w:themeColor="text1" w:themeTint="A6"/>
          <w:sz w:val="16"/>
          <w:szCs w:val="16"/>
        </w:rPr>
        <w:t xml:space="preserve"> Source: </w:t>
      </w:r>
      <w:r w:rsidRPr="00F51DC2">
        <w:rPr>
          <w:color w:val="595959" w:themeColor="text1" w:themeTint="A6"/>
          <w:sz w:val="16"/>
          <w:szCs w:val="16"/>
        </w:rPr>
        <w:t>Metrick, Andrew and Ayako Yasuda, Venture Capital and the Finance of Innovation, 2nd Edition, Hoboken: Wiley, 2011, Print, 127-134, http://</w:t>
      </w:r>
      <w:r>
        <w:rPr>
          <w:color w:val="595959" w:themeColor="text1" w:themeTint="A6"/>
          <w:sz w:val="16"/>
          <w:szCs w:val="16"/>
        </w:rPr>
        <w:t>www.</w:t>
      </w:r>
      <w:r w:rsidRPr="00F51DC2">
        <w:rPr>
          <w:color w:val="595959" w:themeColor="text1" w:themeTint="A6"/>
          <w:sz w:val="16"/>
          <w:szCs w:val="16"/>
        </w:rPr>
        <w:t>ict-industry-reports.com.au/wp-content/uploads/sites/4/2013/09/2011-Book-Venture-Capital-and-Finance-of-Innovation-Metrick-Yasuda-Dec-2011.pdf.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2520F" w14:textId="65B81145" w:rsidR="004C53C1" w:rsidRPr="00DE5618" w:rsidRDefault="004C53C1" w:rsidP="00573796">
    <w:pPr>
      <w:pStyle w:val="TableHeader"/>
      <w:rPr>
        <w:rFonts w:ascii="Georgia" w:eastAsia="Calibri" w:hAnsi="Georgia"/>
        <w:color w:val="2E74B5" w:themeColor="accent2" w:themeShade="BF"/>
        <w:sz w:val="22"/>
        <w:szCs w:val="24"/>
      </w:rPr>
    </w:pPr>
    <w:r>
      <w:rPr>
        <w:rFonts w:ascii="Georgia" w:hAnsi="Georgia"/>
        <w:color w:val="2E74B5" w:themeColor="accent2" w:themeShade="BF"/>
        <w:sz w:val="22"/>
        <w:szCs w:val="24"/>
      </w:rPr>
      <w:t xml:space="preserve">Medikine, Inc. </w:t>
    </w:r>
    <w:r w:rsidRPr="00DE5618">
      <w:rPr>
        <w:rFonts w:ascii="Georgia" w:hAnsi="Georgia"/>
        <w:color w:val="2E74B5" w:themeColor="accent2" w:themeShade="BF"/>
        <w:sz w:val="22"/>
        <w:szCs w:val="24"/>
      </w:rPr>
      <w:t xml:space="preserve"> Common Stock Valuation</w:t>
    </w:r>
    <w:r w:rsidRPr="00DE5618">
      <w:rPr>
        <w:rFonts w:ascii="Georgia" w:eastAsia="Calibri" w:hAnsi="Georgia"/>
        <w:color w:val="2E74B5" w:themeColor="accent2" w:themeShade="BF"/>
        <w:sz w:val="22"/>
        <w:szCs w:val="24"/>
      </w:rPr>
      <w:ptab w:relativeTo="margin" w:alignment="center" w:leader="none"/>
    </w:r>
    <w:r w:rsidRPr="00DE5618">
      <w:rPr>
        <w:rFonts w:ascii="Georgia" w:eastAsia="Calibri" w:hAnsi="Georgia"/>
        <w:color w:val="2E74B5" w:themeColor="accent2" w:themeShade="BF"/>
        <w:sz w:val="22"/>
        <w:szCs w:val="24"/>
      </w:rPr>
      <w:ptab w:relativeTo="margin" w:alignment="right" w:leader="none"/>
    </w:r>
  </w:p>
  <w:p w14:paraId="2472DB20" w14:textId="77777777" w:rsidR="004C53C1" w:rsidRDefault="004C53C1">
    <w:pPr>
      <w:pStyle w:val="Header"/>
    </w:pPr>
    <w:r>
      <w:rPr>
        <w:noProof/>
      </w:rPr>
      <w:drawing>
        <wp:anchor distT="0" distB="0" distL="114300" distR="114300" simplePos="0" relativeHeight="251661312" behindDoc="1" locked="0" layoutInCell="1" allowOverlap="1" wp14:anchorId="6D643BB5" wp14:editId="395389A3">
          <wp:simplePos x="0" y="0"/>
          <wp:positionH relativeFrom="column">
            <wp:posOffset>-685800</wp:posOffset>
          </wp:positionH>
          <wp:positionV relativeFrom="paragraph">
            <wp:posOffset>50800</wp:posOffset>
          </wp:positionV>
          <wp:extent cx="7785100" cy="138430"/>
          <wp:effectExtent l="0" t="0" r="12700" b="0"/>
          <wp:wrapNone/>
          <wp:docPr id="7" name="Picture 7" descr="Macintosh HD:Users:jalea13:Desktop:RNA Word Doc:ar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lea13:Desktop:RNA Word Doc:art: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1384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B8D"/>
    <w:multiLevelType w:val="hybridMultilevel"/>
    <w:tmpl w:val="68840D00"/>
    <w:lvl w:ilvl="0" w:tplc="C0CAA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64CC7"/>
    <w:multiLevelType w:val="hybridMultilevel"/>
    <w:tmpl w:val="66DEEB2A"/>
    <w:lvl w:ilvl="0" w:tplc="21D0917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25CC9"/>
    <w:multiLevelType w:val="hybridMultilevel"/>
    <w:tmpl w:val="D0365804"/>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7DAD"/>
    <w:multiLevelType w:val="hybridMultilevel"/>
    <w:tmpl w:val="741487D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61B9D"/>
    <w:multiLevelType w:val="hybridMultilevel"/>
    <w:tmpl w:val="C516540C"/>
    <w:lvl w:ilvl="0" w:tplc="8612D0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070612"/>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14F07"/>
    <w:multiLevelType w:val="hybridMultilevel"/>
    <w:tmpl w:val="3A645A72"/>
    <w:lvl w:ilvl="0" w:tplc="2C66A786">
      <w:start w:val="1"/>
      <w:numFmt w:val="lowerRoman"/>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075AE"/>
    <w:multiLevelType w:val="hybridMultilevel"/>
    <w:tmpl w:val="CC44E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F1C5B"/>
    <w:multiLevelType w:val="hybridMultilevel"/>
    <w:tmpl w:val="20E8B36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77872"/>
    <w:multiLevelType w:val="hybridMultilevel"/>
    <w:tmpl w:val="EDD0DE6A"/>
    <w:lvl w:ilvl="0" w:tplc="8612D0C0">
      <w:start w:val="1"/>
      <w:numFmt w:val="lowerRoman"/>
      <w:lvlText w:val="(%1)"/>
      <w:lvlJc w:val="left"/>
      <w:pPr>
        <w:ind w:left="1080" w:hanging="720"/>
      </w:pPr>
      <w:rPr>
        <w:rFonts w:hint="default"/>
      </w:rPr>
    </w:lvl>
    <w:lvl w:ilvl="1" w:tplc="08C271BE">
      <w:start w:val="1"/>
      <w:numFmt w:val="lowerLetter"/>
      <w:pStyle w:val="RNABodyCopy-2ndABC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879E0"/>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7A198C"/>
    <w:multiLevelType w:val="hybridMultilevel"/>
    <w:tmpl w:val="5010DF5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B3D89"/>
    <w:multiLevelType w:val="hybridMultilevel"/>
    <w:tmpl w:val="019AF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B907B5"/>
    <w:multiLevelType w:val="hybridMultilevel"/>
    <w:tmpl w:val="959875F2"/>
    <w:lvl w:ilvl="0" w:tplc="21D0917A">
      <w:start w:val="1"/>
      <w:numFmt w:val="lowerRoman"/>
      <w:lvlText w:val="(%1)"/>
      <w:lvlJc w:val="left"/>
      <w:pPr>
        <w:ind w:left="108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DD3684"/>
    <w:multiLevelType w:val="hybridMultilevel"/>
    <w:tmpl w:val="E7F64AB0"/>
    <w:lvl w:ilvl="0" w:tplc="4386F6F0">
      <w:start w:val="1"/>
      <w:numFmt w:val="decimal"/>
      <w:pStyle w:val="BodyTextNumbered"/>
      <w:lvlText w:val="%1."/>
      <w:lvlJc w:val="right"/>
      <w:pPr>
        <w:tabs>
          <w:tab w:val="num" w:pos="360"/>
        </w:tabs>
        <w:ind w:left="360"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7D3A3F"/>
    <w:multiLevelType w:val="hybridMultilevel"/>
    <w:tmpl w:val="8AA6A83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15388"/>
    <w:multiLevelType w:val="hybridMultilevel"/>
    <w:tmpl w:val="B798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B7D32"/>
    <w:multiLevelType w:val="hybridMultilevel"/>
    <w:tmpl w:val="5C583444"/>
    <w:lvl w:ilvl="0" w:tplc="21D0917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E7944"/>
    <w:multiLevelType w:val="hybridMultilevel"/>
    <w:tmpl w:val="F92A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86AC9"/>
    <w:multiLevelType w:val="hybridMultilevel"/>
    <w:tmpl w:val="F5CE6288"/>
    <w:lvl w:ilvl="0" w:tplc="21D0917A">
      <w:start w:val="1"/>
      <w:numFmt w:val="lowerRoman"/>
      <w:lvlText w:val="(%1)"/>
      <w:lvlJc w:val="left"/>
      <w:pPr>
        <w:ind w:left="72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83C57"/>
    <w:multiLevelType w:val="hybridMultilevel"/>
    <w:tmpl w:val="47C01408"/>
    <w:lvl w:ilvl="0" w:tplc="07B279E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63D9B"/>
    <w:multiLevelType w:val="hybridMultilevel"/>
    <w:tmpl w:val="E50E0E08"/>
    <w:lvl w:ilvl="0" w:tplc="DF8A2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71312"/>
    <w:multiLevelType w:val="hybridMultilevel"/>
    <w:tmpl w:val="A43E478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77E3A"/>
    <w:multiLevelType w:val="hybridMultilevel"/>
    <w:tmpl w:val="611AB5A8"/>
    <w:lvl w:ilvl="0" w:tplc="607032B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983714"/>
    <w:multiLevelType w:val="hybridMultilevel"/>
    <w:tmpl w:val="55F0323C"/>
    <w:lvl w:ilvl="0" w:tplc="21D0917A">
      <w:start w:val="1"/>
      <w:numFmt w:val="lowerRoman"/>
      <w:lvlText w:val="(%1)"/>
      <w:lvlJc w:val="left"/>
      <w:pPr>
        <w:ind w:left="720" w:hanging="360"/>
      </w:pPr>
      <w:rPr>
        <w:rFonts w:hint="default"/>
        <w:b w:val="0"/>
        <w:bCs w:val="0"/>
        <w:i w:val="0"/>
        <w:iCs w:val="0"/>
        <w:color w:val="595959" w:themeColor="text1" w:themeTint="A6"/>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F235DC"/>
    <w:multiLevelType w:val="hybridMultilevel"/>
    <w:tmpl w:val="CF9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E25AC6"/>
    <w:multiLevelType w:val="hybridMultilevel"/>
    <w:tmpl w:val="2D5A4E88"/>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3330A"/>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05058C"/>
    <w:multiLevelType w:val="hybridMultilevel"/>
    <w:tmpl w:val="D84201B2"/>
    <w:lvl w:ilvl="0" w:tplc="21D0917A">
      <w:start w:val="1"/>
      <w:numFmt w:val="lowerRoman"/>
      <w:lvlText w:val="(%1)"/>
      <w:lvlJc w:val="left"/>
      <w:pPr>
        <w:ind w:left="720" w:hanging="360"/>
      </w:pPr>
      <w:rPr>
        <w:rFonts w:hint="default"/>
        <w:b w:val="0"/>
        <w:bCs w:val="0"/>
        <w:i w:val="0"/>
        <w:iCs w:val="0"/>
        <w:color w:val="595959" w:themeColor="text1" w:themeTint="A6"/>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3B1CE1"/>
    <w:multiLevelType w:val="hybridMultilevel"/>
    <w:tmpl w:val="247E6A2C"/>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A5429E"/>
    <w:multiLevelType w:val="hybridMultilevel"/>
    <w:tmpl w:val="BF164330"/>
    <w:lvl w:ilvl="0" w:tplc="21D0917A">
      <w:start w:val="1"/>
      <w:numFmt w:val="lowerRoman"/>
      <w:lvlText w:val="(%1)"/>
      <w:lvlJc w:val="left"/>
      <w:pPr>
        <w:ind w:left="108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732A5C"/>
    <w:multiLevelType w:val="hybridMultilevel"/>
    <w:tmpl w:val="6E58C6B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2B3217"/>
    <w:multiLevelType w:val="hybridMultilevel"/>
    <w:tmpl w:val="236C5C0E"/>
    <w:lvl w:ilvl="0" w:tplc="6A26A3D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866E5"/>
    <w:multiLevelType w:val="hybridMultilevel"/>
    <w:tmpl w:val="32DA45E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4363F6"/>
    <w:multiLevelType w:val="hybridMultilevel"/>
    <w:tmpl w:val="7A0463AA"/>
    <w:lvl w:ilvl="0" w:tplc="04090001">
      <w:start w:val="1"/>
      <w:numFmt w:val="bullet"/>
      <w:pStyle w:val="RNABodyCopy-bullets"/>
      <w:lvlText w:val=""/>
      <w:lvlJc w:val="left"/>
      <w:pPr>
        <w:ind w:left="576" w:hanging="288"/>
      </w:pPr>
      <w:rPr>
        <w:rFonts w:ascii="Symbol" w:hAnsi="Symbol"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F36FE9"/>
    <w:multiLevelType w:val="hybridMultilevel"/>
    <w:tmpl w:val="68DEA63A"/>
    <w:lvl w:ilvl="0" w:tplc="A6F6C778">
      <w:start w:val="1"/>
      <w:numFmt w:val="lowerRoman"/>
      <w:pStyle w:val="RNABodyCopy-Numbered"/>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2E64A1"/>
    <w:multiLevelType w:val="hybridMultilevel"/>
    <w:tmpl w:val="7734AC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BB0525"/>
    <w:multiLevelType w:val="hybridMultilevel"/>
    <w:tmpl w:val="0FE89536"/>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B36E0"/>
    <w:multiLevelType w:val="hybridMultilevel"/>
    <w:tmpl w:val="B6B6D4A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D6244"/>
    <w:multiLevelType w:val="hybridMultilevel"/>
    <w:tmpl w:val="12F8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C90F4F"/>
    <w:multiLevelType w:val="hybridMultilevel"/>
    <w:tmpl w:val="DDEC578C"/>
    <w:lvl w:ilvl="0" w:tplc="07B279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744639"/>
    <w:multiLevelType w:val="hybridMultilevel"/>
    <w:tmpl w:val="823EE7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654F08"/>
    <w:multiLevelType w:val="hybridMultilevel"/>
    <w:tmpl w:val="3CF87EEA"/>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9044A8"/>
    <w:multiLevelType w:val="hybridMultilevel"/>
    <w:tmpl w:val="2B8E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04548D"/>
    <w:multiLevelType w:val="hybridMultilevel"/>
    <w:tmpl w:val="EAA41E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073BC4"/>
    <w:multiLevelType w:val="hybridMultilevel"/>
    <w:tmpl w:val="59743E14"/>
    <w:lvl w:ilvl="0" w:tplc="F39AE1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23645D"/>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C35418"/>
    <w:multiLevelType w:val="hybridMultilevel"/>
    <w:tmpl w:val="ABC091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937371"/>
    <w:multiLevelType w:val="hybridMultilevel"/>
    <w:tmpl w:val="F58202C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690E67"/>
    <w:multiLevelType w:val="hybridMultilevel"/>
    <w:tmpl w:val="C82E304A"/>
    <w:lvl w:ilvl="0" w:tplc="5D4CBB2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2322FF"/>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17739B1"/>
    <w:multiLevelType w:val="hybridMultilevel"/>
    <w:tmpl w:val="0BA87234"/>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F1305C"/>
    <w:multiLevelType w:val="hybridMultilevel"/>
    <w:tmpl w:val="F67A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6D253C"/>
    <w:multiLevelType w:val="hybridMultilevel"/>
    <w:tmpl w:val="475879E8"/>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151E93"/>
    <w:multiLevelType w:val="hybridMultilevel"/>
    <w:tmpl w:val="356E1E1C"/>
    <w:lvl w:ilvl="0" w:tplc="16D68A5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813C24"/>
    <w:multiLevelType w:val="hybridMultilevel"/>
    <w:tmpl w:val="C088AF2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DF5C93"/>
    <w:multiLevelType w:val="hybridMultilevel"/>
    <w:tmpl w:val="A43E478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09270D"/>
    <w:multiLevelType w:val="hybridMultilevel"/>
    <w:tmpl w:val="93908C6C"/>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8A6E99"/>
    <w:multiLevelType w:val="hybridMultilevel"/>
    <w:tmpl w:val="73CE0842"/>
    <w:lvl w:ilvl="0" w:tplc="04090001">
      <w:start w:val="1"/>
      <w:numFmt w:val="bullet"/>
      <w:lvlText w:val=""/>
      <w:lvlJc w:val="left"/>
      <w:pPr>
        <w:ind w:left="576" w:hanging="288"/>
      </w:pPr>
      <w:rPr>
        <w:rFonts w:ascii="Symbol" w:hAnsi="Symbol"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11"/>
  </w:num>
  <w:num w:numId="4">
    <w:abstractNumId w:val="5"/>
  </w:num>
  <w:num w:numId="5">
    <w:abstractNumId w:val="27"/>
  </w:num>
  <w:num w:numId="6">
    <w:abstractNumId w:val="45"/>
  </w:num>
  <w:num w:numId="7">
    <w:abstractNumId w:val="4"/>
  </w:num>
  <w:num w:numId="8">
    <w:abstractNumId w:val="18"/>
  </w:num>
  <w:num w:numId="9">
    <w:abstractNumId w:val="16"/>
  </w:num>
  <w:num w:numId="1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1"/>
  </w:num>
  <w:num w:numId="13">
    <w:abstractNumId w:val="36"/>
  </w:num>
  <w:num w:numId="14">
    <w:abstractNumId w:val="52"/>
  </w:num>
  <w:num w:numId="15">
    <w:abstractNumId w:val="50"/>
  </w:num>
  <w:num w:numId="16">
    <w:abstractNumId w:val="39"/>
  </w:num>
  <w:num w:numId="17">
    <w:abstractNumId w:val="46"/>
  </w:num>
  <w:num w:numId="18">
    <w:abstractNumId w:val="10"/>
  </w:num>
  <w:num w:numId="19">
    <w:abstractNumId w:val="34"/>
  </w:num>
  <w:num w:numId="20">
    <w:abstractNumId w:val="20"/>
  </w:num>
  <w:num w:numId="21">
    <w:abstractNumId w:val="35"/>
  </w:num>
  <w:num w:numId="22">
    <w:abstractNumId w:val="33"/>
  </w:num>
  <w:num w:numId="23">
    <w:abstractNumId w:val="8"/>
  </w:num>
  <w:num w:numId="24">
    <w:abstractNumId w:val="6"/>
  </w:num>
  <w:num w:numId="25">
    <w:abstractNumId w:val="23"/>
  </w:num>
  <w:num w:numId="26">
    <w:abstractNumId w:val="9"/>
  </w:num>
  <w:num w:numId="27">
    <w:abstractNumId w:val="41"/>
  </w:num>
  <w:num w:numId="28">
    <w:abstractNumId w:val="48"/>
  </w:num>
  <w:num w:numId="29">
    <w:abstractNumId w:val="47"/>
  </w:num>
  <w:num w:numId="30">
    <w:abstractNumId w:val="38"/>
  </w:num>
  <w:num w:numId="31">
    <w:abstractNumId w:val="2"/>
  </w:num>
  <w:num w:numId="32">
    <w:abstractNumId w:val="7"/>
  </w:num>
  <w:num w:numId="33">
    <w:abstractNumId w:val="55"/>
  </w:num>
  <w:num w:numId="34">
    <w:abstractNumId w:val="43"/>
  </w:num>
  <w:num w:numId="35">
    <w:abstractNumId w:val="57"/>
  </w:num>
  <w:num w:numId="36">
    <w:abstractNumId w:val="44"/>
  </w:num>
  <w:num w:numId="37">
    <w:abstractNumId w:val="15"/>
  </w:num>
  <w:num w:numId="38">
    <w:abstractNumId w:val="42"/>
  </w:num>
  <w:num w:numId="39">
    <w:abstractNumId w:val="3"/>
  </w:num>
  <w:num w:numId="40">
    <w:abstractNumId w:val="53"/>
  </w:num>
  <w:num w:numId="41">
    <w:abstractNumId w:val="29"/>
  </w:num>
  <w:num w:numId="42">
    <w:abstractNumId w:val="51"/>
  </w:num>
  <w:num w:numId="43">
    <w:abstractNumId w:val="22"/>
  </w:num>
  <w:num w:numId="44">
    <w:abstractNumId w:val="31"/>
  </w:num>
  <w:num w:numId="45">
    <w:abstractNumId w:val="26"/>
  </w:num>
  <w:num w:numId="46">
    <w:abstractNumId w:val="37"/>
  </w:num>
  <w:num w:numId="47">
    <w:abstractNumId w:val="17"/>
  </w:num>
  <w:num w:numId="48">
    <w:abstractNumId w:val="58"/>
  </w:num>
  <w:num w:numId="49">
    <w:abstractNumId w:val="1"/>
  </w:num>
  <w:num w:numId="50">
    <w:abstractNumId w:val="30"/>
  </w:num>
  <w:num w:numId="51">
    <w:abstractNumId w:val="13"/>
  </w:num>
  <w:num w:numId="52">
    <w:abstractNumId w:val="40"/>
  </w:num>
  <w:num w:numId="53">
    <w:abstractNumId w:val="54"/>
  </w:num>
  <w:num w:numId="54">
    <w:abstractNumId w:val="32"/>
  </w:num>
  <w:num w:numId="55">
    <w:abstractNumId w:val="56"/>
  </w:num>
  <w:num w:numId="56">
    <w:abstractNumId w:val="12"/>
  </w:num>
  <w:num w:numId="57">
    <w:abstractNumId w:val="19"/>
  </w:num>
  <w:num w:numId="58">
    <w:abstractNumId w:val="24"/>
  </w:num>
  <w:num w:numId="59">
    <w:abstractNumId w:val="28"/>
  </w:num>
  <w:num w:numId="60">
    <w:abstractNumId w:val="35"/>
    <w:lvlOverride w:ilvl="0">
      <w:startOverride w:val="1"/>
    </w:lvlOverride>
  </w:num>
  <w:num w:numId="61">
    <w:abstractNumId w:val="35"/>
    <w:lvlOverride w:ilvl="0">
      <w:startOverride w:val="1"/>
    </w:lvlOverride>
  </w:num>
  <w:num w:numId="62">
    <w:abstractNumId w:val="35"/>
    <w:lvlOverride w:ilvl="0">
      <w:startOverride w:val="1"/>
    </w:lvlOverride>
  </w:num>
  <w:num w:numId="63">
    <w:abstractNumId w:val="35"/>
    <w:lvlOverride w:ilvl="0">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1sTQ1NLIwsDA0NzVT0lEKTi0uzszPAykwMqwFACIZZnUtAAAA"/>
  </w:docVars>
  <w:rsids>
    <w:rsidRoot w:val="00573796"/>
    <w:rsid w:val="00000725"/>
    <w:rsid w:val="000137BE"/>
    <w:rsid w:val="00031953"/>
    <w:rsid w:val="00035858"/>
    <w:rsid w:val="000503A9"/>
    <w:rsid w:val="00052F5E"/>
    <w:rsid w:val="00067964"/>
    <w:rsid w:val="00077B52"/>
    <w:rsid w:val="00077E58"/>
    <w:rsid w:val="00081AAD"/>
    <w:rsid w:val="000912D6"/>
    <w:rsid w:val="000A76A9"/>
    <w:rsid w:val="000C2435"/>
    <w:rsid w:val="000D53CD"/>
    <w:rsid w:val="000E2DE1"/>
    <w:rsid w:val="000E3944"/>
    <w:rsid w:val="000F50E1"/>
    <w:rsid w:val="000F52F8"/>
    <w:rsid w:val="00100F7E"/>
    <w:rsid w:val="00101E1D"/>
    <w:rsid w:val="00101F38"/>
    <w:rsid w:val="00104C6F"/>
    <w:rsid w:val="0010637E"/>
    <w:rsid w:val="00140C46"/>
    <w:rsid w:val="00163783"/>
    <w:rsid w:val="00164A70"/>
    <w:rsid w:val="00167040"/>
    <w:rsid w:val="0017075A"/>
    <w:rsid w:val="00172CCE"/>
    <w:rsid w:val="00172EC5"/>
    <w:rsid w:val="0017765F"/>
    <w:rsid w:val="00191A1B"/>
    <w:rsid w:val="00196784"/>
    <w:rsid w:val="001A49D0"/>
    <w:rsid w:val="001A5714"/>
    <w:rsid w:val="001A7424"/>
    <w:rsid w:val="001B1AD5"/>
    <w:rsid w:val="001C16B3"/>
    <w:rsid w:val="001D12FA"/>
    <w:rsid w:val="001D4F25"/>
    <w:rsid w:val="001E1B5C"/>
    <w:rsid w:val="00200EDE"/>
    <w:rsid w:val="00203C9E"/>
    <w:rsid w:val="00204DC9"/>
    <w:rsid w:val="002052E6"/>
    <w:rsid w:val="002141FE"/>
    <w:rsid w:val="00214EB3"/>
    <w:rsid w:val="002154DF"/>
    <w:rsid w:val="002225E6"/>
    <w:rsid w:val="00233E4C"/>
    <w:rsid w:val="002402CA"/>
    <w:rsid w:val="0024130B"/>
    <w:rsid w:val="0024309A"/>
    <w:rsid w:val="0024600D"/>
    <w:rsid w:val="00255A07"/>
    <w:rsid w:val="00264BE1"/>
    <w:rsid w:val="00266F75"/>
    <w:rsid w:val="00267829"/>
    <w:rsid w:val="00271EE7"/>
    <w:rsid w:val="0028036F"/>
    <w:rsid w:val="00281459"/>
    <w:rsid w:val="0028299B"/>
    <w:rsid w:val="002C6C75"/>
    <w:rsid w:val="002D74F5"/>
    <w:rsid w:val="002E17FE"/>
    <w:rsid w:val="002F2B49"/>
    <w:rsid w:val="002F609B"/>
    <w:rsid w:val="002F6D64"/>
    <w:rsid w:val="00313E90"/>
    <w:rsid w:val="0031508C"/>
    <w:rsid w:val="00321E23"/>
    <w:rsid w:val="00331A25"/>
    <w:rsid w:val="003327BB"/>
    <w:rsid w:val="00334355"/>
    <w:rsid w:val="00343802"/>
    <w:rsid w:val="0035169D"/>
    <w:rsid w:val="00352D2C"/>
    <w:rsid w:val="00353EB9"/>
    <w:rsid w:val="003761AB"/>
    <w:rsid w:val="0038539A"/>
    <w:rsid w:val="003B1478"/>
    <w:rsid w:val="003B681C"/>
    <w:rsid w:val="003C6458"/>
    <w:rsid w:val="003C7DE9"/>
    <w:rsid w:val="003D0831"/>
    <w:rsid w:val="003D2A36"/>
    <w:rsid w:val="003D75F0"/>
    <w:rsid w:val="003E5099"/>
    <w:rsid w:val="00442A56"/>
    <w:rsid w:val="00445CF6"/>
    <w:rsid w:val="00445D89"/>
    <w:rsid w:val="00451B94"/>
    <w:rsid w:val="004530A6"/>
    <w:rsid w:val="0047140B"/>
    <w:rsid w:val="00475B2E"/>
    <w:rsid w:val="00482317"/>
    <w:rsid w:val="00486B2B"/>
    <w:rsid w:val="00492136"/>
    <w:rsid w:val="004925DA"/>
    <w:rsid w:val="00493FD8"/>
    <w:rsid w:val="004A733B"/>
    <w:rsid w:val="004A7D50"/>
    <w:rsid w:val="004B3156"/>
    <w:rsid w:val="004C53C1"/>
    <w:rsid w:val="004D40E9"/>
    <w:rsid w:val="004D7480"/>
    <w:rsid w:val="004D7DDB"/>
    <w:rsid w:val="004E005E"/>
    <w:rsid w:val="004F4533"/>
    <w:rsid w:val="00505324"/>
    <w:rsid w:val="00511B7D"/>
    <w:rsid w:val="00521FB5"/>
    <w:rsid w:val="00525EA2"/>
    <w:rsid w:val="00532836"/>
    <w:rsid w:val="00534AFF"/>
    <w:rsid w:val="00543F11"/>
    <w:rsid w:val="0055246A"/>
    <w:rsid w:val="00553BB2"/>
    <w:rsid w:val="00554D0A"/>
    <w:rsid w:val="00555B83"/>
    <w:rsid w:val="00557D41"/>
    <w:rsid w:val="00565DEF"/>
    <w:rsid w:val="00571D7E"/>
    <w:rsid w:val="00573796"/>
    <w:rsid w:val="00575DEC"/>
    <w:rsid w:val="005822D7"/>
    <w:rsid w:val="0058565F"/>
    <w:rsid w:val="00594DDD"/>
    <w:rsid w:val="00596DB4"/>
    <w:rsid w:val="005976E1"/>
    <w:rsid w:val="005A0D8A"/>
    <w:rsid w:val="005A471A"/>
    <w:rsid w:val="005B018B"/>
    <w:rsid w:val="005C5E3F"/>
    <w:rsid w:val="005D7651"/>
    <w:rsid w:val="005E07BB"/>
    <w:rsid w:val="005F3838"/>
    <w:rsid w:val="0060042C"/>
    <w:rsid w:val="0062007E"/>
    <w:rsid w:val="00627AC1"/>
    <w:rsid w:val="00634783"/>
    <w:rsid w:val="00635992"/>
    <w:rsid w:val="006461FB"/>
    <w:rsid w:val="00653A2E"/>
    <w:rsid w:val="00660528"/>
    <w:rsid w:val="0066247D"/>
    <w:rsid w:val="00662DAD"/>
    <w:rsid w:val="00664D73"/>
    <w:rsid w:val="006653C6"/>
    <w:rsid w:val="006657AF"/>
    <w:rsid w:val="00671E92"/>
    <w:rsid w:val="00673A42"/>
    <w:rsid w:val="00675D7A"/>
    <w:rsid w:val="00677EC4"/>
    <w:rsid w:val="00684A4A"/>
    <w:rsid w:val="006A46FA"/>
    <w:rsid w:val="006A6FC0"/>
    <w:rsid w:val="006A7B94"/>
    <w:rsid w:val="006B003C"/>
    <w:rsid w:val="006B20E6"/>
    <w:rsid w:val="006B418E"/>
    <w:rsid w:val="006C1529"/>
    <w:rsid w:val="006C3102"/>
    <w:rsid w:val="006C49DA"/>
    <w:rsid w:val="006D4203"/>
    <w:rsid w:val="006F4330"/>
    <w:rsid w:val="006F667B"/>
    <w:rsid w:val="007006C6"/>
    <w:rsid w:val="00701DFC"/>
    <w:rsid w:val="00704254"/>
    <w:rsid w:val="007058FB"/>
    <w:rsid w:val="0071530C"/>
    <w:rsid w:val="00720E7C"/>
    <w:rsid w:val="00724D57"/>
    <w:rsid w:val="007266F3"/>
    <w:rsid w:val="00730291"/>
    <w:rsid w:val="00744F14"/>
    <w:rsid w:val="007679E2"/>
    <w:rsid w:val="007700E4"/>
    <w:rsid w:val="00773DBB"/>
    <w:rsid w:val="007871F6"/>
    <w:rsid w:val="00790F97"/>
    <w:rsid w:val="0079183B"/>
    <w:rsid w:val="007C63B0"/>
    <w:rsid w:val="007C6859"/>
    <w:rsid w:val="007C77D3"/>
    <w:rsid w:val="007E2C1A"/>
    <w:rsid w:val="007E2C5C"/>
    <w:rsid w:val="007E4AD0"/>
    <w:rsid w:val="007F51A0"/>
    <w:rsid w:val="0080569A"/>
    <w:rsid w:val="00812014"/>
    <w:rsid w:val="008275EE"/>
    <w:rsid w:val="00861C56"/>
    <w:rsid w:val="0086254D"/>
    <w:rsid w:val="00862E90"/>
    <w:rsid w:val="00870F67"/>
    <w:rsid w:val="00871B36"/>
    <w:rsid w:val="00892140"/>
    <w:rsid w:val="00893501"/>
    <w:rsid w:val="008A06EA"/>
    <w:rsid w:val="008A153F"/>
    <w:rsid w:val="008B6A17"/>
    <w:rsid w:val="008D6257"/>
    <w:rsid w:val="008F1771"/>
    <w:rsid w:val="00905985"/>
    <w:rsid w:val="00907A8B"/>
    <w:rsid w:val="00910E12"/>
    <w:rsid w:val="009151B9"/>
    <w:rsid w:val="00917ACE"/>
    <w:rsid w:val="009233EB"/>
    <w:rsid w:val="00927BF2"/>
    <w:rsid w:val="00930BB6"/>
    <w:rsid w:val="0093323C"/>
    <w:rsid w:val="00940FA2"/>
    <w:rsid w:val="00941C39"/>
    <w:rsid w:val="0094531A"/>
    <w:rsid w:val="00951B5C"/>
    <w:rsid w:val="00951EE2"/>
    <w:rsid w:val="00965E5A"/>
    <w:rsid w:val="00974B91"/>
    <w:rsid w:val="00982679"/>
    <w:rsid w:val="009949D6"/>
    <w:rsid w:val="00996500"/>
    <w:rsid w:val="009A0320"/>
    <w:rsid w:val="009A6184"/>
    <w:rsid w:val="009A7497"/>
    <w:rsid w:val="009B170E"/>
    <w:rsid w:val="009B5DB1"/>
    <w:rsid w:val="009D102F"/>
    <w:rsid w:val="009D57CE"/>
    <w:rsid w:val="009E223B"/>
    <w:rsid w:val="009E7C6F"/>
    <w:rsid w:val="009F3527"/>
    <w:rsid w:val="009F617D"/>
    <w:rsid w:val="00A00873"/>
    <w:rsid w:val="00A0211A"/>
    <w:rsid w:val="00A0216D"/>
    <w:rsid w:val="00A063DC"/>
    <w:rsid w:val="00A07F61"/>
    <w:rsid w:val="00A1284A"/>
    <w:rsid w:val="00A23D5E"/>
    <w:rsid w:val="00A24B05"/>
    <w:rsid w:val="00A321CB"/>
    <w:rsid w:val="00A35C65"/>
    <w:rsid w:val="00A549FD"/>
    <w:rsid w:val="00A55890"/>
    <w:rsid w:val="00A67CB0"/>
    <w:rsid w:val="00A71F2E"/>
    <w:rsid w:val="00A73576"/>
    <w:rsid w:val="00A81CFF"/>
    <w:rsid w:val="00A87C8A"/>
    <w:rsid w:val="00AA3F4F"/>
    <w:rsid w:val="00AB0FC3"/>
    <w:rsid w:val="00AB49A9"/>
    <w:rsid w:val="00AB5D74"/>
    <w:rsid w:val="00AC1958"/>
    <w:rsid w:val="00AC6637"/>
    <w:rsid w:val="00AD08AA"/>
    <w:rsid w:val="00AD5ABF"/>
    <w:rsid w:val="00AE39CE"/>
    <w:rsid w:val="00AE3D23"/>
    <w:rsid w:val="00AE41E8"/>
    <w:rsid w:val="00AF5593"/>
    <w:rsid w:val="00B01092"/>
    <w:rsid w:val="00B017EB"/>
    <w:rsid w:val="00B03379"/>
    <w:rsid w:val="00B03B65"/>
    <w:rsid w:val="00B14CCF"/>
    <w:rsid w:val="00B169D4"/>
    <w:rsid w:val="00B24BE1"/>
    <w:rsid w:val="00B308CA"/>
    <w:rsid w:val="00B343E9"/>
    <w:rsid w:val="00B403FC"/>
    <w:rsid w:val="00B4116A"/>
    <w:rsid w:val="00B52A4E"/>
    <w:rsid w:val="00B6124E"/>
    <w:rsid w:val="00B65A29"/>
    <w:rsid w:val="00B711D5"/>
    <w:rsid w:val="00B753BB"/>
    <w:rsid w:val="00B802C4"/>
    <w:rsid w:val="00B80D3A"/>
    <w:rsid w:val="00B94878"/>
    <w:rsid w:val="00BA0AE0"/>
    <w:rsid w:val="00BB5061"/>
    <w:rsid w:val="00BB5DEE"/>
    <w:rsid w:val="00BC2603"/>
    <w:rsid w:val="00BE0936"/>
    <w:rsid w:val="00BE3042"/>
    <w:rsid w:val="00BE6559"/>
    <w:rsid w:val="00BF178A"/>
    <w:rsid w:val="00BF369B"/>
    <w:rsid w:val="00C0292E"/>
    <w:rsid w:val="00C029FC"/>
    <w:rsid w:val="00C034FB"/>
    <w:rsid w:val="00C11E9D"/>
    <w:rsid w:val="00C1309D"/>
    <w:rsid w:val="00C16519"/>
    <w:rsid w:val="00C16C87"/>
    <w:rsid w:val="00C21961"/>
    <w:rsid w:val="00C225BF"/>
    <w:rsid w:val="00C248F1"/>
    <w:rsid w:val="00C304F2"/>
    <w:rsid w:val="00C4062E"/>
    <w:rsid w:val="00C45889"/>
    <w:rsid w:val="00C52FAE"/>
    <w:rsid w:val="00C541D5"/>
    <w:rsid w:val="00C572C9"/>
    <w:rsid w:val="00C61F18"/>
    <w:rsid w:val="00C6220F"/>
    <w:rsid w:val="00C744AA"/>
    <w:rsid w:val="00C81AA9"/>
    <w:rsid w:val="00C82C48"/>
    <w:rsid w:val="00C83A29"/>
    <w:rsid w:val="00C90383"/>
    <w:rsid w:val="00C936E2"/>
    <w:rsid w:val="00C95AF6"/>
    <w:rsid w:val="00C9694A"/>
    <w:rsid w:val="00CA5A41"/>
    <w:rsid w:val="00CB43D9"/>
    <w:rsid w:val="00CB584E"/>
    <w:rsid w:val="00CB6403"/>
    <w:rsid w:val="00CC0812"/>
    <w:rsid w:val="00CC117E"/>
    <w:rsid w:val="00CC3340"/>
    <w:rsid w:val="00CC54D1"/>
    <w:rsid w:val="00CD05CA"/>
    <w:rsid w:val="00CD6388"/>
    <w:rsid w:val="00CD6DA1"/>
    <w:rsid w:val="00CE05B4"/>
    <w:rsid w:val="00CE3C97"/>
    <w:rsid w:val="00D040DD"/>
    <w:rsid w:val="00D10CB0"/>
    <w:rsid w:val="00D116F9"/>
    <w:rsid w:val="00D2442B"/>
    <w:rsid w:val="00D314E9"/>
    <w:rsid w:val="00D34E8F"/>
    <w:rsid w:val="00D36A71"/>
    <w:rsid w:val="00D52BB6"/>
    <w:rsid w:val="00D5390D"/>
    <w:rsid w:val="00D55352"/>
    <w:rsid w:val="00D55E35"/>
    <w:rsid w:val="00D5606E"/>
    <w:rsid w:val="00D578C3"/>
    <w:rsid w:val="00D63E26"/>
    <w:rsid w:val="00D7426A"/>
    <w:rsid w:val="00D855C2"/>
    <w:rsid w:val="00DA4F46"/>
    <w:rsid w:val="00DA6699"/>
    <w:rsid w:val="00DB4B52"/>
    <w:rsid w:val="00DB5ADE"/>
    <w:rsid w:val="00DB7AD5"/>
    <w:rsid w:val="00DC2173"/>
    <w:rsid w:val="00DC4117"/>
    <w:rsid w:val="00DC5146"/>
    <w:rsid w:val="00DD7C07"/>
    <w:rsid w:val="00DE5618"/>
    <w:rsid w:val="00E02B81"/>
    <w:rsid w:val="00E178F3"/>
    <w:rsid w:val="00E324B1"/>
    <w:rsid w:val="00E42F2E"/>
    <w:rsid w:val="00E46EDF"/>
    <w:rsid w:val="00E503D0"/>
    <w:rsid w:val="00E71645"/>
    <w:rsid w:val="00E72F45"/>
    <w:rsid w:val="00E82EBE"/>
    <w:rsid w:val="00E8313B"/>
    <w:rsid w:val="00E873E3"/>
    <w:rsid w:val="00E87F9F"/>
    <w:rsid w:val="00E969C2"/>
    <w:rsid w:val="00E9707E"/>
    <w:rsid w:val="00EA457E"/>
    <w:rsid w:val="00EA4D87"/>
    <w:rsid w:val="00EB444B"/>
    <w:rsid w:val="00EB5873"/>
    <w:rsid w:val="00EC06F2"/>
    <w:rsid w:val="00EC0BD0"/>
    <w:rsid w:val="00ED201B"/>
    <w:rsid w:val="00ED7A33"/>
    <w:rsid w:val="00EF1914"/>
    <w:rsid w:val="00EF2135"/>
    <w:rsid w:val="00EF495A"/>
    <w:rsid w:val="00EF7129"/>
    <w:rsid w:val="00F15752"/>
    <w:rsid w:val="00F16079"/>
    <w:rsid w:val="00F16F7D"/>
    <w:rsid w:val="00F2070E"/>
    <w:rsid w:val="00F21E8C"/>
    <w:rsid w:val="00F2238D"/>
    <w:rsid w:val="00F2428E"/>
    <w:rsid w:val="00F2623B"/>
    <w:rsid w:val="00F339A7"/>
    <w:rsid w:val="00F34757"/>
    <w:rsid w:val="00F37029"/>
    <w:rsid w:val="00F41C04"/>
    <w:rsid w:val="00F424F0"/>
    <w:rsid w:val="00F43A3D"/>
    <w:rsid w:val="00F4669D"/>
    <w:rsid w:val="00F56BCF"/>
    <w:rsid w:val="00F74161"/>
    <w:rsid w:val="00F776A3"/>
    <w:rsid w:val="00F83033"/>
    <w:rsid w:val="00F94B8A"/>
    <w:rsid w:val="00FA06A8"/>
    <w:rsid w:val="00FA2A18"/>
    <w:rsid w:val="00FA5703"/>
    <w:rsid w:val="00FA709D"/>
    <w:rsid w:val="00FB66CB"/>
    <w:rsid w:val="00FC273F"/>
    <w:rsid w:val="00FC3229"/>
    <w:rsid w:val="00FD023B"/>
    <w:rsid w:val="00FD709F"/>
    <w:rsid w:val="00FE0144"/>
    <w:rsid w:val="00FE03C7"/>
    <w:rsid w:val="00FE3044"/>
    <w:rsid w:val="00FE435B"/>
    <w:rsid w:val="00FE78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C3FC5DA"/>
  <w15:docId w15:val="{5BCBE4D8-1289-448F-BB6F-EC3A3B3B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796"/>
    <w:pPr>
      <w:spacing w:line="300" w:lineRule="exact"/>
      <w:jc w:val="both"/>
    </w:pPr>
    <w:rPr>
      <w:rFonts w:ascii="Times New Roman" w:eastAsiaTheme="majorEastAsia" w:hAnsi="Times New Roman" w:cs="Times New Roman"/>
      <w:sz w:val="22"/>
      <w:szCs w:val="22"/>
    </w:rPr>
  </w:style>
  <w:style w:type="paragraph" w:styleId="Heading1">
    <w:name w:val="heading 1"/>
    <w:basedOn w:val="Normal"/>
    <w:next w:val="Normal"/>
    <w:link w:val="Heading1Char"/>
    <w:uiPriority w:val="9"/>
    <w:qFormat/>
    <w:rsid w:val="00573796"/>
    <w:pPr>
      <w:keepNext/>
      <w:keepLines/>
      <w:widowControl w:val="0"/>
      <w:pBdr>
        <w:top w:val="dotted" w:sz="4" w:space="1" w:color="auto"/>
        <w:bottom w:val="dotted" w:sz="4" w:space="1" w:color="auto"/>
      </w:pBdr>
      <w:spacing w:before="240" w:line="259" w:lineRule="auto"/>
      <w:jc w:val="left"/>
      <w:outlineLvl w:val="0"/>
    </w:pPr>
    <w:rPr>
      <w:noProof/>
      <w:color w:val="2F75B5"/>
      <w:spacing w:val="20"/>
      <w:sz w:val="32"/>
      <w:szCs w:val="28"/>
    </w:rPr>
  </w:style>
  <w:style w:type="paragraph" w:styleId="Heading2">
    <w:name w:val="heading 2"/>
    <w:basedOn w:val="Normal"/>
    <w:next w:val="Normal"/>
    <w:link w:val="Heading2Char"/>
    <w:autoRedefine/>
    <w:uiPriority w:val="9"/>
    <w:unhideWhenUsed/>
    <w:qFormat/>
    <w:rsid w:val="00573796"/>
    <w:pPr>
      <w:keepNext/>
      <w:keepLines/>
      <w:widowControl w:val="0"/>
      <w:spacing w:before="40" w:line="259" w:lineRule="auto"/>
      <w:jc w:val="left"/>
      <w:outlineLvl w:val="1"/>
    </w:pPr>
  </w:style>
  <w:style w:type="paragraph" w:styleId="Heading3">
    <w:name w:val="heading 3"/>
    <w:aliases w:val="RNA Headline C"/>
    <w:basedOn w:val="Heading2"/>
    <w:next w:val="Normal"/>
    <w:link w:val="Heading3Char"/>
    <w:autoRedefine/>
    <w:uiPriority w:val="9"/>
    <w:unhideWhenUsed/>
    <w:qFormat/>
    <w:rsid w:val="00FE3044"/>
    <w:pPr>
      <w:spacing w:before="140" w:after="60" w:line="240" w:lineRule="auto"/>
      <w:outlineLvl w:val="2"/>
    </w:pPr>
    <w:rPr>
      <w:rFonts w:ascii="Georgia" w:hAnsi="Georgia"/>
      <w:color w:val="DE9C2F" w:themeColor="accent4"/>
      <w:sz w:val="26"/>
      <w:szCs w:val="26"/>
    </w:rPr>
  </w:style>
  <w:style w:type="paragraph" w:styleId="Heading4">
    <w:name w:val="heading 4"/>
    <w:basedOn w:val="Normal"/>
    <w:next w:val="Normal"/>
    <w:link w:val="Heading4Char"/>
    <w:uiPriority w:val="9"/>
    <w:semiHidden/>
    <w:unhideWhenUsed/>
    <w:qFormat/>
    <w:rsid w:val="00573796"/>
    <w:pPr>
      <w:pBdr>
        <w:bottom w:val="dotted" w:sz="4" w:space="1" w:color="2E74B5" w:themeColor="accent2" w:themeShade="BF"/>
      </w:pBdr>
      <w:jc w:val="center"/>
      <w:outlineLvl w:val="3"/>
    </w:pPr>
    <w:rPr>
      <w:caps/>
      <w:color w:val="1F4D78" w:themeColor="accent2" w:themeShade="7F"/>
      <w:spacing w:val="10"/>
    </w:rPr>
  </w:style>
  <w:style w:type="paragraph" w:styleId="Heading5">
    <w:name w:val="heading 5"/>
    <w:basedOn w:val="Normal"/>
    <w:next w:val="Normal"/>
    <w:link w:val="Heading5Char"/>
    <w:uiPriority w:val="9"/>
    <w:semiHidden/>
    <w:unhideWhenUsed/>
    <w:qFormat/>
    <w:rsid w:val="00573796"/>
    <w:pPr>
      <w:spacing w:before="320"/>
      <w:jc w:val="center"/>
      <w:outlineLvl w:val="4"/>
    </w:pPr>
    <w:rPr>
      <w:caps/>
      <w:color w:val="1F4D78" w:themeColor="accent2" w:themeShade="7F"/>
      <w:spacing w:val="10"/>
    </w:rPr>
  </w:style>
  <w:style w:type="paragraph" w:styleId="Heading6">
    <w:name w:val="heading 6"/>
    <w:basedOn w:val="Normal"/>
    <w:next w:val="Normal"/>
    <w:link w:val="Heading6Char"/>
    <w:uiPriority w:val="9"/>
    <w:semiHidden/>
    <w:unhideWhenUsed/>
    <w:qFormat/>
    <w:rsid w:val="00573796"/>
    <w:pPr>
      <w:jc w:val="center"/>
      <w:outlineLvl w:val="5"/>
    </w:pPr>
    <w:rPr>
      <w:caps/>
      <w:color w:val="2E74B5" w:themeColor="accent2" w:themeShade="BF"/>
      <w:spacing w:val="10"/>
    </w:rPr>
  </w:style>
  <w:style w:type="paragraph" w:styleId="Heading7">
    <w:name w:val="heading 7"/>
    <w:basedOn w:val="Normal"/>
    <w:next w:val="Normal"/>
    <w:link w:val="Heading7Char"/>
    <w:uiPriority w:val="9"/>
    <w:semiHidden/>
    <w:unhideWhenUsed/>
    <w:qFormat/>
    <w:rsid w:val="00573796"/>
    <w:pPr>
      <w:jc w:val="center"/>
      <w:outlineLvl w:val="6"/>
    </w:pPr>
    <w:rPr>
      <w:i/>
      <w:iCs/>
      <w:caps/>
      <w:color w:val="2E74B5" w:themeColor="accent2" w:themeShade="BF"/>
      <w:spacing w:val="10"/>
    </w:rPr>
  </w:style>
  <w:style w:type="paragraph" w:styleId="Heading8">
    <w:name w:val="heading 8"/>
    <w:basedOn w:val="Normal"/>
    <w:next w:val="Normal"/>
    <w:link w:val="Heading8Char"/>
    <w:uiPriority w:val="9"/>
    <w:semiHidden/>
    <w:unhideWhenUsed/>
    <w:qFormat/>
    <w:rsid w:val="00573796"/>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73796"/>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96"/>
    <w:rPr>
      <w:rFonts w:ascii="Times New Roman" w:eastAsiaTheme="majorEastAsia" w:hAnsi="Times New Roman" w:cs="Times New Roman"/>
      <w:noProof/>
      <w:color w:val="2F75B5"/>
      <w:spacing w:val="20"/>
      <w:sz w:val="32"/>
      <w:szCs w:val="28"/>
    </w:rPr>
  </w:style>
  <w:style w:type="character" w:customStyle="1" w:styleId="Heading2Char">
    <w:name w:val="Heading 2 Char"/>
    <w:basedOn w:val="DefaultParagraphFont"/>
    <w:link w:val="Heading2"/>
    <w:uiPriority w:val="9"/>
    <w:rsid w:val="00573796"/>
    <w:rPr>
      <w:rFonts w:ascii="Times New Roman" w:eastAsiaTheme="majorEastAsia" w:hAnsi="Times New Roman" w:cs="Times New Roman"/>
      <w:sz w:val="22"/>
      <w:szCs w:val="22"/>
    </w:rPr>
  </w:style>
  <w:style w:type="character" w:customStyle="1" w:styleId="Heading3Char">
    <w:name w:val="Heading 3 Char"/>
    <w:aliases w:val="RNA Headline C Char"/>
    <w:basedOn w:val="DefaultParagraphFont"/>
    <w:link w:val="Heading3"/>
    <w:uiPriority w:val="9"/>
    <w:rsid w:val="00FE3044"/>
    <w:rPr>
      <w:rFonts w:ascii="Georgia" w:eastAsiaTheme="majorEastAsia" w:hAnsi="Georgia" w:cs="Times New Roman"/>
      <w:color w:val="DE9C2F" w:themeColor="accent4"/>
      <w:sz w:val="26"/>
      <w:szCs w:val="26"/>
    </w:rPr>
  </w:style>
  <w:style w:type="character" w:customStyle="1" w:styleId="Heading4Char">
    <w:name w:val="Heading 4 Char"/>
    <w:basedOn w:val="DefaultParagraphFont"/>
    <w:link w:val="Heading4"/>
    <w:uiPriority w:val="9"/>
    <w:semiHidden/>
    <w:rsid w:val="00573796"/>
    <w:rPr>
      <w:rFonts w:ascii="Times New Roman" w:eastAsiaTheme="majorEastAsia" w:hAnsi="Times New Roman" w:cs="Times New Roman"/>
      <w:caps/>
      <w:color w:val="1F4D78" w:themeColor="accent2" w:themeShade="7F"/>
      <w:spacing w:val="10"/>
      <w:sz w:val="22"/>
      <w:szCs w:val="22"/>
    </w:rPr>
  </w:style>
  <w:style w:type="character" w:customStyle="1" w:styleId="Heading5Char">
    <w:name w:val="Heading 5 Char"/>
    <w:basedOn w:val="DefaultParagraphFont"/>
    <w:link w:val="Heading5"/>
    <w:uiPriority w:val="9"/>
    <w:semiHidden/>
    <w:rsid w:val="00573796"/>
    <w:rPr>
      <w:rFonts w:ascii="Times New Roman" w:eastAsiaTheme="majorEastAsia" w:hAnsi="Times New Roman" w:cs="Times New Roman"/>
      <w:caps/>
      <w:color w:val="1F4D78" w:themeColor="accent2" w:themeShade="7F"/>
      <w:spacing w:val="10"/>
      <w:sz w:val="22"/>
      <w:szCs w:val="22"/>
    </w:rPr>
  </w:style>
  <w:style w:type="character" w:customStyle="1" w:styleId="Heading6Char">
    <w:name w:val="Heading 6 Char"/>
    <w:basedOn w:val="DefaultParagraphFont"/>
    <w:link w:val="Heading6"/>
    <w:uiPriority w:val="9"/>
    <w:semiHidden/>
    <w:rsid w:val="00573796"/>
    <w:rPr>
      <w:rFonts w:ascii="Times New Roman" w:eastAsiaTheme="majorEastAsia" w:hAnsi="Times New Roman" w:cs="Times New Roman"/>
      <w:caps/>
      <w:color w:val="2E74B5" w:themeColor="accent2" w:themeShade="BF"/>
      <w:spacing w:val="10"/>
      <w:sz w:val="22"/>
      <w:szCs w:val="22"/>
    </w:rPr>
  </w:style>
  <w:style w:type="character" w:customStyle="1" w:styleId="Heading7Char">
    <w:name w:val="Heading 7 Char"/>
    <w:basedOn w:val="DefaultParagraphFont"/>
    <w:link w:val="Heading7"/>
    <w:uiPriority w:val="9"/>
    <w:semiHidden/>
    <w:rsid w:val="00573796"/>
    <w:rPr>
      <w:rFonts w:ascii="Times New Roman" w:eastAsiaTheme="majorEastAsia" w:hAnsi="Times New Roman" w:cs="Times New Roman"/>
      <w:i/>
      <w:iCs/>
      <w:caps/>
      <w:color w:val="2E74B5" w:themeColor="accent2" w:themeShade="BF"/>
      <w:spacing w:val="10"/>
      <w:sz w:val="22"/>
      <w:szCs w:val="22"/>
    </w:rPr>
  </w:style>
  <w:style w:type="character" w:customStyle="1" w:styleId="Heading8Char">
    <w:name w:val="Heading 8 Char"/>
    <w:basedOn w:val="DefaultParagraphFont"/>
    <w:link w:val="Heading8"/>
    <w:uiPriority w:val="9"/>
    <w:semiHidden/>
    <w:rsid w:val="00573796"/>
    <w:rPr>
      <w:rFonts w:ascii="Times New Roman" w:eastAsiaTheme="majorEastAsia" w:hAnsi="Times New Roman" w:cs="Times New Roman"/>
      <w:caps/>
      <w:spacing w:val="10"/>
      <w:sz w:val="20"/>
      <w:szCs w:val="20"/>
    </w:rPr>
  </w:style>
  <w:style w:type="character" w:customStyle="1" w:styleId="Heading9Char">
    <w:name w:val="Heading 9 Char"/>
    <w:basedOn w:val="DefaultParagraphFont"/>
    <w:link w:val="Heading9"/>
    <w:uiPriority w:val="9"/>
    <w:semiHidden/>
    <w:rsid w:val="00573796"/>
    <w:rPr>
      <w:rFonts w:ascii="Times New Roman" w:eastAsiaTheme="majorEastAsia" w:hAnsi="Times New Roman" w:cs="Times New Roman"/>
      <w:i/>
      <w:iCs/>
      <w:caps/>
      <w:spacing w:val="10"/>
      <w:sz w:val="20"/>
      <w:szCs w:val="20"/>
    </w:rPr>
  </w:style>
  <w:style w:type="paragraph" w:customStyle="1" w:styleId="InjuryGreenHead">
    <w:name w:val="Injury Green Head"/>
    <w:basedOn w:val="Normal"/>
    <w:qFormat/>
    <w:rsid w:val="00A87C8A"/>
    <w:pPr>
      <w:ind w:left="2160"/>
    </w:pPr>
    <w:rPr>
      <w:rFonts w:ascii="Arial" w:eastAsiaTheme="minorHAnsi" w:hAnsi="Arial" w:cs="Arial"/>
      <w:b/>
      <w:color w:val="2F7576" w:themeColor="accent1"/>
      <w:lang w:eastAsia="ja-JP"/>
    </w:rPr>
  </w:style>
  <w:style w:type="paragraph" w:customStyle="1" w:styleId="InjuryBodyCopy">
    <w:name w:val="Injury Body Copy"/>
    <w:basedOn w:val="Normal"/>
    <w:qFormat/>
    <w:rsid w:val="00A87C8A"/>
    <w:pPr>
      <w:tabs>
        <w:tab w:val="num" w:pos="720"/>
      </w:tabs>
      <w:ind w:left="-90"/>
    </w:pPr>
    <w:rPr>
      <w:rFonts w:ascii="Georgia" w:eastAsiaTheme="minorHAnsi" w:hAnsi="Georgia"/>
      <w:color w:val="000000" w:themeColor="text1" w:themeShade="BF"/>
      <w:lang w:eastAsia="ja-JP"/>
    </w:rPr>
  </w:style>
  <w:style w:type="paragraph" w:customStyle="1" w:styleId="InjuryIntroText">
    <w:name w:val="Injury Intro Text"/>
    <w:basedOn w:val="Normal"/>
    <w:qFormat/>
    <w:rsid w:val="00A87C8A"/>
    <w:rPr>
      <w:rFonts w:ascii="Arial" w:eastAsiaTheme="minorHAnsi" w:hAnsi="Arial" w:cs="Arial"/>
      <w:color w:val="A5A5A5" w:themeColor="accent3"/>
      <w:sz w:val="30"/>
      <w:szCs w:val="30"/>
      <w:lang w:eastAsia="ja-JP"/>
    </w:rPr>
  </w:style>
  <w:style w:type="paragraph" w:customStyle="1" w:styleId="InjuryTitle">
    <w:name w:val="Injury Title"/>
    <w:basedOn w:val="Normal"/>
    <w:qFormat/>
    <w:rsid w:val="00A87C8A"/>
    <w:pPr>
      <w:spacing w:after="200"/>
    </w:pPr>
    <w:rPr>
      <w:rFonts w:ascii="Arial" w:eastAsiaTheme="minorHAnsi" w:hAnsi="Arial" w:cs="Arial"/>
      <w:noProof/>
    </w:rPr>
  </w:style>
  <w:style w:type="paragraph" w:customStyle="1" w:styleId="InjuryMainTitle">
    <w:name w:val="Injury Main Title"/>
    <w:basedOn w:val="Normal"/>
    <w:qFormat/>
    <w:rsid w:val="00A87C8A"/>
    <w:pPr>
      <w:spacing w:after="200"/>
    </w:pPr>
    <w:rPr>
      <w:rFonts w:ascii="Arial" w:eastAsiaTheme="minorHAnsi" w:hAnsi="Arial" w:cs="Arial"/>
      <w:noProof/>
      <w:color w:val="FFFFFF" w:themeColor="background1"/>
      <w:sz w:val="62"/>
    </w:rPr>
  </w:style>
  <w:style w:type="paragraph" w:customStyle="1" w:styleId="InjurySubtitle">
    <w:name w:val="Injury Subtitle"/>
    <w:basedOn w:val="Normal"/>
    <w:qFormat/>
    <w:rsid w:val="00A87C8A"/>
    <w:pPr>
      <w:spacing w:after="100"/>
    </w:pPr>
    <w:rPr>
      <w:rFonts w:ascii="Arial" w:eastAsiaTheme="minorHAnsi" w:hAnsi="Arial" w:cs="Arial"/>
      <w:b/>
      <w:color w:val="A5A5A5" w:themeColor="accent3"/>
      <w:sz w:val="28"/>
      <w:szCs w:val="28"/>
      <w:lang w:eastAsia="ja-JP"/>
    </w:rPr>
  </w:style>
  <w:style w:type="paragraph" w:styleId="NoSpacing">
    <w:name w:val="No Spacing"/>
    <w:basedOn w:val="Normal"/>
    <w:link w:val="NoSpacingChar"/>
    <w:uiPriority w:val="1"/>
    <w:qFormat/>
    <w:rsid w:val="00573796"/>
    <w:pPr>
      <w:spacing w:line="240" w:lineRule="auto"/>
    </w:pPr>
  </w:style>
  <w:style w:type="character" w:customStyle="1" w:styleId="NoSpacingChar">
    <w:name w:val="No Spacing Char"/>
    <w:basedOn w:val="DefaultParagraphFont"/>
    <w:link w:val="NoSpacing"/>
    <w:uiPriority w:val="1"/>
    <w:rsid w:val="00573796"/>
    <w:rPr>
      <w:rFonts w:ascii="Times New Roman" w:eastAsiaTheme="majorEastAsia" w:hAnsi="Times New Roman" w:cs="Times New Roman"/>
      <w:sz w:val="22"/>
      <w:szCs w:val="22"/>
    </w:rPr>
  </w:style>
  <w:style w:type="paragraph" w:styleId="BalloonText">
    <w:name w:val="Balloon Text"/>
    <w:basedOn w:val="Normal"/>
    <w:link w:val="BalloonTextChar"/>
    <w:uiPriority w:val="99"/>
    <w:semiHidden/>
    <w:unhideWhenUsed/>
    <w:rsid w:val="005737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796"/>
    <w:rPr>
      <w:rFonts w:ascii="Tahoma" w:eastAsiaTheme="majorEastAsia" w:hAnsi="Tahoma" w:cs="Tahoma"/>
      <w:sz w:val="16"/>
      <w:szCs w:val="16"/>
    </w:rPr>
  </w:style>
  <w:style w:type="paragraph" w:styleId="Header">
    <w:name w:val="header"/>
    <w:basedOn w:val="Normal"/>
    <w:link w:val="HeaderChar"/>
    <w:uiPriority w:val="99"/>
    <w:unhideWhenUsed/>
    <w:rsid w:val="00573796"/>
    <w:pPr>
      <w:tabs>
        <w:tab w:val="center" w:pos="4680"/>
        <w:tab w:val="right" w:pos="9360"/>
      </w:tabs>
      <w:spacing w:line="240" w:lineRule="auto"/>
    </w:pPr>
  </w:style>
  <w:style w:type="character" w:customStyle="1" w:styleId="HeaderChar">
    <w:name w:val="Header Char"/>
    <w:basedOn w:val="DefaultParagraphFont"/>
    <w:link w:val="Header"/>
    <w:uiPriority w:val="99"/>
    <w:rsid w:val="00573796"/>
    <w:rPr>
      <w:rFonts w:ascii="Times New Roman" w:eastAsiaTheme="majorEastAsia" w:hAnsi="Times New Roman" w:cs="Times New Roman"/>
      <w:sz w:val="22"/>
      <w:szCs w:val="22"/>
    </w:rPr>
  </w:style>
  <w:style w:type="paragraph" w:styleId="Footer">
    <w:name w:val="footer"/>
    <w:basedOn w:val="Normal"/>
    <w:link w:val="FooterChar"/>
    <w:uiPriority w:val="99"/>
    <w:unhideWhenUsed/>
    <w:rsid w:val="00573796"/>
    <w:pPr>
      <w:tabs>
        <w:tab w:val="center" w:pos="4680"/>
        <w:tab w:val="right" w:pos="9360"/>
      </w:tabs>
      <w:spacing w:line="240" w:lineRule="auto"/>
    </w:pPr>
  </w:style>
  <w:style w:type="character" w:customStyle="1" w:styleId="FooterChar">
    <w:name w:val="Footer Char"/>
    <w:basedOn w:val="DefaultParagraphFont"/>
    <w:link w:val="Footer"/>
    <w:uiPriority w:val="99"/>
    <w:rsid w:val="00573796"/>
    <w:rPr>
      <w:rFonts w:ascii="Times New Roman" w:eastAsiaTheme="majorEastAsia" w:hAnsi="Times New Roman" w:cs="Times New Roman"/>
      <w:sz w:val="22"/>
      <w:szCs w:val="22"/>
    </w:rPr>
  </w:style>
  <w:style w:type="paragraph" w:styleId="TOCHeading">
    <w:name w:val="TOC Heading"/>
    <w:basedOn w:val="Heading1"/>
    <w:next w:val="Normal"/>
    <w:uiPriority w:val="39"/>
    <w:unhideWhenUsed/>
    <w:qFormat/>
    <w:rsid w:val="00573796"/>
    <w:pPr>
      <w:outlineLvl w:val="9"/>
    </w:pPr>
    <w:rPr>
      <w:lang w:bidi="en-US"/>
    </w:rPr>
  </w:style>
  <w:style w:type="paragraph" w:styleId="TOC1">
    <w:name w:val="toc 1"/>
    <w:basedOn w:val="Normal"/>
    <w:next w:val="Normal"/>
    <w:autoRedefine/>
    <w:uiPriority w:val="39"/>
    <w:unhideWhenUsed/>
    <w:rsid w:val="00575DEC"/>
    <w:pPr>
      <w:spacing w:before="120"/>
    </w:pPr>
    <w:rPr>
      <w:rFonts w:ascii="Georgia" w:hAnsi="Georgia" w:cstheme="minorHAnsi"/>
      <w:b/>
      <w:bCs/>
      <w:caps/>
      <w:color w:val="2E74B5" w:themeColor="accent2" w:themeShade="BF"/>
      <w:sz w:val="20"/>
      <w:szCs w:val="20"/>
    </w:rPr>
  </w:style>
  <w:style w:type="paragraph" w:styleId="TOC2">
    <w:name w:val="toc 2"/>
    <w:basedOn w:val="Normal"/>
    <w:next w:val="Normal"/>
    <w:autoRedefine/>
    <w:uiPriority w:val="39"/>
    <w:unhideWhenUsed/>
    <w:rsid w:val="00575DEC"/>
    <w:pPr>
      <w:tabs>
        <w:tab w:val="right" w:leader="dot" w:pos="10080"/>
      </w:tabs>
      <w:ind w:left="220"/>
    </w:pPr>
    <w:rPr>
      <w:rFonts w:ascii="Georgia" w:hAnsi="Georgia" w:cstheme="minorHAnsi"/>
      <w:noProof/>
      <w:color w:val="7F7F7F" w:themeColor="text1" w:themeTint="80"/>
      <w:sz w:val="20"/>
      <w:szCs w:val="20"/>
    </w:rPr>
  </w:style>
  <w:style w:type="character" w:styleId="Hyperlink">
    <w:name w:val="Hyperlink"/>
    <w:basedOn w:val="DefaultParagraphFont"/>
    <w:uiPriority w:val="99"/>
    <w:unhideWhenUsed/>
    <w:rsid w:val="00573796"/>
    <w:rPr>
      <w:color w:val="0563C1" w:themeColor="hyperlink"/>
      <w:u w:val="single"/>
    </w:rPr>
  </w:style>
  <w:style w:type="paragraph" w:styleId="ListParagraph">
    <w:name w:val="List Paragraph"/>
    <w:basedOn w:val="Normal"/>
    <w:link w:val="ListParagraphChar"/>
    <w:uiPriority w:val="34"/>
    <w:qFormat/>
    <w:rsid w:val="00573796"/>
    <w:pPr>
      <w:ind w:left="720"/>
      <w:contextualSpacing/>
    </w:pPr>
  </w:style>
  <w:style w:type="character" w:customStyle="1" w:styleId="ListParagraphChar">
    <w:name w:val="List Paragraph Char"/>
    <w:basedOn w:val="DefaultParagraphFont"/>
    <w:link w:val="ListParagraph"/>
    <w:uiPriority w:val="34"/>
    <w:rsid w:val="00573796"/>
    <w:rPr>
      <w:rFonts w:ascii="Times New Roman" w:eastAsiaTheme="majorEastAsia" w:hAnsi="Times New Roman" w:cs="Times New Roman"/>
      <w:sz w:val="22"/>
      <w:szCs w:val="22"/>
    </w:rPr>
  </w:style>
  <w:style w:type="paragraph" w:styleId="FootnoteText">
    <w:name w:val="footnote text"/>
    <w:aliases w:val="FT"/>
    <w:basedOn w:val="Normal"/>
    <w:link w:val="FootnoteTextChar"/>
    <w:uiPriority w:val="99"/>
    <w:unhideWhenUsed/>
    <w:qFormat/>
    <w:rsid w:val="00B802C4"/>
    <w:pPr>
      <w:spacing w:line="240" w:lineRule="auto"/>
    </w:pPr>
    <w:rPr>
      <w:rFonts w:ascii="Georgia" w:hAnsi="Georgia"/>
      <w:color w:val="7F7F7F" w:themeColor="text1" w:themeTint="80"/>
      <w:sz w:val="20"/>
      <w:szCs w:val="20"/>
    </w:rPr>
  </w:style>
  <w:style w:type="character" w:customStyle="1" w:styleId="FootnoteTextChar">
    <w:name w:val="Footnote Text Char"/>
    <w:aliases w:val="FT Char"/>
    <w:basedOn w:val="DefaultParagraphFont"/>
    <w:link w:val="FootnoteText"/>
    <w:uiPriority w:val="99"/>
    <w:rsid w:val="00B802C4"/>
    <w:rPr>
      <w:rFonts w:ascii="Georgia" w:eastAsiaTheme="majorEastAsia" w:hAnsi="Georgia" w:cs="Times New Roman"/>
      <w:color w:val="7F7F7F" w:themeColor="text1" w:themeTint="80"/>
      <w:sz w:val="20"/>
      <w:szCs w:val="20"/>
    </w:rPr>
  </w:style>
  <w:style w:type="character" w:styleId="FootnoteReference">
    <w:name w:val="footnote reference"/>
    <w:basedOn w:val="DefaultParagraphFont"/>
    <w:uiPriority w:val="99"/>
    <w:unhideWhenUsed/>
    <w:rsid w:val="00573796"/>
    <w:rPr>
      <w:vertAlign w:val="superscript"/>
    </w:rPr>
  </w:style>
  <w:style w:type="character" w:styleId="CommentReference">
    <w:name w:val="annotation reference"/>
    <w:basedOn w:val="DefaultParagraphFont"/>
    <w:uiPriority w:val="99"/>
    <w:semiHidden/>
    <w:unhideWhenUsed/>
    <w:rsid w:val="00573796"/>
    <w:rPr>
      <w:sz w:val="16"/>
      <w:szCs w:val="16"/>
    </w:rPr>
  </w:style>
  <w:style w:type="paragraph" w:styleId="CommentText">
    <w:name w:val="annotation text"/>
    <w:basedOn w:val="Normal"/>
    <w:link w:val="CommentTextChar"/>
    <w:uiPriority w:val="99"/>
    <w:semiHidden/>
    <w:unhideWhenUsed/>
    <w:rsid w:val="00573796"/>
    <w:pPr>
      <w:spacing w:line="240" w:lineRule="auto"/>
    </w:pPr>
    <w:rPr>
      <w:rFonts w:eastAsia="Times New Roman"/>
      <w:sz w:val="20"/>
      <w:szCs w:val="20"/>
    </w:rPr>
  </w:style>
  <w:style w:type="character" w:customStyle="1" w:styleId="CommentTextChar">
    <w:name w:val="Comment Text Char"/>
    <w:basedOn w:val="DefaultParagraphFont"/>
    <w:link w:val="CommentText"/>
    <w:uiPriority w:val="99"/>
    <w:semiHidden/>
    <w:rsid w:val="00573796"/>
    <w:rPr>
      <w:rFonts w:ascii="Times New Roman" w:eastAsia="Times New Roman" w:hAnsi="Times New Roman" w:cs="Times New Roman"/>
      <w:sz w:val="20"/>
      <w:szCs w:val="20"/>
    </w:rPr>
  </w:style>
  <w:style w:type="paragraph" w:customStyle="1" w:styleId="BodyTextNumbered">
    <w:name w:val="Body Text Numbered"/>
    <w:basedOn w:val="Normal"/>
    <w:rsid w:val="00573796"/>
    <w:pPr>
      <w:numPr>
        <w:numId w:val="1"/>
      </w:numPr>
      <w:spacing w:after="400" w:line="360" w:lineRule="auto"/>
    </w:pPr>
    <w:rPr>
      <w:rFonts w:eastAsia="Times New Roman"/>
      <w:sz w:val="24"/>
      <w:szCs w:val="24"/>
    </w:rPr>
  </w:style>
  <w:style w:type="character" w:styleId="FollowedHyperlink">
    <w:name w:val="FollowedHyperlink"/>
    <w:basedOn w:val="DefaultParagraphFont"/>
    <w:uiPriority w:val="99"/>
    <w:semiHidden/>
    <w:unhideWhenUsed/>
    <w:rsid w:val="00573796"/>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73796"/>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73796"/>
    <w:rPr>
      <w:rFonts w:ascii="Times New Roman" w:eastAsiaTheme="minorHAnsi" w:hAnsi="Times New Roman" w:cs="Times New Roman"/>
      <w:b/>
      <w:bCs/>
      <w:sz w:val="20"/>
      <w:szCs w:val="20"/>
    </w:rPr>
  </w:style>
  <w:style w:type="paragraph" w:styleId="TOC3">
    <w:name w:val="toc 3"/>
    <w:basedOn w:val="Normal"/>
    <w:next w:val="Normal"/>
    <w:autoRedefine/>
    <w:uiPriority w:val="39"/>
    <w:unhideWhenUsed/>
    <w:rsid w:val="00573796"/>
    <w:pPr>
      <w:ind w:left="440"/>
    </w:pPr>
    <w:rPr>
      <w:rFonts w:asciiTheme="minorHAnsi" w:hAnsiTheme="minorHAnsi" w:cstheme="minorHAnsi"/>
      <w:i/>
      <w:iCs/>
      <w:sz w:val="20"/>
      <w:szCs w:val="20"/>
    </w:rPr>
  </w:style>
  <w:style w:type="paragraph" w:styleId="Caption">
    <w:name w:val="caption"/>
    <w:basedOn w:val="Normal"/>
    <w:next w:val="Normal"/>
    <w:uiPriority w:val="35"/>
    <w:semiHidden/>
    <w:unhideWhenUsed/>
    <w:qFormat/>
    <w:rsid w:val="00573796"/>
    <w:rPr>
      <w:caps/>
      <w:spacing w:val="10"/>
      <w:sz w:val="18"/>
      <w:szCs w:val="18"/>
    </w:rPr>
  </w:style>
  <w:style w:type="paragraph" w:styleId="Title">
    <w:name w:val="Title"/>
    <w:basedOn w:val="Normal"/>
    <w:next w:val="Normal"/>
    <w:link w:val="TitleChar"/>
    <w:uiPriority w:val="10"/>
    <w:qFormat/>
    <w:rsid w:val="00573796"/>
    <w:pPr>
      <w:pBdr>
        <w:top w:val="dotted" w:sz="2" w:space="1" w:color="1F4E79" w:themeColor="accent2" w:themeShade="80"/>
        <w:bottom w:val="dotted" w:sz="2" w:space="6" w:color="1F4E79" w:themeColor="accent2" w:themeShade="80"/>
      </w:pBdr>
      <w:spacing w:before="500" w:after="300" w:line="240" w:lineRule="auto"/>
      <w:jc w:val="center"/>
    </w:pPr>
    <w:rPr>
      <w:caps/>
      <w:color w:val="1F4E79" w:themeColor="accent2" w:themeShade="80"/>
      <w:spacing w:val="50"/>
      <w:sz w:val="44"/>
      <w:szCs w:val="44"/>
    </w:rPr>
  </w:style>
  <w:style w:type="character" w:customStyle="1" w:styleId="TitleChar">
    <w:name w:val="Title Char"/>
    <w:basedOn w:val="DefaultParagraphFont"/>
    <w:link w:val="Title"/>
    <w:uiPriority w:val="10"/>
    <w:rsid w:val="00573796"/>
    <w:rPr>
      <w:rFonts w:ascii="Times New Roman" w:eastAsiaTheme="majorEastAsia" w:hAnsi="Times New Roman" w:cs="Times New Roman"/>
      <w:caps/>
      <w:color w:val="1F4E79" w:themeColor="accent2" w:themeShade="80"/>
      <w:spacing w:val="50"/>
      <w:sz w:val="44"/>
      <w:szCs w:val="44"/>
    </w:rPr>
  </w:style>
  <w:style w:type="paragraph" w:styleId="Subtitle">
    <w:name w:val="Subtitle"/>
    <w:basedOn w:val="Normal"/>
    <w:next w:val="Normal"/>
    <w:link w:val="SubtitleChar"/>
    <w:uiPriority w:val="11"/>
    <w:qFormat/>
    <w:rsid w:val="0057379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73796"/>
    <w:rPr>
      <w:rFonts w:ascii="Times New Roman" w:eastAsiaTheme="majorEastAsia" w:hAnsi="Times New Roman" w:cs="Times New Roman"/>
      <w:caps/>
      <w:spacing w:val="20"/>
      <w:sz w:val="18"/>
      <w:szCs w:val="18"/>
    </w:rPr>
  </w:style>
  <w:style w:type="character" w:styleId="Strong">
    <w:name w:val="Strong"/>
    <w:uiPriority w:val="22"/>
    <w:qFormat/>
    <w:rsid w:val="00573796"/>
    <w:rPr>
      <w:b/>
      <w:bCs/>
      <w:color w:val="2E74B5" w:themeColor="accent2" w:themeShade="BF"/>
      <w:spacing w:val="5"/>
    </w:rPr>
  </w:style>
  <w:style w:type="character" w:styleId="Emphasis">
    <w:name w:val="Emphasis"/>
    <w:uiPriority w:val="20"/>
    <w:qFormat/>
    <w:rsid w:val="00573796"/>
    <w:rPr>
      <w:caps/>
      <w:spacing w:val="5"/>
      <w:sz w:val="20"/>
      <w:szCs w:val="20"/>
    </w:rPr>
  </w:style>
  <w:style w:type="paragraph" w:styleId="Quote">
    <w:name w:val="Quote"/>
    <w:basedOn w:val="Normal"/>
    <w:next w:val="Normal"/>
    <w:link w:val="QuoteChar"/>
    <w:uiPriority w:val="29"/>
    <w:qFormat/>
    <w:rsid w:val="00573796"/>
    <w:rPr>
      <w:i/>
      <w:iCs/>
    </w:rPr>
  </w:style>
  <w:style w:type="character" w:customStyle="1" w:styleId="QuoteChar">
    <w:name w:val="Quote Char"/>
    <w:basedOn w:val="DefaultParagraphFont"/>
    <w:link w:val="Quote"/>
    <w:uiPriority w:val="29"/>
    <w:rsid w:val="00573796"/>
    <w:rPr>
      <w:rFonts w:ascii="Times New Roman" w:eastAsiaTheme="majorEastAsia" w:hAnsi="Times New Roman" w:cs="Times New Roman"/>
      <w:i/>
      <w:iCs/>
      <w:sz w:val="22"/>
      <w:szCs w:val="22"/>
    </w:rPr>
  </w:style>
  <w:style w:type="paragraph" w:styleId="IntenseQuote">
    <w:name w:val="Intense Quote"/>
    <w:basedOn w:val="Normal"/>
    <w:next w:val="Normal"/>
    <w:link w:val="IntenseQuoteChar"/>
    <w:uiPriority w:val="30"/>
    <w:qFormat/>
    <w:rsid w:val="00573796"/>
    <w:pPr>
      <w:pBdr>
        <w:top w:val="dotted" w:sz="2" w:space="10" w:color="1F4E79" w:themeColor="accent2" w:themeShade="80"/>
        <w:bottom w:val="dotted" w:sz="2" w:space="4" w:color="1F4E79" w:themeColor="accent2" w:themeShade="80"/>
      </w:pBdr>
      <w:spacing w:before="160" w:line="300" w:lineRule="auto"/>
      <w:ind w:left="1440" w:right="1440"/>
    </w:pPr>
    <w:rPr>
      <w:caps/>
      <w:color w:val="1F4D78" w:themeColor="accent2" w:themeShade="7F"/>
      <w:spacing w:val="5"/>
      <w:sz w:val="20"/>
      <w:szCs w:val="20"/>
    </w:rPr>
  </w:style>
  <w:style w:type="character" w:customStyle="1" w:styleId="IntenseQuoteChar">
    <w:name w:val="Intense Quote Char"/>
    <w:basedOn w:val="DefaultParagraphFont"/>
    <w:link w:val="IntenseQuote"/>
    <w:uiPriority w:val="30"/>
    <w:rsid w:val="00573796"/>
    <w:rPr>
      <w:rFonts w:ascii="Times New Roman" w:eastAsiaTheme="majorEastAsia" w:hAnsi="Times New Roman" w:cs="Times New Roman"/>
      <w:caps/>
      <w:color w:val="1F4D78" w:themeColor="accent2" w:themeShade="7F"/>
      <w:spacing w:val="5"/>
      <w:sz w:val="20"/>
      <w:szCs w:val="20"/>
    </w:rPr>
  </w:style>
  <w:style w:type="character" w:styleId="SubtleEmphasis">
    <w:name w:val="Subtle Emphasis"/>
    <w:uiPriority w:val="19"/>
    <w:qFormat/>
    <w:rsid w:val="00573796"/>
    <w:rPr>
      <w:i/>
      <w:iCs/>
    </w:rPr>
  </w:style>
  <w:style w:type="character" w:styleId="IntenseEmphasis">
    <w:name w:val="Intense Emphasis"/>
    <w:uiPriority w:val="21"/>
    <w:qFormat/>
    <w:rsid w:val="00573796"/>
    <w:rPr>
      <w:i/>
      <w:iCs/>
      <w:caps/>
      <w:spacing w:val="10"/>
      <w:sz w:val="20"/>
      <w:szCs w:val="20"/>
    </w:rPr>
  </w:style>
  <w:style w:type="character" w:styleId="SubtleReference">
    <w:name w:val="Subtle Reference"/>
    <w:basedOn w:val="DefaultParagraphFont"/>
    <w:uiPriority w:val="31"/>
    <w:qFormat/>
    <w:rsid w:val="00573796"/>
    <w:rPr>
      <w:rFonts w:asciiTheme="minorHAnsi" w:eastAsiaTheme="minorEastAsia" w:hAnsiTheme="minorHAnsi" w:cstheme="minorBidi"/>
      <w:i/>
      <w:iCs/>
      <w:color w:val="1F4D78" w:themeColor="accent2" w:themeShade="7F"/>
    </w:rPr>
  </w:style>
  <w:style w:type="character" w:styleId="IntenseReference">
    <w:name w:val="Intense Reference"/>
    <w:uiPriority w:val="32"/>
    <w:qFormat/>
    <w:rsid w:val="00573796"/>
    <w:rPr>
      <w:rFonts w:asciiTheme="minorHAnsi" w:eastAsiaTheme="minorEastAsia" w:hAnsiTheme="minorHAnsi" w:cstheme="minorBidi"/>
      <w:b/>
      <w:bCs/>
      <w:i/>
      <w:iCs/>
      <w:color w:val="1F4D78" w:themeColor="accent2" w:themeShade="7F"/>
    </w:rPr>
  </w:style>
  <w:style w:type="character" w:styleId="BookTitle">
    <w:name w:val="Book Title"/>
    <w:uiPriority w:val="33"/>
    <w:qFormat/>
    <w:rsid w:val="00573796"/>
    <w:rPr>
      <w:caps/>
      <w:color w:val="1F4D78" w:themeColor="accent2" w:themeShade="7F"/>
      <w:spacing w:val="5"/>
      <w:u w:color="1F4D78" w:themeColor="accent2" w:themeShade="7F"/>
    </w:rPr>
  </w:style>
  <w:style w:type="character" w:styleId="PlaceholderText">
    <w:name w:val="Placeholder Text"/>
    <w:basedOn w:val="DefaultParagraphFont"/>
    <w:uiPriority w:val="99"/>
    <w:semiHidden/>
    <w:rsid w:val="00573796"/>
    <w:rPr>
      <w:color w:val="808080"/>
    </w:rPr>
  </w:style>
  <w:style w:type="table" w:styleId="TableGrid">
    <w:name w:val="Table Grid"/>
    <w:basedOn w:val="TableNormal"/>
    <w:uiPriority w:val="59"/>
    <w:rsid w:val="00573796"/>
    <w:rPr>
      <w:rFonts w:ascii="Garamond" w:eastAsiaTheme="minorHAnsi" w:hAnsi="Garamond"/>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573796"/>
    <w:rPr>
      <w:rFonts w:eastAsiaTheme="minorHAnsi"/>
      <w:i/>
      <w:noProof/>
      <w:color w:val="2F75B5"/>
      <w:sz w:val="24"/>
      <w:szCs w:val="52"/>
    </w:rPr>
  </w:style>
  <w:style w:type="character" w:customStyle="1" w:styleId="TableHeaderChar">
    <w:name w:val="Table Header Char"/>
    <w:basedOn w:val="DefaultParagraphFont"/>
    <w:link w:val="TableHeader"/>
    <w:rsid w:val="00573796"/>
    <w:rPr>
      <w:rFonts w:ascii="Times New Roman" w:eastAsiaTheme="minorHAnsi" w:hAnsi="Times New Roman" w:cs="Times New Roman"/>
      <w:i/>
      <w:noProof/>
      <w:color w:val="2F75B5"/>
      <w:szCs w:val="52"/>
    </w:rPr>
  </w:style>
  <w:style w:type="paragraph" w:customStyle="1" w:styleId="TableFooter">
    <w:name w:val="Table Footer"/>
    <w:basedOn w:val="Normal"/>
    <w:link w:val="TableFooterChar"/>
    <w:qFormat/>
    <w:rsid w:val="00571D7E"/>
    <w:rPr>
      <w:rFonts w:ascii="Arial" w:eastAsiaTheme="minorHAnsi" w:hAnsi="Arial" w:cstheme="minorBidi"/>
      <w:i/>
      <w:color w:val="7F7F7F" w:themeColor="text1" w:themeTint="80"/>
      <w:sz w:val="18"/>
      <w:szCs w:val="18"/>
    </w:rPr>
  </w:style>
  <w:style w:type="character" w:customStyle="1" w:styleId="TableFooterChar">
    <w:name w:val="Table Footer Char"/>
    <w:basedOn w:val="DefaultParagraphFont"/>
    <w:link w:val="TableFooter"/>
    <w:rsid w:val="00571D7E"/>
    <w:rPr>
      <w:rFonts w:ascii="Arial" w:eastAsiaTheme="minorHAnsi" w:hAnsi="Arial"/>
      <w:i/>
      <w:color w:val="7F7F7F" w:themeColor="text1" w:themeTint="80"/>
      <w:sz w:val="18"/>
      <w:szCs w:val="18"/>
    </w:rPr>
  </w:style>
  <w:style w:type="paragraph" w:styleId="TOC4">
    <w:name w:val="toc 4"/>
    <w:basedOn w:val="Normal"/>
    <w:next w:val="Normal"/>
    <w:autoRedefine/>
    <w:uiPriority w:val="39"/>
    <w:unhideWhenUsed/>
    <w:rsid w:val="00573796"/>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73796"/>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73796"/>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73796"/>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73796"/>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73796"/>
    <w:pPr>
      <w:ind w:left="1760"/>
    </w:pPr>
    <w:rPr>
      <w:rFonts w:asciiTheme="minorHAnsi" w:hAnsiTheme="minorHAnsi" w:cstheme="minorHAnsi"/>
      <w:sz w:val="18"/>
      <w:szCs w:val="18"/>
    </w:rPr>
  </w:style>
  <w:style w:type="character" w:customStyle="1" w:styleId="apple-converted-space">
    <w:name w:val="apple-converted-space"/>
    <w:basedOn w:val="DefaultParagraphFont"/>
    <w:rsid w:val="00573796"/>
  </w:style>
  <w:style w:type="paragraph" w:styleId="NormalWeb">
    <w:name w:val="Normal (Web)"/>
    <w:basedOn w:val="Normal"/>
    <w:uiPriority w:val="99"/>
    <w:semiHidden/>
    <w:unhideWhenUsed/>
    <w:rsid w:val="00573796"/>
    <w:pPr>
      <w:spacing w:before="100" w:beforeAutospacing="1" w:after="100" w:afterAutospacing="1" w:line="240" w:lineRule="auto"/>
    </w:pPr>
    <w:rPr>
      <w:rFonts w:eastAsia="Times New Roman"/>
      <w:sz w:val="24"/>
      <w:szCs w:val="24"/>
    </w:rPr>
  </w:style>
  <w:style w:type="paragraph" w:customStyle="1" w:styleId="CoverPage">
    <w:name w:val="Cover Page"/>
    <w:basedOn w:val="Normal"/>
    <w:link w:val="CoverPageChar"/>
    <w:qFormat/>
    <w:rsid w:val="00573796"/>
    <w:pPr>
      <w:spacing w:line="240" w:lineRule="auto"/>
      <w:jc w:val="center"/>
    </w:pPr>
    <w:rPr>
      <w:rFonts w:eastAsia="Times New Roman"/>
      <w:noProof/>
      <w:sz w:val="52"/>
      <w:szCs w:val="52"/>
    </w:rPr>
  </w:style>
  <w:style w:type="character" w:customStyle="1" w:styleId="CoverPageChar">
    <w:name w:val="Cover Page Char"/>
    <w:basedOn w:val="DefaultParagraphFont"/>
    <w:link w:val="CoverPage"/>
    <w:rsid w:val="00573796"/>
    <w:rPr>
      <w:rFonts w:ascii="Times New Roman" w:eastAsia="Times New Roman" w:hAnsi="Times New Roman" w:cs="Times New Roman"/>
      <w:noProof/>
      <w:sz w:val="52"/>
      <w:szCs w:val="52"/>
    </w:rPr>
  </w:style>
  <w:style w:type="paragraph" w:customStyle="1" w:styleId="CoverRNALogo">
    <w:name w:val="Cover RNA Logo"/>
    <w:basedOn w:val="Normal"/>
    <w:link w:val="CoverRNALogoChar"/>
    <w:qFormat/>
    <w:rsid w:val="00573796"/>
  </w:style>
  <w:style w:type="character" w:customStyle="1" w:styleId="CoverRNALogoChar">
    <w:name w:val="Cover RNA Logo Char"/>
    <w:basedOn w:val="DefaultParagraphFont"/>
    <w:link w:val="CoverRNALogo"/>
    <w:rsid w:val="00573796"/>
    <w:rPr>
      <w:rFonts w:ascii="Times New Roman" w:eastAsiaTheme="majorEastAsia" w:hAnsi="Times New Roman" w:cs="Times New Roman"/>
      <w:sz w:val="22"/>
      <w:szCs w:val="22"/>
    </w:rPr>
  </w:style>
  <w:style w:type="paragraph" w:customStyle="1" w:styleId="NormalBoldUnderline">
    <w:name w:val="Normal Bold Underline"/>
    <w:basedOn w:val="Normal"/>
    <w:link w:val="NormalBoldUnderlineChar"/>
    <w:qFormat/>
    <w:rsid w:val="00573796"/>
  </w:style>
  <w:style w:type="character" w:customStyle="1" w:styleId="NormalBoldUnderlineChar">
    <w:name w:val="Normal Bold Underline Char"/>
    <w:basedOn w:val="DefaultParagraphFont"/>
    <w:link w:val="NormalBoldUnderline"/>
    <w:rsid w:val="00573796"/>
    <w:rPr>
      <w:rFonts w:ascii="Times New Roman" w:eastAsiaTheme="majorEastAsia" w:hAnsi="Times New Roman" w:cs="Times New Roman"/>
      <w:sz w:val="22"/>
      <w:szCs w:val="22"/>
    </w:rPr>
  </w:style>
  <w:style w:type="paragraph" w:customStyle="1" w:styleId="RNAFooter">
    <w:name w:val="RNA Footer"/>
    <w:basedOn w:val="Normal"/>
    <w:link w:val="RNAFooterChar"/>
    <w:qFormat/>
    <w:rsid w:val="00573796"/>
    <w:rPr>
      <w:rFonts w:ascii="Imprint MT Shadow" w:hAnsi="Imprint MT Shadow"/>
      <w:noProof/>
      <w:color w:val="2F75B5"/>
    </w:rPr>
  </w:style>
  <w:style w:type="character" w:customStyle="1" w:styleId="RNAFooterChar">
    <w:name w:val="RNA Footer Char"/>
    <w:basedOn w:val="DefaultParagraphFont"/>
    <w:link w:val="RNAFooter"/>
    <w:rsid w:val="00573796"/>
    <w:rPr>
      <w:rFonts w:ascii="Imprint MT Shadow" w:eastAsiaTheme="majorEastAsia" w:hAnsi="Imprint MT Shadow" w:cs="Times New Roman"/>
      <w:noProof/>
      <w:color w:val="2F75B5"/>
      <w:sz w:val="22"/>
      <w:szCs w:val="22"/>
    </w:rPr>
  </w:style>
  <w:style w:type="paragraph" w:customStyle="1" w:styleId="RNAFootnote1">
    <w:name w:val="RNA Footnote1"/>
    <w:basedOn w:val="FootnoteText"/>
    <w:link w:val="RNAFootnote1Char"/>
    <w:qFormat/>
    <w:rsid w:val="00571D7E"/>
    <w:pPr>
      <w:jc w:val="left"/>
    </w:pPr>
    <w:rPr>
      <w:color w:val="595959" w:themeColor="text1" w:themeTint="A6"/>
      <w:sz w:val="16"/>
      <w:szCs w:val="16"/>
    </w:rPr>
  </w:style>
  <w:style w:type="character" w:customStyle="1" w:styleId="RNAFootnote1Char">
    <w:name w:val="RNA Footnote1 Char"/>
    <w:basedOn w:val="FootnoteTextChar"/>
    <w:link w:val="RNAFootnote1"/>
    <w:rsid w:val="00571D7E"/>
    <w:rPr>
      <w:rFonts w:ascii="Georgia" w:eastAsiaTheme="majorEastAsia" w:hAnsi="Georgia" w:cs="Times New Roman"/>
      <w:color w:val="595959" w:themeColor="text1" w:themeTint="A6"/>
      <w:sz w:val="16"/>
      <w:szCs w:val="16"/>
    </w:rPr>
  </w:style>
  <w:style w:type="paragraph" w:customStyle="1" w:styleId="Conclusion">
    <w:name w:val="Conclusion"/>
    <w:basedOn w:val="Normal"/>
    <w:link w:val="ConclusionChar"/>
    <w:qFormat/>
    <w:rsid w:val="00573796"/>
    <w:pPr>
      <w:jc w:val="center"/>
    </w:pPr>
    <w:rPr>
      <w:b/>
    </w:rPr>
  </w:style>
  <w:style w:type="character" w:customStyle="1" w:styleId="ConclusionChar">
    <w:name w:val="Conclusion Char"/>
    <w:basedOn w:val="DefaultParagraphFont"/>
    <w:link w:val="Conclusion"/>
    <w:rsid w:val="00573796"/>
    <w:rPr>
      <w:rFonts w:ascii="Times New Roman" w:eastAsiaTheme="majorEastAsia" w:hAnsi="Times New Roman" w:cs="Times New Roman"/>
      <w:b/>
      <w:sz w:val="22"/>
      <w:szCs w:val="22"/>
    </w:rPr>
  </w:style>
  <w:style w:type="paragraph" w:customStyle="1" w:styleId="NormalBold">
    <w:name w:val="Normal Bold"/>
    <w:basedOn w:val="Normal"/>
    <w:link w:val="NormalBoldChar"/>
    <w:qFormat/>
    <w:rsid w:val="00573796"/>
    <w:rPr>
      <w:b/>
    </w:rPr>
  </w:style>
  <w:style w:type="character" w:customStyle="1" w:styleId="NormalBoldChar">
    <w:name w:val="Normal Bold Char"/>
    <w:basedOn w:val="DefaultParagraphFont"/>
    <w:link w:val="NormalBold"/>
    <w:rsid w:val="00573796"/>
    <w:rPr>
      <w:rFonts w:ascii="Times New Roman" w:eastAsiaTheme="majorEastAsia" w:hAnsi="Times New Roman" w:cs="Times New Roman"/>
      <w:b/>
      <w:sz w:val="22"/>
      <w:szCs w:val="22"/>
    </w:rPr>
  </w:style>
  <w:style w:type="paragraph" w:customStyle="1" w:styleId="Bullets">
    <w:name w:val="Bullets"/>
    <w:basedOn w:val="ListParagraph"/>
    <w:link w:val="BulletsChar"/>
    <w:qFormat/>
    <w:rsid w:val="00573796"/>
  </w:style>
  <w:style w:type="character" w:customStyle="1" w:styleId="BulletsChar">
    <w:name w:val="Bullets Char"/>
    <w:basedOn w:val="ListParagraphChar"/>
    <w:link w:val="Bullets"/>
    <w:rsid w:val="00573796"/>
    <w:rPr>
      <w:rFonts w:ascii="Times New Roman" w:eastAsiaTheme="majorEastAsia" w:hAnsi="Times New Roman" w:cs="Times New Roman"/>
      <w:sz w:val="22"/>
      <w:szCs w:val="22"/>
    </w:rPr>
  </w:style>
  <w:style w:type="character" w:styleId="PageNumber">
    <w:name w:val="page number"/>
    <w:basedOn w:val="DefaultParagraphFont"/>
    <w:uiPriority w:val="99"/>
    <w:semiHidden/>
    <w:unhideWhenUsed/>
    <w:rsid w:val="00573796"/>
  </w:style>
  <w:style w:type="paragraph" w:customStyle="1" w:styleId="RNABodyCopy">
    <w:name w:val="RNA Body Copy"/>
    <w:basedOn w:val="Normal"/>
    <w:qFormat/>
    <w:rsid w:val="00B802C4"/>
    <w:rPr>
      <w:rFonts w:ascii="Georgia" w:hAnsi="Georgia"/>
      <w:color w:val="595959" w:themeColor="text1" w:themeTint="A6"/>
    </w:rPr>
  </w:style>
  <w:style w:type="paragraph" w:customStyle="1" w:styleId="RNAHeadlineB">
    <w:name w:val="RNA Headline B"/>
    <w:basedOn w:val="NormalBoldUnderline"/>
    <w:link w:val="RNAHeadlineBChar"/>
    <w:qFormat/>
    <w:rsid w:val="007C77D3"/>
    <w:pPr>
      <w:keepNext/>
      <w:spacing w:before="200" w:after="120"/>
    </w:pPr>
    <w:rPr>
      <w:rFonts w:ascii="Arial" w:hAnsi="Arial" w:cs="Arial"/>
      <w:caps/>
      <w:color w:val="2E74B5" w:themeColor="accent2" w:themeShade="BF"/>
      <w:spacing w:val="20"/>
      <w:sz w:val="24"/>
    </w:rPr>
  </w:style>
  <w:style w:type="paragraph" w:customStyle="1" w:styleId="RNABodyCopy-bullets">
    <w:name w:val="RNA Body Copy - bullets"/>
    <w:basedOn w:val="RNABodyCopy"/>
    <w:qFormat/>
    <w:rsid w:val="007C77D3"/>
    <w:pPr>
      <w:numPr>
        <w:numId w:val="19"/>
      </w:numPr>
    </w:pPr>
  </w:style>
  <w:style w:type="paragraph" w:customStyle="1" w:styleId="RNAHeadlineA">
    <w:name w:val="RNA Headline A"/>
    <w:basedOn w:val="Normal"/>
    <w:qFormat/>
    <w:rsid w:val="007C77D3"/>
    <w:pPr>
      <w:spacing w:before="100" w:after="100" w:line="240" w:lineRule="auto"/>
    </w:pPr>
    <w:rPr>
      <w:rFonts w:ascii="Georgia" w:hAnsi="Georgia"/>
      <w:color w:val="DE9C2F" w:themeColor="accent4"/>
      <w:sz w:val="42"/>
      <w:szCs w:val="42"/>
    </w:rPr>
  </w:style>
  <w:style w:type="paragraph" w:customStyle="1" w:styleId="RNAHeadlineD">
    <w:name w:val="RNA Headline D"/>
    <w:basedOn w:val="RNABodyCopy"/>
    <w:qFormat/>
    <w:rsid w:val="00FE3044"/>
    <w:rPr>
      <w:b/>
    </w:rPr>
  </w:style>
  <w:style w:type="paragraph" w:customStyle="1" w:styleId="RNAHeadline3">
    <w:name w:val="RNA Headline 3"/>
    <w:basedOn w:val="Heading3"/>
    <w:qFormat/>
    <w:rsid w:val="00FE3044"/>
  </w:style>
  <w:style w:type="paragraph" w:customStyle="1" w:styleId="RNAIntrotext">
    <w:name w:val="RNA Intro text"/>
    <w:basedOn w:val="Normal"/>
    <w:qFormat/>
    <w:rsid w:val="00FE3044"/>
    <w:pPr>
      <w:spacing w:line="240" w:lineRule="auto"/>
    </w:pPr>
    <w:rPr>
      <w:rFonts w:ascii="Arial" w:hAnsi="Arial" w:cs="Arial"/>
      <w:color w:val="7F7F7F" w:themeColor="text1" w:themeTint="80"/>
      <w:sz w:val="28"/>
      <w:szCs w:val="28"/>
    </w:rPr>
  </w:style>
  <w:style w:type="paragraph" w:customStyle="1" w:styleId="RNABodyCopy-Numbered">
    <w:name w:val="RNA Body Copy - Numbered"/>
    <w:basedOn w:val="RNABodyCopy"/>
    <w:autoRedefine/>
    <w:qFormat/>
    <w:rsid w:val="00C744AA"/>
    <w:pPr>
      <w:numPr>
        <w:numId w:val="21"/>
      </w:numPr>
      <w:ind w:left="1080" w:hanging="720"/>
    </w:pPr>
  </w:style>
  <w:style w:type="paragraph" w:customStyle="1" w:styleId="RNABodyCopy-2ndABClist">
    <w:name w:val="RNA Body Copy - 2nd ABC list"/>
    <w:basedOn w:val="ListParagraph"/>
    <w:qFormat/>
    <w:rsid w:val="000503A9"/>
    <w:pPr>
      <w:numPr>
        <w:ilvl w:val="1"/>
        <w:numId w:val="26"/>
      </w:numPr>
    </w:pPr>
    <w:rPr>
      <w:rFonts w:ascii="Georgia" w:hAnsi="Georgia"/>
      <w:color w:val="595959" w:themeColor="text1" w:themeTint="A6"/>
    </w:rPr>
  </w:style>
  <w:style w:type="paragraph" w:customStyle="1" w:styleId="Footnote1">
    <w:name w:val="Footnote1"/>
    <w:basedOn w:val="FootnoteText"/>
    <w:link w:val="Footnote1Char"/>
    <w:qFormat/>
    <w:rsid w:val="00AA3F4F"/>
    <w:pPr>
      <w:jc w:val="left"/>
    </w:pPr>
    <w:rPr>
      <w:rFonts w:ascii="Times New Roman" w:hAnsi="Times New Roman"/>
      <w:sz w:val="16"/>
    </w:rPr>
  </w:style>
  <w:style w:type="character" w:customStyle="1" w:styleId="Footnote1Char">
    <w:name w:val="Footnote1 Char"/>
    <w:basedOn w:val="FootnoteTextChar"/>
    <w:link w:val="Footnote1"/>
    <w:rsid w:val="00AA3F4F"/>
    <w:rPr>
      <w:rFonts w:ascii="Times New Roman" w:eastAsiaTheme="majorEastAsia" w:hAnsi="Times New Roman" w:cs="Times New Roman"/>
      <w:color w:val="7F7F7F" w:themeColor="text1" w:themeTint="80"/>
      <w:sz w:val="16"/>
      <w:szCs w:val="20"/>
    </w:rPr>
  </w:style>
  <w:style w:type="paragraph" w:styleId="Revision">
    <w:name w:val="Revision"/>
    <w:hidden/>
    <w:uiPriority w:val="99"/>
    <w:semiHidden/>
    <w:rsid w:val="00B03B65"/>
    <w:rPr>
      <w:rFonts w:ascii="Times New Roman" w:eastAsiaTheme="majorEastAsia" w:hAnsi="Times New Roman" w:cs="Times New Roman"/>
      <w:sz w:val="22"/>
      <w:szCs w:val="22"/>
    </w:rPr>
  </w:style>
  <w:style w:type="paragraph" w:customStyle="1" w:styleId="RNA-Heading2">
    <w:name w:val="RNA - Heading 2"/>
    <w:basedOn w:val="RNAHeadlineB"/>
    <w:link w:val="RNA-Heading2Char"/>
    <w:qFormat/>
    <w:rsid w:val="00870F67"/>
    <w:pPr>
      <w:outlineLvl w:val="1"/>
    </w:pPr>
    <w:rPr>
      <w:rFonts w:ascii="Georgia" w:hAnsi="Georgia"/>
    </w:rPr>
  </w:style>
  <w:style w:type="character" w:customStyle="1" w:styleId="RNAHeadlineBChar">
    <w:name w:val="RNA Headline B Char"/>
    <w:basedOn w:val="NormalBoldUnderlineChar"/>
    <w:link w:val="RNAHeadlineB"/>
    <w:rsid w:val="00870F67"/>
    <w:rPr>
      <w:rFonts w:ascii="Arial" w:eastAsiaTheme="majorEastAsia" w:hAnsi="Arial" w:cs="Arial"/>
      <w:caps/>
      <w:color w:val="2E74B5" w:themeColor="accent2" w:themeShade="BF"/>
      <w:spacing w:val="20"/>
      <w:sz w:val="22"/>
      <w:szCs w:val="22"/>
    </w:rPr>
  </w:style>
  <w:style w:type="character" w:customStyle="1" w:styleId="RNA-Heading2Char">
    <w:name w:val="RNA - Heading 2 Char"/>
    <w:basedOn w:val="RNAHeadlineBChar"/>
    <w:link w:val="RNA-Heading2"/>
    <w:rsid w:val="00870F67"/>
    <w:rPr>
      <w:rFonts w:ascii="Georgia" w:eastAsiaTheme="majorEastAsia" w:hAnsi="Georgia" w:cs="Arial"/>
      <w:caps/>
      <w:color w:val="2E74B5" w:themeColor="accent2" w:themeShade="BF"/>
      <w:spacing w:val="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05879">
      <w:bodyDiv w:val="1"/>
      <w:marLeft w:val="0"/>
      <w:marRight w:val="0"/>
      <w:marTop w:val="0"/>
      <w:marBottom w:val="0"/>
      <w:divBdr>
        <w:top w:val="none" w:sz="0" w:space="0" w:color="auto"/>
        <w:left w:val="none" w:sz="0" w:space="0" w:color="auto"/>
        <w:bottom w:val="none" w:sz="0" w:space="0" w:color="auto"/>
        <w:right w:val="none" w:sz="0" w:space="0" w:color="auto"/>
      </w:divBdr>
    </w:div>
    <w:div w:id="575942724">
      <w:bodyDiv w:val="1"/>
      <w:marLeft w:val="0"/>
      <w:marRight w:val="0"/>
      <w:marTop w:val="0"/>
      <w:marBottom w:val="0"/>
      <w:divBdr>
        <w:top w:val="none" w:sz="0" w:space="0" w:color="auto"/>
        <w:left w:val="none" w:sz="0" w:space="0" w:color="auto"/>
        <w:bottom w:val="none" w:sz="0" w:space="0" w:color="auto"/>
        <w:right w:val="none" w:sz="0" w:space="0" w:color="auto"/>
      </w:divBdr>
    </w:div>
    <w:div w:id="758873410">
      <w:bodyDiv w:val="1"/>
      <w:marLeft w:val="0"/>
      <w:marRight w:val="0"/>
      <w:marTop w:val="0"/>
      <w:marBottom w:val="0"/>
      <w:divBdr>
        <w:top w:val="none" w:sz="0" w:space="0" w:color="auto"/>
        <w:left w:val="none" w:sz="0" w:space="0" w:color="auto"/>
        <w:bottom w:val="none" w:sz="0" w:space="0" w:color="auto"/>
        <w:right w:val="none" w:sz="0" w:space="0" w:color="auto"/>
      </w:divBdr>
    </w:div>
    <w:div w:id="1128091697">
      <w:bodyDiv w:val="1"/>
      <w:marLeft w:val="0"/>
      <w:marRight w:val="0"/>
      <w:marTop w:val="0"/>
      <w:marBottom w:val="0"/>
      <w:divBdr>
        <w:top w:val="none" w:sz="0" w:space="0" w:color="auto"/>
        <w:left w:val="none" w:sz="0" w:space="0" w:color="auto"/>
        <w:bottom w:val="none" w:sz="0" w:space="0" w:color="auto"/>
        <w:right w:val="none" w:sz="0" w:space="0" w:color="auto"/>
      </w:divBdr>
    </w:div>
    <w:div w:id="1280604861">
      <w:bodyDiv w:val="1"/>
      <w:marLeft w:val="0"/>
      <w:marRight w:val="0"/>
      <w:marTop w:val="0"/>
      <w:marBottom w:val="0"/>
      <w:divBdr>
        <w:top w:val="none" w:sz="0" w:space="0" w:color="auto"/>
        <w:left w:val="none" w:sz="0" w:space="0" w:color="auto"/>
        <w:bottom w:val="none" w:sz="0" w:space="0" w:color="auto"/>
        <w:right w:val="none" w:sz="0" w:space="0" w:color="auto"/>
      </w:divBdr>
    </w:div>
    <w:div w:id="1430269271">
      <w:bodyDiv w:val="1"/>
      <w:marLeft w:val="0"/>
      <w:marRight w:val="0"/>
      <w:marTop w:val="0"/>
      <w:marBottom w:val="0"/>
      <w:divBdr>
        <w:top w:val="none" w:sz="0" w:space="0" w:color="auto"/>
        <w:left w:val="none" w:sz="0" w:space="0" w:color="auto"/>
        <w:bottom w:val="none" w:sz="0" w:space="0" w:color="auto"/>
        <w:right w:val="none" w:sz="0" w:space="0" w:color="auto"/>
      </w:divBdr>
    </w:div>
    <w:div w:id="1675917273">
      <w:bodyDiv w:val="1"/>
      <w:marLeft w:val="0"/>
      <w:marRight w:val="0"/>
      <w:marTop w:val="0"/>
      <w:marBottom w:val="0"/>
      <w:divBdr>
        <w:top w:val="none" w:sz="0" w:space="0" w:color="auto"/>
        <w:left w:val="none" w:sz="0" w:space="0" w:color="auto"/>
        <w:bottom w:val="none" w:sz="0" w:space="0" w:color="auto"/>
        <w:right w:val="none" w:sz="0" w:space="0" w:color="auto"/>
      </w:divBdr>
    </w:div>
    <w:div w:id="1797865378">
      <w:bodyDiv w:val="1"/>
      <w:marLeft w:val="0"/>
      <w:marRight w:val="0"/>
      <w:marTop w:val="0"/>
      <w:marBottom w:val="0"/>
      <w:divBdr>
        <w:top w:val="none" w:sz="0" w:space="0" w:color="auto"/>
        <w:left w:val="none" w:sz="0" w:space="0" w:color="auto"/>
        <w:bottom w:val="none" w:sz="0" w:space="0" w:color="auto"/>
        <w:right w:val="none" w:sz="0" w:space="0" w:color="auto"/>
      </w:divBdr>
    </w:div>
    <w:div w:id="1855683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RNA_ColorPaletteTheme">
  <a:themeElements>
    <a:clrScheme name="Custom 10">
      <a:dk1>
        <a:sysClr val="windowText" lastClr="000000"/>
      </a:dk1>
      <a:lt1>
        <a:sysClr val="window" lastClr="FFFFFF"/>
      </a:lt1>
      <a:dk2>
        <a:srgbClr val="44546A"/>
      </a:dk2>
      <a:lt2>
        <a:srgbClr val="E7E6E6"/>
      </a:lt2>
      <a:accent1>
        <a:srgbClr val="2F7576"/>
      </a:accent1>
      <a:accent2>
        <a:srgbClr val="5B9BD5"/>
      </a:accent2>
      <a:accent3>
        <a:srgbClr val="A5A5A5"/>
      </a:accent3>
      <a:accent4>
        <a:srgbClr val="DE9C2F"/>
      </a:accent4>
      <a:accent5>
        <a:srgbClr val="A5BBC2"/>
      </a:accent5>
      <a:accent6>
        <a:srgbClr val="9BB876"/>
      </a:accent6>
      <a:hlink>
        <a:srgbClr val="0563C1"/>
      </a:hlink>
      <a:folHlink>
        <a:srgbClr val="954F72"/>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EBFC2-F11E-4FE4-9FE8-2F4D718A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8907</Words>
  <Characters>50771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McCall</dc:creator>
  <cp:lastModifiedBy>Manan Dave</cp:lastModifiedBy>
  <cp:revision>3</cp:revision>
  <cp:lastPrinted>2019-03-07T09:26:00Z</cp:lastPrinted>
  <dcterms:created xsi:type="dcterms:W3CDTF">2019-03-07T09:26:00Z</dcterms:created>
  <dcterms:modified xsi:type="dcterms:W3CDTF">2019-04-15T03:28:00Z</dcterms:modified>
</cp:coreProperties>
</file>