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4267"/>
      </w:tblGrid>
      <w:tr w:rsidR="00D80243" w:rsidRPr="00646B57" w:rsidTr="00E5271C">
        <w:tc>
          <w:tcPr>
            <w:tcW w:w="5482" w:type="dxa"/>
            <w:vAlign w:val="center"/>
          </w:tcPr>
          <w:p w:rsidR="00D80243" w:rsidRPr="00646B57" w:rsidRDefault="00D80243" w:rsidP="00D80243">
            <w:pPr>
              <w:pStyle w:val="Header"/>
              <w:spacing w:after="0" w:line="240" w:lineRule="auto"/>
              <w:rPr>
                <w:rFonts w:cs="Arial"/>
              </w:rPr>
            </w:pPr>
            <w:r w:rsidRPr="00646B57">
              <w:rPr>
                <w:rFonts w:cs="Arial"/>
                <w:noProof/>
              </w:rPr>
              <w:drawing>
                <wp:inline distT="0" distB="0" distL="0" distR="0" wp14:anchorId="1222FA6C" wp14:editId="62EDBC20">
                  <wp:extent cx="2282265" cy="545208"/>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0789" cy="549633"/>
                          </a:xfrm>
                          <a:prstGeom prst="rect">
                            <a:avLst/>
                          </a:prstGeom>
                        </pic:spPr>
                      </pic:pic>
                    </a:graphicData>
                  </a:graphic>
                </wp:inline>
              </w:drawing>
            </w:r>
          </w:p>
        </w:tc>
        <w:tc>
          <w:tcPr>
            <w:tcW w:w="4267" w:type="dxa"/>
            <w:vAlign w:val="center"/>
          </w:tcPr>
          <w:p w:rsidR="00D80243" w:rsidRPr="00646B57" w:rsidRDefault="00D80243" w:rsidP="00D80243">
            <w:pPr>
              <w:pStyle w:val="Header"/>
              <w:spacing w:before="100" w:after="0" w:line="240" w:lineRule="auto"/>
              <w:ind w:right="144"/>
              <w:jc w:val="right"/>
              <w:rPr>
                <w:rFonts w:cs="Arial"/>
                <w:sz w:val="40"/>
                <w:szCs w:val="40"/>
              </w:rPr>
            </w:pPr>
            <w:r w:rsidRPr="00646B57">
              <w:rPr>
                <w:rFonts w:cs="Arial"/>
                <w:color w:val="585858" w:themeColor="text1" w:themeTint="BF"/>
                <w:sz w:val="40"/>
                <w:szCs w:val="40"/>
              </w:rPr>
              <w:t>acuitykp.com</w:t>
            </w:r>
          </w:p>
        </w:tc>
      </w:tr>
      <w:tr w:rsidR="00D80243" w:rsidRPr="00646B57" w:rsidTr="0086032F">
        <w:tc>
          <w:tcPr>
            <w:tcW w:w="5482" w:type="dxa"/>
            <w:vAlign w:val="center"/>
          </w:tcPr>
          <w:p w:rsidR="00D80243" w:rsidRPr="00646B57" w:rsidRDefault="00D80243" w:rsidP="0086032F">
            <w:pPr>
              <w:spacing w:after="0" w:line="240" w:lineRule="auto"/>
              <w:jc w:val="right"/>
              <w:rPr>
                <w:noProof/>
              </w:rPr>
            </w:pPr>
          </w:p>
        </w:tc>
        <w:tc>
          <w:tcPr>
            <w:tcW w:w="4267" w:type="dxa"/>
            <w:vAlign w:val="center"/>
          </w:tcPr>
          <w:p w:rsidR="00D80243" w:rsidRPr="00646B57" w:rsidRDefault="00D80243" w:rsidP="0086032F">
            <w:pPr>
              <w:spacing w:after="0" w:line="240" w:lineRule="auto"/>
              <w:jc w:val="right"/>
            </w:pPr>
          </w:p>
        </w:tc>
      </w:tr>
      <w:tr w:rsidR="00D80243" w:rsidRPr="00646B57" w:rsidTr="0086032F">
        <w:trPr>
          <w:trHeight w:val="4378"/>
        </w:trPr>
        <w:tc>
          <w:tcPr>
            <w:tcW w:w="9749" w:type="dxa"/>
            <w:gridSpan w:val="2"/>
            <w:tcMar>
              <w:left w:w="0" w:type="dxa"/>
              <w:right w:w="0" w:type="dxa"/>
            </w:tcMar>
            <w:vAlign w:val="center"/>
          </w:tcPr>
          <w:p w:rsidR="00D80243" w:rsidRPr="00D80243" w:rsidRDefault="00D80243" w:rsidP="0086032F">
            <w:pPr>
              <w:spacing w:before="5000"/>
              <w:rPr>
                <w:lang w:val="en-GB"/>
              </w:rPr>
            </w:pPr>
          </w:p>
        </w:tc>
      </w:tr>
      <w:tr w:rsidR="0086032F" w:rsidRPr="00646B57" w:rsidTr="0086032F">
        <w:trPr>
          <w:trHeight w:val="2160"/>
        </w:trPr>
        <w:tc>
          <w:tcPr>
            <w:tcW w:w="9749" w:type="dxa"/>
            <w:gridSpan w:val="2"/>
            <w:tcBorders>
              <w:bottom w:val="single" w:sz="4" w:space="0" w:color="auto"/>
            </w:tcBorders>
            <w:tcMar>
              <w:left w:w="0" w:type="dxa"/>
              <w:right w:w="0" w:type="dxa"/>
            </w:tcMar>
            <w:vAlign w:val="bottom"/>
          </w:tcPr>
          <w:p w:rsidR="0086032F" w:rsidRDefault="001F547B" w:rsidP="0086032F">
            <w:pPr>
              <w:pStyle w:val="CoverTitle"/>
              <w:jc w:val="left"/>
              <w:rPr>
                <w:lang w:val="en-GB"/>
              </w:rPr>
            </w:pPr>
            <w:r w:rsidRPr="001F547B">
              <w:rPr>
                <w:lang w:val="en-GB"/>
              </w:rPr>
              <w:t>PURCHASE PRICE ALLOCATION</w:t>
            </w:r>
          </w:p>
          <w:p w:rsidR="00F97264" w:rsidRPr="0045792C" w:rsidRDefault="00115975" w:rsidP="0086032F">
            <w:pPr>
              <w:pStyle w:val="CoverTitle"/>
              <w:jc w:val="left"/>
              <w:rPr>
                <w:lang w:val="en-GB"/>
              </w:rPr>
            </w:pPr>
            <w:r>
              <w:rPr>
                <w:lang w:val="en-GB"/>
              </w:rPr>
              <w:t>[</w:t>
            </w:r>
            <w:r w:rsidR="00F97264">
              <w:rPr>
                <w:lang w:val="en-GB"/>
              </w:rPr>
              <w:t>ABC CORPORATION</w:t>
            </w:r>
            <w:r>
              <w:rPr>
                <w:lang w:val="en-GB"/>
              </w:rPr>
              <w:t>]</w:t>
            </w:r>
          </w:p>
        </w:tc>
      </w:tr>
      <w:tr w:rsidR="0086032F" w:rsidRPr="00646B57" w:rsidTr="0086032F">
        <w:trPr>
          <w:trHeight w:val="576"/>
        </w:trPr>
        <w:tc>
          <w:tcPr>
            <w:tcW w:w="9749" w:type="dxa"/>
            <w:gridSpan w:val="2"/>
            <w:tcBorders>
              <w:top w:val="single" w:sz="4" w:space="0" w:color="auto"/>
            </w:tcBorders>
            <w:tcMar>
              <w:left w:w="0" w:type="dxa"/>
              <w:right w:w="0" w:type="dxa"/>
            </w:tcMar>
            <w:vAlign w:val="center"/>
          </w:tcPr>
          <w:p w:rsidR="0086032F" w:rsidRPr="004B7127" w:rsidRDefault="0086032F" w:rsidP="0086032F">
            <w:pPr>
              <w:pStyle w:val="CoverPreparedFor"/>
              <w:rPr>
                <w:lang w:val="en-GB"/>
              </w:rPr>
            </w:pPr>
            <w:r w:rsidRPr="0086032F">
              <w:rPr>
                <w:lang w:val="en-GB"/>
              </w:rPr>
              <w:t>prepared for</w:t>
            </w:r>
            <w:r w:rsidR="007E5C74">
              <w:rPr>
                <w:lang w:val="en-GB"/>
              </w:rPr>
              <w:t xml:space="preserve"> </w:t>
            </w:r>
            <w:r w:rsidR="0002443C">
              <w:rPr>
                <w:lang w:val="en-GB"/>
              </w:rPr>
              <w:t>[</w:t>
            </w:r>
            <w:r w:rsidR="007E5C74">
              <w:rPr>
                <w:lang w:val="en-GB"/>
              </w:rPr>
              <w:t>ADVISORS</w:t>
            </w:r>
            <w:r w:rsidR="0002443C">
              <w:rPr>
                <w:lang w:val="en-GB"/>
              </w:rPr>
              <w:t>]</w:t>
            </w:r>
          </w:p>
        </w:tc>
      </w:tr>
      <w:tr w:rsidR="0086032F" w:rsidRPr="00646B57" w:rsidTr="0086032F">
        <w:trPr>
          <w:trHeight w:val="1584"/>
        </w:trPr>
        <w:tc>
          <w:tcPr>
            <w:tcW w:w="9749" w:type="dxa"/>
            <w:gridSpan w:val="2"/>
            <w:tcBorders>
              <w:bottom w:val="single" w:sz="2" w:space="0" w:color="auto"/>
            </w:tcBorders>
            <w:tcMar>
              <w:top w:w="72" w:type="dxa"/>
              <w:left w:w="0" w:type="dxa"/>
              <w:bottom w:w="72" w:type="dxa"/>
              <w:right w:w="0" w:type="dxa"/>
            </w:tcMar>
          </w:tcPr>
          <w:p w:rsidR="0086032F" w:rsidRPr="004B7127" w:rsidRDefault="007E5C74" w:rsidP="007E5C74">
            <w:pPr>
              <w:pStyle w:val="CoverDateLineBelow"/>
              <w:jc w:val="right"/>
              <w:rPr>
                <w:lang w:val="en-GB"/>
              </w:rPr>
            </w:pPr>
            <w:r>
              <w:rPr>
                <w:lang w:val="en-GB"/>
              </w:rPr>
              <w:t>15</w:t>
            </w:r>
            <w:r w:rsidR="0086032F" w:rsidRPr="0086032F">
              <w:rPr>
                <w:lang w:val="en-GB"/>
              </w:rPr>
              <w:t>-</w:t>
            </w:r>
            <w:r>
              <w:rPr>
                <w:lang w:val="en-GB"/>
              </w:rPr>
              <w:t>July</w:t>
            </w:r>
            <w:r w:rsidR="0086032F" w:rsidRPr="0086032F">
              <w:rPr>
                <w:lang w:val="en-GB"/>
              </w:rPr>
              <w:t>-</w:t>
            </w:r>
            <w:r>
              <w:rPr>
                <w:lang w:val="en-GB"/>
              </w:rPr>
              <w:t>20</w:t>
            </w:r>
          </w:p>
        </w:tc>
      </w:tr>
    </w:tbl>
    <w:p w:rsidR="006D4E21" w:rsidRDefault="006D4E21" w:rsidP="0086032F">
      <w:pPr>
        <w:spacing w:before="200"/>
        <w:rPr>
          <w:lang w:val="en-GB"/>
        </w:rPr>
      </w:pPr>
    </w:p>
    <w:p w:rsidR="0086032F" w:rsidRPr="004B7127" w:rsidRDefault="0086032F" w:rsidP="0086032F">
      <w:pPr>
        <w:spacing w:before="200"/>
        <w:rPr>
          <w:lang w:val="en-GB"/>
        </w:rPr>
        <w:sectPr w:rsidR="0086032F" w:rsidRPr="004B7127" w:rsidSect="00106393">
          <w:headerReference w:type="even" r:id="rId9"/>
          <w:headerReference w:type="default" r:id="rId10"/>
          <w:footerReference w:type="even" r:id="rId11"/>
          <w:footerReference w:type="default" r:id="rId12"/>
          <w:headerReference w:type="first" r:id="rId13"/>
          <w:footerReference w:type="first" r:id="rId14"/>
          <w:pgSz w:w="11909" w:h="16834" w:code="9"/>
          <w:pgMar w:top="1080" w:right="1080" w:bottom="1080" w:left="1080" w:header="720" w:footer="720" w:gutter="0"/>
          <w:cols w:space="720"/>
          <w:titlePg/>
          <w:docGrid w:linePitch="360"/>
        </w:sectPr>
      </w:pPr>
    </w:p>
    <w:p w:rsidR="001818DA" w:rsidRPr="004B7127" w:rsidRDefault="006F17B7" w:rsidP="0045792C">
      <w:pPr>
        <w:pStyle w:val="TOCHeading"/>
        <w:spacing w:before="0"/>
        <w:rPr>
          <w:lang w:val="en-GB"/>
        </w:rPr>
      </w:pPr>
      <w:r w:rsidRPr="004B7127">
        <w:rPr>
          <w:lang w:val="en-GB"/>
        </w:rPr>
        <w:lastRenderedPageBreak/>
        <w:t>Table of</w:t>
      </w:r>
      <w:r w:rsidR="001818DA" w:rsidRPr="004B7127">
        <w:rPr>
          <w:lang w:val="en-GB"/>
        </w:rPr>
        <w:t xml:space="preserve"> Contents</w:t>
      </w:r>
    </w:p>
    <w:p w:rsidR="001F0307" w:rsidRPr="004B7127" w:rsidRDefault="00F42520">
      <w:pPr>
        <w:pStyle w:val="TOC1"/>
        <w:rPr>
          <w:rFonts w:ascii="Calibri" w:eastAsia="Times New Roman" w:hAnsi="Calibri"/>
          <w:noProof w:val="0"/>
          <w:lang w:val="en-GB"/>
        </w:rPr>
      </w:pPr>
      <w:r w:rsidRPr="004B7127">
        <w:rPr>
          <w:noProof w:val="0"/>
          <w:lang w:val="en-GB"/>
        </w:rPr>
        <w:fldChar w:fldCharType="begin"/>
      </w:r>
      <w:r w:rsidRPr="004B7127">
        <w:rPr>
          <w:noProof w:val="0"/>
          <w:lang w:val="en-GB"/>
        </w:rPr>
        <w:instrText xml:space="preserve"> TOC \o "1-3" \h \z \u </w:instrText>
      </w:r>
      <w:r w:rsidRPr="004B7127">
        <w:rPr>
          <w:noProof w:val="0"/>
          <w:lang w:val="en-GB"/>
        </w:rPr>
        <w:fldChar w:fldCharType="separate"/>
      </w:r>
      <w:hyperlink w:anchor="_Toc245209879" w:history="1">
        <w:r w:rsidR="001F0307" w:rsidRPr="004B7127">
          <w:rPr>
            <w:rStyle w:val="Hyperlink"/>
            <w:noProof w:val="0"/>
            <w:lang w:val="en-GB"/>
          </w:rPr>
          <w:t>Executive Summary</w:t>
        </w:r>
        <w:r w:rsidR="001F0307" w:rsidRPr="004B7127">
          <w:rPr>
            <w:noProof w:val="0"/>
            <w:webHidden/>
            <w:lang w:val="en-GB"/>
          </w:rPr>
          <w:tab/>
        </w:r>
        <w:r w:rsidR="001F0307" w:rsidRPr="004B7127">
          <w:rPr>
            <w:noProof w:val="0"/>
            <w:webHidden/>
            <w:lang w:val="en-GB"/>
          </w:rPr>
          <w:fldChar w:fldCharType="begin"/>
        </w:r>
        <w:r w:rsidR="001F0307" w:rsidRPr="004B7127">
          <w:rPr>
            <w:noProof w:val="0"/>
            <w:webHidden/>
            <w:lang w:val="en-GB"/>
          </w:rPr>
          <w:instrText xml:space="preserve"> PAGEREF _Toc245209879 \h </w:instrText>
        </w:r>
        <w:r w:rsidR="001F0307" w:rsidRPr="004B7127">
          <w:rPr>
            <w:noProof w:val="0"/>
            <w:webHidden/>
            <w:lang w:val="en-GB"/>
          </w:rPr>
        </w:r>
        <w:r w:rsidR="001F0307" w:rsidRPr="004B7127">
          <w:rPr>
            <w:noProof w:val="0"/>
            <w:webHidden/>
            <w:lang w:val="en-GB"/>
          </w:rPr>
          <w:fldChar w:fldCharType="separate"/>
        </w:r>
        <w:r w:rsidR="00A24E6B">
          <w:rPr>
            <w:webHidden/>
            <w:lang w:val="en-GB"/>
          </w:rPr>
          <w:t>3</w:t>
        </w:r>
        <w:r w:rsidR="001F0307" w:rsidRPr="004B7127">
          <w:rPr>
            <w:noProof w:val="0"/>
            <w:webHidden/>
            <w:lang w:val="en-GB"/>
          </w:rPr>
          <w:fldChar w:fldCharType="end"/>
        </w:r>
      </w:hyperlink>
    </w:p>
    <w:p w:rsidR="001F0307" w:rsidRPr="004B7127" w:rsidRDefault="00CB245E">
      <w:pPr>
        <w:pStyle w:val="TOC1"/>
        <w:rPr>
          <w:rFonts w:ascii="Calibri" w:eastAsia="Times New Roman" w:hAnsi="Calibri"/>
          <w:noProof w:val="0"/>
          <w:lang w:val="en-GB"/>
        </w:rPr>
      </w:pPr>
      <w:hyperlink w:anchor="_Toc245209880" w:history="1">
        <w:r w:rsidR="001F0307" w:rsidRPr="004B7127">
          <w:rPr>
            <w:rStyle w:val="Hyperlink"/>
            <w:noProof w:val="0"/>
            <w:lang w:val="en-GB"/>
          </w:rPr>
          <w:t>Level 1 Heading</w:t>
        </w:r>
        <w:r w:rsidR="001F0307" w:rsidRPr="004B7127">
          <w:rPr>
            <w:noProof w:val="0"/>
            <w:webHidden/>
            <w:lang w:val="en-GB"/>
          </w:rPr>
          <w:tab/>
        </w:r>
        <w:r w:rsidR="001F0307" w:rsidRPr="004B7127">
          <w:rPr>
            <w:noProof w:val="0"/>
            <w:webHidden/>
            <w:lang w:val="en-GB"/>
          </w:rPr>
          <w:fldChar w:fldCharType="begin"/>
        </w:r>
        <w:r w:rsidR="001F0307" w:rsidRPr="004B7127">
          <w:rPr>
            <w:noProof w:val="0"/>
            <w:webHidden/>
            <w:lang w:val="en-GB"/>
          </w:rPr>
          <w:instrText xml:space="preserve"> PAGEREF _Toc245209880 \h </w:instrText>
        </w:r>
        <w:r w:rsidR="001F0307" w:rsidRPr="004B7127">
          <w:rPr>
            <w:noProof w:val="0"/>
            <w:webHidden/>
            <w:lang w:val="en-GB"/>
          </w:rPr>
        </w:r>
        <w:r w:rsidR="001F0307" w:rsidRPr="004B7127">
          <w:rPr>
            <w:noProof w:val="0"/>
            <w:webHidden/>
            <w:lang w:val="en-GB"/>
          </w:rPr>
          <w:fldChar w:fldCharType="separate"/>
        </w:r>
        <w:r w:rsidR="00A24E6B">
          <w:rPr>
            <w:webHidden/>
            <w:lang w:val="en-GB"/>
          </w:rPr>
          <w:t>4</w:t>
        </w:r>
        <w:r w:rsidR="001F0307" w:rsidRPr="004B7127">
          <w:rPr>
            <w:noProof w:val="0"/>
            <w:webHidden/>
            <w:lang w:val="en-GB"/>
          </w:rPr>
          <w:fldChar w:fldCharType="end"/>
        </w:r>
      </w:hyperlink>
    </w:p>
    <w:p w:rsidR="001F0307" w:rsidRPr="004B7127" w:rsidRDefault="00CB245E">
      <w:pPr>
        <w:pStyle w:val="TOC2"/>
        <w:tabs>
          <w:tab w:val="right" w:leader="dot" w:pos="9739"/>
        </w:tabs>
        <w:rPr>
          <w:rFonts w:ascii="Calibri" w:eastAsia="Times New Roman" w:hAnsi="Calibri"/>
          <w:lang w:val="en-GB"/>
        </w:rPr>
      </w:pPr>
      <w:hyperlink w:anchor="_Toc245209881" w:history="1">
        <w:r w:rsidR="001F0307" w:rsidRPr="004B7127">
          <w:rPr>
            <w:rStyle w:val="Hyperlink"/>
            <w:lang w:val="en-GB"/>
          </w:rPr>
          <w:t>Level 2 Heading</w:t>
        </w:r>
        <w:r w:rsidR="001F0307" w:rsidRPr="004B7127">
          <w:rPr>
            <w:webHidden/>
            <w:lang w:val="en-GB"/>
          </w:rPr>
          <w:tab/>
        </w:r>
        <w:r w:rsidR="001F0307" w:rsidRPr="004B7127">
          <w:rPr>
            <w:webHidden/>
            <w:lang w:val="en-GB"/>
          </w:rPr>
          <w:fldChar w:fldCharType="begin"/>
        </w:r>
        <w:r w:rsidR="001F0307" w:rsidRPr="004B7127">
          <w:rPr>
            <w:webHidden/>
            <w:lang w:val="en-GB"/>
          </w:rPr>
          <w:instrText xml:space="preserve"> PAGEREF _Toc245209881 \h </w:instrText>
        </w:r>
        <w:r w:rsidR="001F0307" w:rsidRPr="004B7127">
          <w:rPr>
            <w:webHidden/>
            <w:lang w:val="en-GB"/>
          </w:rPr>
        </w:r>
        <w:r w:rsidR="001F0307" w:rsidRPr="004B7127">
          <w:rPr>
            <w:webHidden/>
            <w:lang w:val="en-GB"/>
          </w:rPr>
          <w:fldChar w:fldCharType="separate"/>
        </w:r>
        <w:r w:rsidR="00A24E6B">
          <w:rPr>
            <w:noProof/>
            <w:webHidden/>
            <w:lang w:val="en-GB"/>
          </w:rPr>
          <w:t>4</w:t>
        </w:r>
        <w:r w:rsidR="001F0307" w:rsidRPr="004B7127">
          <w:rPr>
            <w:webHidden/>
            <w:lang w:val="en-GB"/>
          </w:rPr>
          <w:fldChar w:fldCharType="end"/>
        </w:r>
      </w:hyperlink>
    </w:p>
    <w:p w:rsidR="001F0307" w:rsidRPr="004B7127" w:rsidRDefault="00CB245E">
      <w:pPr>
        <w:pStyle w:val="TOC3"/>
        <w:tabs>
          <w:tab w:val="right" w:leader="dot" w:pos="9739"/>
        </w:tabs>
        <w:rPr>
          <w:rFonts w:ascii="Calibri" w:eastAsia="Times New Roman" w:hAnsi="Calibri"/>
          <w:sz w:val="22"/>
          <w:lang w:val="en-GB"/>
        </w:rPr>
      </w:pPr>
      <w:hyperlink w:anchor="_Toc245209882" w:history="1">
        <w:r w:rsidR="001F0307" w:rsidRPr="004B7127">
          <w:rPr>
            <w:rStyle w:val="Hyperlink"/>
            <w:lang w:val="en-GB"/>
          </w:rPr>
          <w:t>Level 3 Heading</w:t>
        </w:r>
        <w:r w:rsidR="001F0307" w:rsidRPr="004B7127">
          <w:rPr>
            <w:webHidden/>
            <w:lang w:val="en-GB"/>
          </w:rPr>
          <w:tab/>
        </w:r>
        <w:r w:rsidR="001F0307" w:rsidRPr="004B7127">
          <w:rPr>
            <w:webHidden/>
            <w:lang w:val="en-GB"/>
          </w:rPr>
          <w:fldChar w:fldCharType="begin"/>
        </w:r>
        <w:r w:rsidR="001F0307" w:rsidRPr="004B7127">
          <w:rPr>
            <w:webHidden/>
            <w:lang w:val="en-GB"/>
          </w:rPr>
          <w:instrText xml:space="preserve"> PAGEREF _Toc245209882 \h </w:instrText>
        </w:r>
        <w:r w:rsidR="001F0307" w:rsidRPr="004B7127">
          <w:rPr>
            <w:webHidden/>
            <w:lang w:val="en-GB"/>
          </w:rPr>
        </w:r>
        <w:r w:rsidR="001F0307" w:rsidRPr="004B7127">
          <w:rPr>
            <w:webHidden/>
            <w:lang w:val="en-GB"/>
          </w:rPr>
          <w:fldChar w:fldCharType="separate"/>
        </w:r>
        <w:r w:rsidR="00A24E6B">
          <w:rPr>
            <w:noProof/>
            <w:webHidden/>
            <w:lang w:val="en-GB"/>
          </w:rPr>
          <w:t>4</w:t>
        </w:r>
        <w:r w:rsidR="001F0307" w:rsidRPr="004B7127">
          <w:rPr>
            <w:webHidden/>
            <w:lang w:val="en-GB"/>
          </w:rPr>
          <w:fldChar w:fldCharType="end"/>
        </w:r>
      </w:hyperlink>
    </w:p>
    <w:p w:rsidR="001F0307" w:rsidRPr="004B7127" w:rsidRDefault="00CB245E">
      <w:pPr>
        <w:pStyle w:val="TOC1"/>
        <w:rPr>
          <w:rFonts w:ascii="Calibri" w:eastAsia="Times New Roman" w:hAnsi="Calibri"/>
          <w:noProof w:val="0"/>
          <w:lang w:val="en-GB"/>
        </w:rPr>
      </w:pPr>
      <w:hyperlink w:anchor="_Toc245209883" w:history="1">
        <w:r w:rsidR="001F0307" w:rsidRPr="004B7127">
          <w:rPr>
            <w:rStyle w:val="Hyperlink"/>
            <w:noProof w:val="0"/>
            <w:lang w:val="en-GB"/>
          </w:rPr>
          <w:t>Level 1 Heading</w:t>
        </w:r>
        <w:r w:rsidR="001F0307" w:rsidRPr="004B7127">
          <w:rPr>
            <w:noProof w:val="0"/>
            <w:webHidden/>
            <w:lang w:val="en-GB"/>
          </w:rPr>
          <w:tab/>
        </w:r>
        <w:r w:rsidR="001F0307" w:rsidRPr="004B7127">
          <w:rPr>
            <w:noProof w:val="0"/>
            <w:webHidden/>
            <w:lang w:val="en-GB"/>
          </w:rPr>
          <w:fldChar w:fldCharType="begin"/>
        </w:r>
        <w:r w:rsidR="001F0307" w:rsidRPr="004B7127">
          <w:rPr>
            <w:noProof w:val="0"/>
            <w:webHidden/>
            <w:lang w:val="en-GB"/>
          </w:rPr>
          <w:instrText xml:space="preserve"> PAGEREF _Toc245209883 \h </w:instrText>
        </w:r>
        <w:r w:rsidR="001F0307" w:rsidRPr="004B7127">
          <w:rPr>
            <w:noProof w:val="0"/>
            <w:webHidden/>
            <w:lang w:val="en-GB"/>
          </w:rPr>
        </w:r>
        <w:r w:rsidR="001F0307" w:rsidRPr="004B7127">
          <w:rPr>
            <w:noProof w:val="0"/>
            <w:webHidden/>
            <w:lang w:val="en-GB"/>
          </w:rPr>
          <w:fldChar w:fldCharType="separate"/>
        </w:r>
        <w:r w:rsidR="00A24E6B">
          <w:rPr>
            <w:webHidden/>
            <w:lang w:val="en-GB"/>
          </w:rPr>
          <w:t>5</w:t>
        </w:r>
        <w:r w:rsidR="001F0307" w:rsidRPr="004B7127">
          <w:rPr>
            <w:noProof w:val="0"/>
            <w:webHidden/>
            <w:lang w:val="en-GB"/>
          </w:rPr>
          <w:fldChar w:fldCharType="end"/>
        </w:r>
      </w:hyperlink>
    </w:p>
    <w:p w:rsidR="001F0307" w:rsidRPr="004B7127" w:rsidRDefault="00CB245E">
      <w:pPr>
        <w:pStyle w:val="TOC2"/>
        <w:tabs>
          <w:tab w:val="right" w:leader="dot" w:pos="9739"/>
        </w:tabs>
        <w:rPr>
          <w:rFonts w:ascii="Calibri" w:eastAsia="Times New Roman" w:hAnsi="Calibri"/>
          <w:lang w:val="en-GB"/>
        </w:rPr>
      </w:pPr>
      <w:hyperlink w:anchor="_Toc245209884" w:history="1">
        <w:r w:rsidR="001F0307" w:rsidRPr="004B7127">
          <w:rPr>
            <w:rStyle w:val="Hyperlink"/>
            <w:lang w:val="en-GB"/>
          </w:rPr>
          <w:t>Level 2 Heading</w:t>
        </w:r>
        <w:r w:rsidR="001F0307" w:rsidRPr="004B7127">
          <w:rPr>
            <w:webHidden/>
            <w:lang w:val="en-GB"/>
          </w:rPr>
          <w:tab/>
        </w:r>
        <w:r w:rsidR="001F0307" w:rsidRPr="004B7127">
          <w:rPr>
            <w:webHidden/>
            <w:lang w:val="en-GB"/>
          </w:rPr>
          <w:fldChar w:fldCharType="begin"/>
        </w:r>
        <w:r w:rsidR="001F0307" w:rsidRPr="004B7127">
          <w:rPr>
            <w:webHidden/>
            <w:lang w:val="en-GB"/>
          </w:rPr>
          <w:instrText xml:space="preserve"> PAGEREF _Toc245209884 \h </w:instrText>
        </w:r>
        <w:r w:rsidR="001F0307" w:rsidRPr="004B7127">
          <w:rPr>
            <w:webHidden/>
            <w:lang w:val="en-GB"/>
          </w:rPr>
        </w:r>
        <w:r w:rsidR="001F0307" w:rsidRPr="004B7127">
          <w:rPr>
            <w:webHidden/>
            <w:lang w:val="en-GB"/>
          </w:rPr>
          <w:fldChar w:fldCharType="separate"/>
        </w:r>
        <w:r w:rsidR="00A24E6B">
          <w:rPr>
            <w:noProof/>
            <w:webHidden/>
            <w:lang w:val="en-GB"/>
          </w:rPr>
          <w:t>5</w:t>
        </w:r>
        <w:r w:rsidR="001F0307" w:rsidRPr="004B7127">
          <w:rPr>
            <w:webHidden/>
            <w:lang w:val="en-GB"/>
          </w:rPr>
          <w:fldChar w:fldCharType="end"/>
        </w:r>
      </w:hyperlink>
    </w:p>
    <w:p w:rsidR="00973971" w:rsidRPr="004B7127" w:rsidRDefault="00F42520" w:rsidP="00703EB1">
      <w:pPr>
        <w:pStyle w:val="TOC1"/>
        <w:rPr>
          <w:noProof w:val="0"/>
          <w:lang w:val="en-GB"/>
        </w:rPr>
      </w:pPr>
      <w:r w:rsidRPr="004B7127">
        <w:rPr>
          <w:noProof w:val="0"/>
          <w:lang w:val="en-GB"/>
        </w:rPr>
        <w:fldChar w:fldCharType="end"/>
      </w:r>
    </w:p>
    <w:p w:rsidR="00D45D96" w:rsidRPr="0088304C" w:rsidRDefault="00E6029B" w:rsidP="0088304C">
      <w:pPr>
        <w:pStyle w:val="Heading1"/>
      </w:pPr>
      <w:r w:rsidRPr="007749DD">
        <w:br w:type="page"/>
      </w:r>
      <w:bookmarkStart w:id="0" w:name="_Toc245209879"/>
      <w:r w:rsidR="005F76E5" w:rsidRPr="007749DD">
        <w:lastRenderedPageBreak/>
        <w:t>Executive Summary</w:t>
      </w:r>
      <w:bookmarkEnd w:id="0"/>
    </w:p>
    <w:tbl>
      <w:tblPr>
        <w:tblW w:w="5000" w:type="pct"/>
        <w:tblCellMar>
          <w:left w:w="0" w:type="dxa"/>
          <w:right w:w="0" w:type="dxa"/>
        </w:tblCellMar>
        <w:tblLook w:val="0000" w:firstRow="0" w:lastRow="0" w:firstColumn="0" w:lastColumn="0" w:noHBand="0" w:noVBand="0"/>
      </w:tblPr>
      <w:tblGrid>
        <w:gridCol w:w="2700"/>
        <w:gridCol w:w="7049"/>
      </w:tblGrid>
      <w:tr w:rsidR="00D45D96" w:rsidRPr="004B7127" w:rsidTr="0088304C">
        <w:trPr>
          <w:trHeight w:val="288"/>
        </w:trPr>
        <w:tc>
          <w:tcPr>
            <w:tcW w:w="2700" w:type="dxa"/>
            <w:shd w:val="clear" w:color="auto" w:fill="3949AB" w:themeFill="accent1"/>
            <w:tcMar>
              <w:top w:w="29" w:type="dxa"/>
              <w:left w:w="72" w:type="dxa"/>
              <w:bottom w:w="29" w:type="dxa"/>
              <w:right w:w="72" w:type="dxa"/>
            </w:tcMar>
            <w:vAlign w:val="center"/>
          </w:tcPr>
          <w:p w:rsidR="00D45D96" w:rsidRPr="002D63AE" w:rsidRDefault="00D45D96" w:rsidP="00265751">
            <w:pPr>
              <w:pStyle w:val="TableColumnHeadingLeftAlign"/>
              <w:keepNext w:val="0"/>
              <w:rPr>
                <w:color w:val="FFFFFF"/>
                <w:sz w:val="16"/>
                <w:lang w:val="en-GB"/>
              </w:rPr>
            </w:pPr>
          </w:p>
        </w:tc>
        <w:tc>
          <w:tcPr>
            <w:tcW w:w="7049" w:type="dxa"/>
            <w:shd w:val="clear" w:color="auto" w:fill="3949AB" w:themeFill="accent1"/>
            <w:tcMar>
              <w:top w:w="29" w:type="dxa"/>
              <w:left w:w="72" w:type="dxa"/>
              <w:bottom w:w="29" w:type="dxa"/>
              <w:right w:w="72" w:type="dxa"/>
            </w:tcMar>
            <w:vAlign w:val="center"/>
          </w:tcPr>
          <w:p w:rsidR="00D45D96" w:rsidRPr="002D63AE" w:rsidRDefault="00D45D96" w:rsidP="00265751">
            <w:pPr>
              <w:pStyle w:val="TableColumnHeadingLeftAlign"/>
              <w:keepNext w:val="0"/>
              <w:jc w:val="right"/>
              <w:rPr>
                <w:color w:val="FFFFFF"/>
                <w:sz w:val="16"/>
                <w:lang w:val="en-GB"/>
              </w:rPr>
            </w:pPr>
          </w:p>
        </w:tc>
      </w:tr>
      <w:tr w:rsidR="00D45D96" w:rsidRPr="004B7127" w:rsidTr="0088304C">
        <w:trPr>
          <w:trHeight w:val="20"/>
        </w:trPr>
        <w:tc>
          <w:tcPr>
            <w:tcW w:w="2700" w:type="dxa"/>
            <w:tcBorders>
              <w:bottom w:val="single" w:sz="2" w:space="0" w:color="E0E0E0" w:themeColor="background2"/>
            </w:tcBorders>
            <w:tcMar>
              <w:top w:w="29" w:type="dxa"/>
              <w:left w:w="72" w:type="dxa"/>
              <w:bottom w:w="29" w:type="dxa"/>
              <w:right w:w="72" w:type="dxa"/>
            </w:tcMar>
            <w:vAlign w:val="center"/>
          </w:tcPr>
          <w:p w:rsidR="00D45D96" w:rsidRPr="004B7127" w:rsidRDefault="000E27D5" w:rsidP="00BF2D8B">
            <w:pPr>
              <w:pStyle w:val="TableDataItem"/>
              <w:rPr>
                <w:lang w:val="en-GB"/>
              </w:rPr>
            </w:pPr>
            <w:r w:rsidRPr="000E27D5">
              <w:rPr>
                <w:lang w:val="en-GB"/>
              </w:rPr>
              <w:t>Engagement Summary</w:t>
            </w:r>
          </w:p>
        </w:tc>
        <w:tc>
          <w:tcPr>
            <w:tcW w:w="7049" w:type="dxa"/>
            <w:tcBorders>
              <w:bottom w:val="single" w:sz="2" w:space="0" w:color="E0E0E0" w:themeColor="background2"/>
            </w:tcBorders>
            <w:tcMar>
              <w:top w:w="29" w:type="dxa"/>
              <w:left w:w="72" w:type="dxa"/>
              <w:bottom w:w="29" w:type="dxa"/>
              <w:right w:w="72" w:type="dxa"/>
            </w:tcMar>
            <w:vAlign w:val="center"/>
          </w:tcPr>
          <w:p w:rsidR="0002443C" w:rsidRPr="0002443C" w:rsidRDefault="0002443C" w:rsidP="0002443C">
            <w:pPr>
              <w:pStyle w:val="TableDataItemRight"/>
              <w:jc w:val="left"/>
              <w:rPr>
                <w:lang w:val="en-GB"/>
              </w:rPr>
            </w:pPr>
            <w:r>
              <w:rPr>
                <w:lang w:val="en-GB"/>
              </w:rPr>
              <w:t xml:space="preserve">[Client] engaged [Advisors] </w:t>
            </w:r>
            <w:r w:rsidRPr="0002443C">
              <w:rPr>
                <w:lang w:val="en-GB"/>
              </w:rPr>
              <w:t>to perform an allocation of fair value of the purchase price of</w:t>
            </w:r>
          </w:p>
          <w:p w:rsidR="00D45D96" w:rsidRPr="004B7127" w:rsidRDefault="0002443C" w:rsidP="00257480">
            <w:pPr>
              <w:pStyle w:val="TableDataItemRight"/>
              <w:jc w:val="left"/>
              <w:rPr>
                <w:lang w:val="en-GB"/>
              </w:rPr>
            </w:pPr>
            <w:r>
              <w:rPr>
                <w:lang w:val="en-GB"/>
              </w:rPr>
              <w:t>[ABC Corporation]</w:t>
            </w:r>
            <w:r w:rsidRPr="0002443C">
              <w:rPr>
                <w:lang w:val="en-GB"/>
              </w:rPr>
              <w:t>. We issued our</w:t>
            </w:r>
            <w:r>
              <w:rPr>
                <w:lang w:val="en-GB"/>
              </w:rPr>
              <w:t xml:space="preserve"> </w:t>
            </w:r>
            <w:r w:rsidRPr="0002443C">
              <w:rPr>
                <w:lang w:val="en-GB"/>
              </w:rPr>
              <w:t>report, subject to the Statement of Limiting Conditions a</w:t>
            </w:r>
            <w:r>
              <w:rPr>
                <w:lang w:val="en-GB"/>
              </w:rPr>
              <w:t>ttached to the Report</w:t>
            </w:r>
            <w:r w:rsidRPr="0002443C">
              <w:rPr>
                <w:lang w:val="en-GB"/>
              </w:rPr>
              <w:t>, on</w:t>
            </w:r>
            <w:r>
              <w:rPr>
                <w:lang w:val="en-GB"/>
              </w:rPr>
              <w:t xml:space="preserve"> July</w:t>
            </w:r>
            <w:r w:rsidRPr="0002443C">
              <w:rPr>
                <w:lang w:val="en-GB"/>
              </w:rPr>
              <w:t xml:space="preserve"> </w:t>
            </w:r>
            <w:r>
              <w:rPr>
                <w:lang w:val="en-GB"/>
              </w:rPr>
              <w:t>15, 2020</w:t>
            </w:r>
          </w:p>
        </w:tc>
      </w:tr>
      <w:tr w:rsidR="00D45D96" w:rsidRPr="004B7127" w:rsidTr="000E27D5">
        <w:trPr>
          <w:trHeight w:val="20"/>
        </w:trPr>
        <w:tc>
          <w:tcPr>
            <w:tcW w:w="2700"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D45D96" w:rsidRPr="004B7127" w:rsidRDefault="000E27D5" w:rsidP="00BF2D8B">
            <w:pPr>
              <w:pStyle w:val="TableDataItem"/>
              <w:rPr>
                <w:lang w:val="en-GB"/>
              </w:rPr>
            </w:pPr>
            <w:r w:rsidRPr="000E27D5">
              <w:rPr>
                <w:lang w:val="en-GB"/>
              </w:rPr>
              <w:t>Subject of Valuation</w:t>
            </w:r>
          </w:p>
        </w:tc>
        <w:tc>
          <w:tcPr>
            <w:tcW w:w="7049"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D45D96" w:rsidRPr="004B7127" w:rsidRDefault="00BF2D8B" w:rsidP="00115975">
            <w:pPr>
              <w:pStyle w:val="TableDataItemRight"/>
              <w:jc w:val="left"/>
              <w:rPr>
                <w:lang w:val="en-GB"/>
              </w:rPr>
            </w:pPr>
            <w:r w:rsidRPr="00BF2D8B">
              <w:rPr>
                <w:lang w:val="en-GB"/>
              </w:rPr>
              <w:t xml:space="preserve">Intangible assets acquired in the acquisition of </w:t>
            </w:r>
            <w:r w:rsidR="00115975">
              <w:rPr>
                <w:lang w:val="en-GB"/>
              </w:rPr>
              <w:t>[ABC Corporation]</w:t>
            </w:r>
            <w:r w:rsidRPr="00BF2D8B">
              <w:rPr>
                <w:lang w:val="en-GB"/>
              </w:rPr>
              <w:t>, including goodwill</w:t>
            </w:r>
          </w:p>
        </w:tc>
      </w:tr>
      <w:tr w:rsidR="00D45D96"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45D96" w:rsidRPr="00401726" w:rsidRDefault="000E27D5" w:rsidP="00BF2D8B">
            <w:pPr>
              <w:pStyle w:val="TableDataItem"/>
              <w:rPr>
                <w:color w:val="212121" w:themeColor="text1"/>
                <w:lang w:val="en-GB"/>
              </w:rPr>
            </w:pPr>
            <w:r w:rsidRPr="000E27D5">
              <w:rPr>
                <w:color w:val="212121" w:themeColor="text1"/>
                <w:lang w:val="en-GB"/>
              </w:rPr>
              <w:t>Standard of Value</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45D96" w:rsidRPr="00181781" w:rsidRDefault="00D251B9" w:rsidP="00157271">
            <w:pPr>
              <w:pStyle w:val="TableDataItemRight"/>
              <w:jc w:val="left"/>
              <w:rPr>
                <w:color w:val="212121" w:themeColor="text1"/>
                <w:lang w:val="en-GB"/>
              </w:rPr>
            </w:pPr>
            <w:r>
              <w:rPr>
                <w:color w:val="212121" w:themeColor="text1"/>
                <w:lang w:val="en-GB"/>
              </w:rPr>
              <w:t>I</w:t>
            </w:r>
            <w:r w:rsidR="003015DE" w:rsidRPr="003015DE">
              <w:rPr>
                <w:color w:val="212121" w:themeColor="text1"/>
                <w:lang w:val="en-GB"/>
              </w:rPr>
              <w:t>ntangible</w:t>
            </w:r>
            <w:r>
              <w:rPr>
                <w:color w:val="212121" w:themeColor="text1"/>
                <w:lang w:val="en-GB"/>
              </w:rPr>
              <w:t>s</w:t>
            </w:r>
            <w:r w:rsidR="003015DE" w:rsidRPr="003015DE">
              <w:rPr>
                <w:color w:val="212121" w:themeColor="text1"/>
                <w:lang w:val="en-GB"/>
              </w:rPr>
              <w:t xml:space="preserve"> included in our analysis were valued in accordance with ASC 805, which uses the Fair Value definition in ASC 820, Fair Value Measurement</w:t>
            </w:r>
            <w:r w:rsidR="00157271">
              <w:rPr>
                <w:color w:val="212121" w:themeColor="text1"/>
                <w:lang w:val="en-GB"/>
              </w:rPr>
              <w:t>s</w:t>
            </w:r>
          </w:p>
        </w:tc>
      </w:tr>
      <w:tr w:rsidR="00DD2F08"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D2F08" w:rsidRPr="00DD2F08" w:rsidRDefault="00DD2F08" w:rsidP="00BF2D8B">
            <w:pPr>
              <w:pStyle w:val="TableDataItem"/>
              <w:rPr>
                <w:color w:val="212121" w:themeColor="text1"/>
                <w:lang w:val="en-GB"/>
              </w:rPr>
            </w:pPr>
            <w:r w:rsidRPr="00DD2F08">
              <w:rPr>
                <w:color w:val="212121" w:themeColor="text1"/>
                <w:lang w:val="en-GB"/>
              </w:rPr>
              <w:t xml:space="preserve">Effective Date of Value </w:t>
            </w:r>
          </w:p>
          <w:p w:rsidR="00DD2F08" w:rsidRPr="000E27D5" w:rsidRDefault="00DD2F08" w:rsidP="00BF2D8B">
            <w:pPr>
              <w:pStyle w:val="TableDataItem"/>
              <w:rPr>
                <w:color w:val="212121" w:themeColor="text1"/>
                <w:lang w:val="en-GB"/>
              </w:rPr>
            </w:pPr>
            <w:r w:rsidRPr="00DD2F08">
              <w:rPr>
                <w:color w:val="212121" w:themeColor="text1"/>
                <w:lang w:val="en-GB"/>
              </w:rPr>
              <w:t>(the “Valuation Date”)</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D2F08" w:rsidRPr="00181781" w:rsidRDefault="00282FCD" w:rsidP="00BF2D8B">
            <w:pPr>
              <w:pStyle w:val="TableDataItemRight"/>
              <w:jc w:val="left"/>
              <w:rPr>
                <w:color w:val="212121" w:themeColor="text1"/>
                <w:lang w:val="en-GB"/>
              </w:rPr>
            </w:pPr>
            <w:r>
              <w:rPr>
                <w:color w:val="212121" w:themeColor="text1"/>
                <w:lang w:val="en-GB"/>
              </w:rPr>
              <w:t>March 31, 2020</w:t>
            </w:r>
          </w:p>
        </w:tc>
      </w:tr>
      <w:tr w:rsidR="00B0215D"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DD2F08" w:rsidRDefault="00B0215D" w:rsidP="00BF2D8B">
            <w:pPr>
              <w:pStyle w:val="TableDataItem"/>
              <w:rPr>
                <w:color w:val="212121" w:themeColor="text1"/>
                <w:lang w:val="en-GB"/>
              </w:rPr>
            </w:pPr>
            <w:r>
              <w:rPr>
                <w:color w:val="212121" w:themeColor="text1"/>
                <w:lang w:val="en-GB"/>
              </w:rPr>
              <w:t>Valuation Summary</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181781" w:rsidRDefault="00282FCD" w:rsidP="0088304C">
            <w:pPr>
              <w:pStyle w:val="TableDataItemRight"/>
              <w:jc w:val="left"/>
              <w:rPr>
                <w:color w:val="212121" w:themeColor="text1"/>
                <w:lang w:val="en-GB"/>
              </w:rPr>
            </w:pPr>
            <w:r>
              <w:rPr>
                <w:color w:val="212121" w:themeColor="text1"/>
                <w:lang w:val="en-GB"/>
              </w:rPr>
              <w:t xml:space="preserve">Refer to the Table </w:t>
            </w:r>
            <w:r w:rsidR="0088304C">
              <w:rPr>
                <w:color w:val="212121" w:themeColor="text1"/>
                <w:lang w:val="en-GB"/>
              </w:rPr>
              <w:t>1</w:t>
            </w:r>
            <w:r>
              <w:rPr>
                <w:color w:val="212121" w:themeColor="text1"/>
                <w:lang w:val="en-GB"/>
              </w:rPr>
              <w:t xml:space="preserve"> below</w:t>
            </w:r>
          </w:p>
        </w:tc>
      </w:tr>
      <w:tr w:rsidR="00B0215D"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B0215D" w:rsidRDefault="00B0215D" w:rsidP="00BF2D8B">
            <w:pPr>
              <w:pStyle w:val="TableDataItem"/>
              <w:rPr>
                <w:color w:val="212121" w:themeColor="text1"/>
                <w:lang w:val="en-GB"/>
              </w:rPr>
            </w:pPr>
            <w:r w:rsidRPr="00B0215D">
              <w:rPr>
                <w:color w:val="212121" w:themeColor="text1"/>
                <w:lang w:val="en-GB"/>
              </w:rPr>
              <w:t xml:space="preserve">Intended Users of the </w:t>
            </w:r>
          </w:p>
          <w:p w:rsidR="00B0215D" w:rsidRDefault="00B0215D" w:rsidP="00BF2D8B">
            <w:pPr>
              <w:pStyle w:val="TableDataItem"/>
              <w:rPr>
                <w:color w:val="212121" w:themeColor="text1"/>
                <w:lang w:val="en-GB"/>
              </w:rPr>
            </w:pPr>
            <w:r w:rsidRPr="00B0215D">
              <w:rPr>
                <w:color w:val="212121" w:themeColor="text1"/>
                <w:lang w:val="en-GB"/>
              </w:rPr>
              <w:t>Report</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181781" w:rsidRDefault="00282FCD" w:rsidP="00282FCD">
            <w:pPr>
              <w:pStyle w:val="TableDataItemRight"/>
              <w:jc w:val="left"/>
              <w:rPr>
                <w:color w:val="212121" w:themeColor="text1"/>
                <w:lang w:val="en-GB"/>
              </w:rPr>
            </w:pPr>
            <w:r>
              <w:rPr>
                <w:color w:val="212121" w:themeColor="text1"/>
                <w:lang w:val="en-GB"/>
              </w:rPr>
              <w:t>[</w:t>
            </w:r>
            <w:r w:rsidRPr="00282FCD">
              <w:rPr>
                <w:color w:val="212121" w:themeColor="text1"/>
                <w:lang w:val="en-GB"/>
              </w:rPr>
              <w:t>Client</w:t>
            </w:r>
            <w:r>
              <w:rPr>
                <w:color w:val="212121" w:themeColor="text1"/>
                <w:lang w:val="en-GB"/>
              </w:rPr>
              <w:t>]</w:t>
            </w:r>
            <w:r w:rsidRPr="00282FCD">
              <w:rPr>
                <w:color w:val="212121" w:themeColor="text1"/>
                <w:lang w:val="en-GB"/>
              </w:rPr>
              <w:t xml:space="preserve"> and its advisors and </w:t>
            </w:r>
            <w:r>
              <w:rPr>
                <w:color w:val="212121" w:themeColor="text1"/>
                <w:lang w:val="en-GB"/>
              </w:rPr>
              <w:t>financial statement auditor</w:t>
            </w:r>
          </w:p>
        </w:tc>
      </w:tr>
    </w:tbl>
    <w:p w:rsidR="00D45D96" w:rsidRDefault="00D45D96" w:rsidP="00E273EE"/>
    <w:p w:rsidR="00393BE0" w:rsidRDefault="00393BE0" w:rsidP="00E273EE">
      <w:r w:rsidRPr="00393BE0">
        <w:t>Based upon the information and financial data provided, and representations made by Management, as well as the analyses performed, it is our opinion that the fair value of the Subject Interest as of the Valuation Date is as follows:</w:t>
      </w:r>
    </w:p>
    <w:p w:rsidR="000F4722" w:rsidRPr="00C038D3" w:rsidRDefault="00D45D96" w:rsidP="000F4722">
      <w:pPr>
        <w:pStyle w:val="TableSpaceBefore"/>
      </w:pPr>
      <w:r>
        <w:t xml:space="preserve">TABLE </w:t>
      </w:r>
      <w:r w:rsidR="0088304C">
        <w:t>1</w:t>
      </w:r>
    </w:p>
    <w:p w:rsidR="000F4722" w:rsidRPr="004B7127" w:rsidRDefault="000F4722" w:rsidP="000F4722">
      <w:pPr>
        <w:pStyle w:val="TABLEHeading1"/>
        <w:rPr>
          <w:lang w:val="en-GB"/>
        </w:rPr>
      </w:pPr>
      <w:r>
        <w:rPr>
          <w:lang w:val="en-GB"/>
        </w:rPr>
        <w:t>Valuation Summary</w:t>
      </w:r>
    </w:p>
    <w:tbl>
      <w:tblPr>
        <w:tblW w:w="5000" w:type="pct"/>
        <w:tblCellMar>
          <w:left w:w="0" w:type="dxa"/>
          <w:right w:w="0" w:type="dxa"/>
        </w:tblCellMar>
        <w:tblLook w:val="0000" w:firstRow="0" w:lastRow="0" w:firstColumn="0" w:lastColumn="0" w:noHBand="0" w:noVBand="0"/>
      </w:tblPr>
      <w:tblGrid>
        <w:gridCol w:w="4463"/>
        <w:gridCol w:w="5286"/>
      </w:tblGrid>
      <w:tr w:rsidR="000C2EC2" w:rsidRPr="004B7127" w:rsidTr="00265751">
        <w:trPr>
          <w:trHeight w:val="288"/>
        </w:trPr>
        <w:tc>
          <w:tcPr>
            <w:tcW w:w="4463" w:type="dxa"/>
            <w:shd w:val="clear" w:color="auto" w:fill="3949AB" w:themeFill="accent1"/>
            <w:tcMar>
              <w:top w:w="29" w:type="dxa"/>
              <w:left w:w="72" w:type="dxa"/>
              <w:bottom w:w="29" w:type="dxa"/>
              <w:right w:w="72" w:type="dxa"/>
            </w:tcMar>
            <w:vAlign w:val="center"/>
          </w:tcPr>
          <w:p w:rsidR="000C2EC2" w:rsidRPr="002D63AE" w:rsidRDefault="000C2EC2" w:rsidP="00265751">
            <w:pPr>
              <w:pStyle w:val="TableColumnHeadingLeftAlign"/>
              <w:keepNext w:val="0"/>
              <w:rPr>
                <w:color w:val="FFFFFF"/>
                <w:sz w:val="16"/>
                <w:lang w:val="en-GB"/>
              </w:rPr>
            </w:pPr>
            <w:r>
              <w:rPr>
                <w:color w:val="FFFFFF"/>
                <w:sz w:val="16"/>
                <w:lang w:val="en-GB"/>
              </w:rPr>
              <w:t>Valuation Summary</w:t>
            </w:r>
          </w:p>
        </w:tc>
        <w:tc>
          <w:tcPr>
            <w:tcW w:w="5286" w:type="dxa"/>
            <w:shd w:val="clear" w:color="auto" w:fill="3949AB" w:themeFill="accent1"/>
            <w:tcMar>
              <w:top w:w="29" w:type="dxa"/>
              <w:left w:w="72" w:type="dxa"/>
              <w:bottom w:w="29" w:type="dxa"/>
              <w:right w:w="72" w:type="dxa"/>
            </w:tcMar>
            <w:vAlign w:val="center"/>
          </w:tcPr>
          <w:p w:rsidR="000C2EC2" w:rsidRPr="002D63AE" w:rsidRDefault="00971DF6" w:rsidP="00265751">
            <w:pPr>
              <w:pStyle w:val="TableColumnHeadingLeftAlign"/>
              <w:keepNext w:val="0"/>
              <w:jc w:val="right"/>
              <w:rPr>
                <w:color w:val="FFFFFF"/>
                <w:sz w:val="16"/>
                <w:lang w:val="en-GB"/>
              </w:rPr>
            </w:pPr>
            <w:r>
              <w:rPr>
                <w:color w:val="FFFFFF"/>
                <w:sz w:val="16"/>
                <w:lang w:val="en-GB"/>
              </w:rPr>
              <w:t>(in USD ‘000s)</w:t>
            </w:r>
          </w:p>
        </w:tc>
      </w:tr>
      <w:tr w:rsidR="000C2EC2" w:rsidRPr="004B7127" w:rsidTr="00265751">
        <w:trPr>
          <w:trHeight w:val="20"/>
        </w:trPr>
        <w:tc>
          <w:tcPr>
            <w:tcW w:w="4463" w:type="dxa"/>
            <w:tcBorders>
              <w:bottom w:val="single" w:sz="8" w:space="0" w:color="212121" w:themeColor="text1"/>
            </w:tcBorders>
            <w:shd w:val="clear" w:color="auto" w:fill="auto"/>
            <w:tcMar>
              <w:top w:w="29" w:type="dxa"/>
              <w:left w:w="72" w:type="dxa"/>
              <w:bottom w:w="29" w:type="dxa"/>
              <w:right w:w="72" w:type="dxa"/>
            </w:tcMar>
            <w:vAlign w:val="center"/>
          </w:tcPr>
          <w:p w:rsidR="000C2EC2" w:rsidRPr="002D63AE" w:rsidRDefault="00401726" w:rsidP="00401726">
            <w:pPr>
              <w:pStyle w:val="TableDataItem"/>
              <w:rPr>
                <w:b/>
                <w:color w:val="212121" w:themeColor="text1"/>
                <w:lang w:val="en-GB"/>
              </w:rPr>
            </w:pPr>
            <w:r>
              <w:rPr>
                <w:b/>
                <w:color w:val="212121" w:themeColor="text1"/>
                <w:lang w:val="en-GB"/>
              </w:rPr>
              <w:t>T</w:t>
            </w:r>
            <w:r w:rsidR="00971DF6">
              <w:rPr>
                <w:b/>
                <w:color w:val="212121" w:themeColor="text1"/>
                <w:lang w:val="en-GB"/>
              </w:rPr>
              <w:t>angible Asset</w:t>
            </w:r>
            <w:r>
              <w:rPr>
                <w:b/>
                <w:color w:val="212121" w:themeColor="text1"/>
                <w:lang w:val="en-GB"/>
              </w:rPr>
              <w:t>s</w:t>
            </w:r>
          </w:p>
        </w:tc>
        <w:tc>
          <w:tcPr>
            <w:tcW w:w="5286" w:type="dxa"/>
            <w:tcBorders>
              <w:bottom w:val="single" w:sz="8" w:space="0" w:color="212121" w:themeColor="text1"/>
            </w:tcBorders>
            <w:shd w:val="clear" w:color="auto" w:fill="auto"/>
            <w:tcMar>
              <w:top w:w="29" w:type="dxa"/>
              <w:left w:w="72" w:type="dxa"/>
              <w:bottom w:w="29" w:type="dxa"/>
              <w:right w:w="72" w:type="dxa"/>
            </w:tcMar>
            <w:vAlign w:val="center"/>
          </w:tcPr>
          <w:p w:rsidR="000C2EC2" w:rsidRPr="002D63AE" w:rsidRDefault="00971DF6" w:rsidP="00265751">
            <w:pPr>
              <w:pStyle w:val="TableDataItemRight"/>
              <w:jc w:val="center"/>
              <w:rPr>
                <w:b/>
                <w:color w:val="212121" w:themeColor="text1"/>
                <w:lang w:val="en-GB"/>
              </w:rPr>
            </w:pPr>
            <w:r>
              <w:rPr>
                <w:b/>
                <w:color w:val="212121" w:themeColor="text1"/>
                <w:lang w:val="en-GB"/>
              </w:rPr>
              <w:t>Fair Value</w:t>
            </w:r>
          </w:p>
        </w:tc>
      </w:tr>
      <w:tr w:rsidR="000C2EC2" w:rsidRPr="004B7127" w:rsidTr="00265751">
        <w:trPr>
          <w:trHeight w:val="20"/>
        </w:trPr>
        <w:tc>
          <w:tcPr>
            <w:tcW w:w="4463"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0C2EC2" w:rsidRPr="004B7127" w:rsidRDefault="00401726" w:rsidP="00290B33">
            <w:pPr>
              <w:pStyle w:val="TableDataItem"/>
              <w:ind w:left="144"/>
              <w:rPr>
                <w:lang w:val="en-GB"/>
              </w:rPr>
            </w:pPr>
            <w:r>
              <w:rPr>
                <w:lang w:val="en-GB"/>
              </w:rPr>
              <w:t>Operating Working Capital</w:t>
            </w:r>
          </w:p>
        </w:tc>
        <w:tc>
          <w:tcPr>
            <w:tcW w:w="5286"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0C2EC2" w:rsidRPr="004B7127" w:rsidRDefault="001C1A8D" w:rsidP="00265751">
            <w:pPr>
              <w:pStyle w:val="TableDataItemRight"/>
              <w:jc w:val="center"/>
              <w:rPr>
                <w:lang w:val="en-GB"/>
              </w:rPr>
            </w:pPr>
            <w:r>
              <w:rPr>
                <w:lang w:val="en-GB"/>
              </w:rPr>
              <w:t>TBU</w:t>
            </w:r>
          </w:p>
        </w:tc>
      </w:tr>
      <w:tr w:rsidR="000C2EC2" w:rsidRPr="004B7127" w:rsidTr="00265751">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0C2EC2" w:rsidRPr="004B7127" w:rsidRDefault="00401726" w:rsidP="00290B33">
            <w:pPr>
              <w:pStyle w:val="TableDataItem"/>
              <w:ind w:left="144"/>
              <w:rPr>
                <w:lang w:val="en-GB"/>
              </w:rPr>
            </w:pPr>
            <w:r w:rsidRPr="00401726">
              <w:rPr>
                <w:lang w:val="en-GB"/>
              </w:rPr>
              <w:t>Property and Equipment, Net</w:t>
            </w:r>
          </w:p>
        </w:tc>
        <w:tc>
          <w:tcPr>
            <w:tcW w:w="528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0C2EC2" w:rsidRPr="004B7127" w:rsidRDefault="001C1A8D" w:rsidP="00265751">
            <w:pPr>
              <w:pStyle w:val="TableDataItemRight"/>
              <w:jc w:val="center"/>
              <w:rPr>
                <w:lang w:val="en-GB"/>
              </w:rPr>
            </w:pPr>
            <w:r>
              <w:rPr>
                <w:lang w:val="en-GB"/>
              </w:rPr>
              <w:t>TBU</w:t>
            </w:r>
          </w:p>
        </w:tc>
      </w:tr>
      <w:tr w:rsidR="00401726" w:rsidRPr="004B7127" w:rsidTr="00401726">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401726" w:rsidRDefault="00401726" w:rsidP="00290B33">
            <w:pPr>
              <w:pStyle w:val="TableDataItem"/>
              <w:ind w:left="144"/>
              <w:rPr>
                <w:color w:val="212121" w:themeColor="text1"/>
                <w:lang w:val="en-GB"/>
              </w:rPr>
            </w:pPr>
            <w:r w:rsidRPr="00401726">
              <w:rPr>
                <w:color w:val="212121" w:themeColor="text1"/>
                <w:lang w:val="en-GB"/>
              </w:rPr>
              <w:t>Net Non-Current Assets</w:t>
            </w: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181781" w:rsidRDefault="001C1A8D" w:rsidP="00265751">
            <w:pPr>
              <w:pStyle w:val="TableDataItemRight"/>
              <w:jc w:val="center"/>
              <w:rPr>
                <w:color w:val="212121" w:themeColor="text1"/>
                <w:lang w:val="en-GB"/>
              </w:rPr>
            </w:pPr>
            <w:r>
              <w:rPr>
                <w:lang w:val="en-GB"/>
              </w:rPr>
              <w:t>TBU</w:t>
            </w:r>
          </w:p>
        </w:tc>
      </w:tr>
      <w:tr w:rsidR="000C2EC2" w:rsidRPr="004B7127" w:rsidTr="00401726">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0C2EC2" w:rsidRPr="00401726" w:rsidRDefault="00401726" w:rsidP="00265751">
            <w:pPr>
              <w:pStyle w:val="TableDataItem"/>
              <w:rPr>
                <w:b/>
                <w:color w:val="212121" w:themeColor="text1"/>
                <w:lang w:val="en-GB"/>
              </w:rPr>
            </w:pPr>
            <w:r w:rsidRPr="00401726">
              <w:rPr>
                <w:b/>
                <w:color w:val="212121" w:themeColor="text1"/>
                <w:lang w:val="en-GB"/>
              </w:rPr>
              <w:t>Total Tangible Assets</w:t>
            </w:r>
          </w:p>
        </w:tc>
        <w:tc>
          <w:tcPr>
            <w:tcW w:w="528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0C2EC2" w:rsidRPr="00401726" w:rsidRDefault="001C1A8D" w:rsidP="00265751">
            <w:pPr>
              <w:pStyle w:val="TableDataItemRight"/>
              <w:jc w:val="center"/>
              <w:rPr>
                <w:b/>
                <w:color w:val="212121" w:themeColor="text1"/>
                <w:lang w:val="en-GB"/>
              </w:rPr>
            </w:pPr>
            <w:r>
              <w:rPr>
                <w:lang w:val="en-GB"/>
              </w:rPr>
              <w:t>TBU</w:t>
            </w:r>
          </w:p>
        </w:tc>
      </w:tr>
      <w:tr w:rsidR="00401726" w:rsidRPr="004B7127" w:rsidTr="00401726">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401726" w:rsidRDefault="00401726" w:rsidP="00265751">
            <w:pPr>
              <w:pStyle w:val="TableDataItem"/>
              <w:rPr>
                <w:b/>
                <w:color w:val="212121" w:themeColor="text1"/>
                <w:lang w:val="en-GB"/>
              </w:rPr>
            </w:pP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401726" w:rsidRDefault="00401726" w:rsidP="00265751">
            <w:pPr>
              <w:pStyle w:val="TableDataItemRight"/>
              <w:jc w:val="center"/>
              <w:rPr>
                <w:b/>
                <w:color w:val="212121" w:themeColor="text1"/>
                <w:lang w:val="en-GB"/>
              </w:rPr>
            </w:pPr>
          </w:p>
        </w:tc>
      </w:tr>
      <w:tr w:rsidR="00401726" w:rsidRPr="004B7127" w:rsidTr="00401726">
        <w:trPr>
          <w:trHeight w:val="20"/>
        </w:trPr>
        <w:tc>
          <w:tcPr>
            <w:tcW w:w="4463" w:type="dxa"/>
            <w:tcBorders>
              <w:top w:val="single" w:sz="2" w:space="0" w:color="E0E0E0" w:themeColor="background2"/>
              <w:bottom w:val="single" w:sz="4" w:space="0" w:color="auto"/>
            </w:tcBorders>
            <w:tcMar>
              <w:top w:w="29" w:type="dxa"/>
              <w:left w:w="72" w:type="dxa"/>
              <w:bottom w:w="29" w:type="dxa"/>
              <w:right w:w="72" w:type="dxa"/>
            </w:tcMar>
            <w:vAlign w:val="center"/>
          </w:tcPr>
          <w:p w:rsidR="00401726" w:rsidRPr="00401726" w:rsidRDefault="00ED60F5" w:rsidP="00ED60F5">
            <w:pPr>
              <w:pStyle w:val="TableDataItem"/>
              <w:rPr>
                <w:b/>
                <w:lang w:val="en-GB"/>
              </w:rPr>
            </w:pPr>
            <w:r>
              <w:rPr>
                <w:b/>
                <w:lang w:val="en-GB"/>
              </w:rPr>
              <w:t>Int</w:t>
            </w:r>
            <w:r w:rsidR="00401726" w:rsidRPr="00401726">
              <w:rPr>
                <w:b/>
                <w:lang w:val="en-GB"/>
              </w:rPr>
              <w:t>angible Assets</w:t>
            </w:r>
          </w:p>
        </w:tc>
        <w:tc>
          <w:tcPr>
            <w:tcW w:w="5286" w:type="dxa"/>
            <w:tcBorders>
              <w:top w:val="single" w:sz="2" w:space="0" w:color="E0E0E0" w:themeColor="background2"/>
              <w:bottom w:val="single" w:sz="4" w:space="0" w:color="auto"/>
            </w:tcBorders>
            <w:tcMar>
              <w:top w:w="29" w:type="dxa"/>
              <w:left w:w="72" w:type="dxa"/>
              <w:bottom w:w="29" w:type="dxa"/>
              <w:right w:w="72" w:type="dxa"/>
            </w:tcMar>
            <w:vAlign w:val="center"/>
          </w:tcPr>
          <w:p w:rsidR="00401726" w:rsidRPr="004B7127" w:rsidRDefault="00401726" w:rsidP="00265751">
            <w:pPr>
              <w:pStyle w:val="TableDataItemRight"/>
              <w:jc w:val="center"/>
              <w:rPr>
                <w:lang w:val="en-GB"/>
              </w:rPr>
            </w:pPr>
          </w:p>
        </w:tc>
      </w:tr>
      <w:tr w:rsidR="000C2EC2" w:rsidRPr="004B7127" w:rsidTr="00401726">
        <w:trPr>
          <w:trHeight w:val="20"/>
        </w:trPr>
        <w:tc>
          <w:tcPr>
            <w:tcW w:w="4463" w:type="dxa"/>
            <w:tcBorders>
              <w:top w:val="single" w:sz="4" w:space="0" w:color="auto"/>
              <w:bottom w:val="single" w:sz="2" w:space="0" w:color="E0E0E0" w:themeColor="background2"/>
            </w:tcBorders>
            <w:tcMar>
              <w:top w:w="29" w:type="dxa"/>
              <w:left w:w="72" w:type="dxa"/>
              <w:bottom w:w="29" w:type="dxa"/>
              <w:right w:w="72" w:type="dxa"/>
            </w:tcMar>
            <w:vAlign w:val="center"/>
          </w:tcPr>
          <w:p w:rsidR="000C2EC2" w:rsidRPr="004B7127" w:rsidRDefault="00ED60F5" w:rsidP="00290B33">
            <w:pPr>
              <w:pStyle w:val="TableDataItem"/>
              <w:ind w:left="144"/>
              <w:rPr>
                <w:lang w:val="en-GB"/>
              </w:rPr>
            </w:pPr>
            <w:r w:rsidRPr="00ED60F5">
              <w:rPr>
                <w:lang w:val="en-GB"/>
              </w:rPr>
              <w:t>Trade Name and Trademarks</w:t>
            </w:r>
          </w:p>
        </w:tc>
        <w:tc>
          <w:tcPr>
            <w:tcW w:w="5286" w:type="dxa"/>
            <w:tcBorders>
              <w:top w:val="single" w:sz="4" w:space="0" w:color="auto"/>
              <w:bottom w:val="single" w:sz="2" w:space="0" w:color="E0E0E0" w:themeColor="background2"/>
            </w:tcBorders>
            <w:tcMar>
              <w:top w:w="29" w:type="dxa"/>
              <w:left w:w="72" w:type="dxa"/>
              <w:bottom w:w="29" w:type="dxa"/>
              <w:right w:w="72" w:type="dxa"/>
            </w:tcMar>
            <w:vAlign w:val="center"/>
          </w:tcPr>
          <w:p w:rsidR="000C2EC2" w:rsidRPr="004B7127" w:rsidRDefault="001C1A8D" w:rsidP="00265751">
            <w:pPr>
              <w:pStyle w:val="TableDataItemRight"/>
              <w:jc w:val="center"/>
              <w:rPr>
                <w:lang w:val="en-GB"/>
              </w:rPr>
            </w:pPr>
            <w:r>
              <w:rPr>
                <w:lang w:val="en-GB"/>
              </w:rPr>
              <w:t>TBU</w:t>
            </w: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90B33">
            <w:pPr>
              <w:pStyle w:val="TableDataItem"/>
              <w:ind w:left="144"/>
              <w:rPr>
                <w:lang w:val="en-GB"/>
              </w:rPr>
            </w:pPr>
            <w:r w:rsidRPr="00ED60F5">
              <w:rPr>
                <w:lang w:val="en-GB"/>
              </w:rPr>
              <w:t>Technology</w:t>
            </w: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1C1A8D" w:rsidP="00265751">
            <w:pPr>
              <w:pStyle w:val="TableDataItemRight"/>
              <w:jc w:val="center"/>
              <w:rPr>
                <w:lang w:val="en-GB"/>
              </w:rPr>
            </w:pPr>
            <w:r>
              <w:rPr>
                <w:lang w:val="en-GB"/>
              </w:rPr>
              <w:t>TBU</w:t>
            </w: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90B33">
            <w:pPr>
              <w:pStyle w:val="TableDataItem"/>
              <w:ind w:left="144"/>
              <w:rPr>
                <w:lang w:val="en-GB"/>
              </w:rPr>
            </w:pPr>
            <w:proofErr w:type="spellStart"/>
            <w:r w:rsidRPr="00ED60F5">
              <w:rPr>
                <w:lang w:val="en-GB"/>
              </w:rPr>
              <w:t>Noncompete</w:t>
            </w:r>
            <w:proofErr w:type="spellEnd"/>
            <w:r w:rsidRPr="00ED60F5">
              <w:rPr>
                <w:lang w:val="en-GB"/>
              </w:rPr>
              <w:t xml:space="preserve"> Agreement</w:t>
            </w: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1C1A8D" w:rsidP="00265751">
            <w:pPr>
              <w:pStyle w:val="TableDataItemRight"/>
              <w:jc w:val="center"/>
              <w:rPr>
                <w:lang w:val="en-GB"/>
              </w:rPr>
            </w:pPr>
            <w:r>
              <w:rPr>
                <w:lang w:val="en-GB"/>
              </w:rPr>
              <w:t>TBU</w:t>
            </w: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ED60F5" w:rsidRDefault="00ED60F5" w:rsidP="00265751">
            <w:pPr>
              <w:pStyle w:val="TableDataItem"/>
              <w:rPr>
                <w:b/>
                <w:lang w:val="en-GB"/>
              </w:rPr>
            </w:pPr>
            <w:r w:rsidRPr="00ED60F5">
              <w:rPr>
                <w:b/>
                <w:lang w:val="en-GB"/>
              </w:rPr>
              <w:t>Total Intangible Assets</w:t>
            </w:r>
          </w:p>
        </w:tc>
        <w:tc>
          <w:tcPr>
            <w:tcW w:w="528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ED60F5" w:rsidRDefault="00ED60F5" w:rsidP="00265751">
            <w:pPr>
              <w:pStyle w:val="TableDataItemRight"/>
              <w:jc w:val="center"/>
              <w:rPr>
                <w:b/>
                <w:lang w:val="en-GB"/>
              </w:rPr>
            </w:pP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65751">
            <w:pPr>
              <w:pStyle w:val="TableDataItem"/>
              <w:rPr>
                <w:lang w:val="en-GB"/>
              </w:rPr>
            </w:pP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65751">
            <w:pPr>
              <w:pStyle w:val="TableDataItemRight"/>
              <w:jc w:val="center"/>
              <w:rPr>
                <w:lang w:val="en-GB"/>
              </w:rPr>
            </w:pPr>
          </w:p>
        </w:tc>
      </w:tr>
      <w:tr w:rsidR="000C2EC2" w:rsidRPr="004B7127" w:rsidTr="00265751">
        <w:trPr>
          <w:trHeight w:val="20"/>
        </w:trPr>
        <w:tc>
          <w:tcPr>
            <w:tcW w:w="4463"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0C2EC2" w:rsidRPr="004B7127" w:rsidRDefault="00ED60F5" w:rsidP="00290B33">
            <w:pPr>
              <w:pStyle w:val="TableDataItem"/>
              <w:ind w:left="144"/>
              <w:rPr>
                <w:lang w:val="en-GB"/>
              </w:rPr>
            </w:pPr>
            <w:r>
              <w:rPr>
                <w:lang w:val="en-GB"/>
              </w:rPr>
              <w:t>Implied Goodwill</w:t>
            </w:r>
          </w:p>
        </w:tc>
        <w:tc>
          <w:tcPr>
            <w:tcW w:w="5286"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0C2EC2" w:rsidRPr="004B7127" w:rsidRDefault="00CD5593" w:rsidP="00265751">
            <w:pPr>
              <w:pStyle w:val="TableDataItemRight"/>
              <w:jc w:val="center"/>
              <w:rPr>
                <w:lang w:val="en-GB"/>
              </w:rPr>
            </w:pPr>
            <w:r>
              <w:rPr>
                <w:lang w:val="en-GB"/>
              </w:rPr>
              <w:t>TBU</w:t>
            </w:r>
          </w:p>
        </w:tc>
      </w:tr>
      <w:tr w:rsidR="00ED60F5" w:rsidRPr="004B7127" w:rsidTr="00733161">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Default="00ED60F5" w:rsidP="00265751">
            <w:pPr>
              <w:pStyle w:val="TableDataItem"/>
              <w:rPr>
                <w:lang w:val="en-GB"/>
              </w:rPr>
            </w:pP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65751">
            <w:pPr>
              <w:pStyle w:val="TableDataItemRight"/>
              <w:jc w:val="center"/>
              <w:rPr>
                <w:lang w:val="en-GB"/>
              </w:rPr>
            </w:pPr>
          </w:p>
        </w:tc>
      </w:tr>
      <w:tr w:rsidR="00ED60F5" w:rsidRPr="004B7127" w:rsidTr="00733161">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733161" w:rsidRDefault="00733161" w:rsidP="00265751">
            <w:pPr>
              <w:pStyle w:val="TableDataItem"/>
              <w:rPr>
                <w:b/>
                <w:lang w:val="en-GB"/>
              </w:rPr>
            </w:pPr>
            <w:r w:rsidRPr="00733161">
              <w:rPr>
                <w:b/>
                <w:lang w:val="en-GB"/>
              </w:rPr>
              <w:t>Total Purchase Consideration</w:t>
            </w:r>
          </w:p>
        </w:tc>
        <w:tc>
          <w:tcPr>
            <w:tcW w:w="528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733161" w:rsidRDefault="00CD5593" w:rsidP="00265751">
            <w:pPr>
              <w:pStyle w:val="TableDataItemRight"/>
              <w:jc w:val="center"/>
              <w:rPr>
                <w:b/>
                <w:lang w:val="en-GB"/>
              </w:rPr>
            </w:pPr>
            <w:r>
              <w:rPr>
                <w:lang w:val="en-GB"/>
              </w:rPr>
              <w:t>TBU</w:t>
            </w:r>
          </w:p>
        </w:tc>
      </w:tr>
    </w:tbl>
    <w:p w:rsidR="00393BE0" w:rsidRDefault="00393BE0" w:rsidP="00E273EE"/>
    <w:p w:rsidR="00E6029B" w:rsidRPr="004B7127" w:rsidRDefault="006D35DE" w:rsidP="006D35DE">
      <w:pPr>
        <w:pStyle w:val="Heading1"/>
        <w:rPr>
          <w:rFonts w:ascii="Bliss Pro Medium" w:hAnsi="Bliss Pro Medium"/>
          <w:lang w:val="en-GB"/>
        </w:rPr>
      </w:pPr>
      <w:r w:rsidRPr="004B7127">
        <w:rPr>
          <w:lang w:val="en-GB"/>
        </w:rPr>
        <w:br w:type="page"/>
      </w:r>
      <w:r w:rsidR="00006FC7">
        <w:rPr>
          <w:lang w:val="en-GB"/>
        </w:rPr>
        <w:lastRenderedPageBreak/>
        <w:t>Company Overview</w:t>
      </w:r>
    </w:p>
    <w:p w:rsidR="00C00450" w:rsidRPr="004B7127" w:rsidRDefault="00AB35BF" w:rsidP="00334537">
      <w:pPr>
        <w:pStyle w:val="Heading2"/>
        <w:rPr>
          <w:lang w:val="en-GB"/>
        </w:rPr>
      </w:pPr>
      <w:r>
        <w:rPr>
          <w:lang w:val="en-GB"/>
        </w:rPr>
        <w:t>Deal Overview</w:t>
      </w:r>
    </w:p>
    <w:p w:rsidR="00967032" w:rsidRDefault="00967032" w:rsidP="00E273EE">
      <w:r w:rsidRPr="00967032">
        <w:t xml:space="preserve">On </w:t>
      </w:r>
      <w:r>
        <w:t>April</w:t>
      </w:r>
      <w:r w:rsidRPr="00967032">
        <w:t xml:space="preserve"> </w:t>
      </w:r>
      <w:proofErr w:type="gramStart"/>
      <w:r>
        <w:t>[ ]</w:t>
      </w:r>
      <w:proofErr w:type="gramEnd"/>
      <w:r>
        <w:t>,20</w:t>
      </w:r>
      <w:r w:rsidR="009F5CF3">
        <w:t>2</w:t>
      </w:r>
      <w:r>
        <w:t>0</w:t>
      </w:r>
      <w:r w:rsidRPr="00967032">
        <w:t xml:space="preserve">, </w:t>
      </w:r>
      <w:r w:rsidR="009B3362">
        <w:t>[</w:t>
      </w:r>
      <w:proofErr w:type="spellStart"/>
      <w:r w:rsidR="009B3362">
        <w:t>Acq.Co</w:t>
      </w:r>
      <w:proofErr w:type="spellEnd"/>
      <w:r w:rsidR="009B3362">
        <w:t xml:space="preserve">.] </w:t>
      </w:r>
      <w:r w:rsidR="009F5CF3">
        <w:t xml:space="preserve">announced that it has acquired </w:t>
      </w:r>
      <w:r>
        <w:t>[ABC Corporation]</w:t>
      </w:r>
      <w:r w:rsidRPr="00967032">
        <w:t xml:space="preserve"> </w:t>
      </w:r>
      <w:r w:rsidR="009B3362">
        <w:t>(“</w:t>
      </w:r>
      <w:proofErr w:type="spellStart"/>
      <w:r w:rsidR="009B3362">
        <w:t>TargetCo</w:t>
      </w:r>
      <w:proofErr w:type="spellEnd"/>
      <w:r w:rsidR="009B3362">
        <w:t>.”)</w:t>
      </w:r>
      <w:r w:rsidR="009F5CF3">
        <w:t xml:space="preserve">, a provider of wearable technology for smartwatches and augmented reality </w:t>
      </w:r>
      <w:r w:rsidR="00A0620A">
        <w:t xml:space="preserve">(“AR”) </w:t>
      </w:r>
      <w:r w:rsidR="009F5CF3">
        <w:t>devices, for a total consideration of $[ ] paid in cash</w:t>
      </w:r>
      <w:r w:rsidRPr="00967032">
        <w:t xml:space="preserve">. </w:t>
      </w:r>
      <w:r w:rsidR="009F5CF3">
        <w:t>[ABC Corporation]’s operations will be merged with [</w:t>
      </w:r>
      <w:proofErr w:type="spellStart"/>
      <w:r w:rsidR="009F5CF3">
        <w:t>Acq.Co</w:t>
      </w:r>
      <w:proofErr w:type="spellEnd"/>
      <w:r w:rsidR="009F5CF3">
        <w:t xml:space="preserve">.]’s </w:t>
      </w:r>
      <w:r w:rsidR="00AF0281">
        <w:t>[</w:t>
      </w:r>
      <w:proofErr w:type="spellStart"/>
      <w:r w:rsidR="009F5CF3">
        <w:t>WearTech</w:t>
      </w:r>
      <w:proofErr w:type="spellEnd"/>
      <w:r w:rsidR="00AF0281">
        <w:t>]</w:t>
      </w:r>
      <w:r w:rsidR="009F5CF3">
        <w:t xml:space="preserve"> segment </w:t>
      </w:r>
      <w:r w:rsidR="00432918">
        <w:t>and help [</w:t>
      </w:r>
      <w:proofErr w:type="spellStart"/>
      <w:r w:rsidR="00432918">
        <w:t>Acq.Co</w:t>
      </w:r>
      <w:proofErr w:type="spellEnd"/>
      <w:r w:rsidR="00432918">
        <w:t>.] to further strengthen its position in the North American wearables market</w:t>
      </w:r>
      <w:r w:rsidR="009F5CF3">
        <w:t>.</w:t>
      </w:r>
    </w:p>
    <w:p w:rsidR="00432918" w:rsidRPr="00AF0281" w:rsidRDefault="00432918" w:rsidP="00AF0281">
      <w:pPr>
        <w:pStyle w:val="Heading3"/>
        <w:rPr>
          <w:noProof w:val="0"/>
          <w:color w:val="0028A0"/>
          <w:lang w:val="en-GB"/>
        </w:rPr>
      </w:pPr>
      <w:r w:rsidRPr="00AF0281">
        <w:rPr>
          <w:noProof w:val="0"/>
          <w:color w:val="0028A0"/>
          <w:lang w:val="en-GB"/>
        </w:rPr>
        <w:t>Target Overview</w:t>
      </w:r>
    </w:p>
    <w:p w:rsidR="00AF0281" w:rsidRDefault="00AF0281" w:rsidP="00E273EE">
      <w:r w:rsidRPr="00AF0281">
        <w:t xml:space="preserve"> </w:t>
      </w:r>
      <w:r>
        <w:t>[ABC Corporation] is a provider</w:t>
      </w:r>
      <w:r w:rsidRPr="00AF0281">
        <w:t xml:space="preserve"> </w:t>
      </w:r>
      <w:r>
        <w:t>of wearable technology solutions for leisure, healthcare and gaming segments</w:t>
      </w:r>
      <w:r w:rsidRPr="00AF0281">
        <w:t xml:space="preserve">. </w:t>
      </w:r>
      <w:r w:rsidR="005D2BFE">
        <w:t xml:space="preserve">The Company’s offerings include </w:t>
      </w:r>
      <w:r w:rsidR="005D2BFE" w:rsidRPr="005D2BFE">
        <w:t xml:space="preserve">fitness </w:t>
      </w:r>
      <w:r w:rsidR="005D2BFE">
        <w:t xml:space="preserve">trackers, </w:t>
      </w:r>
      <w:r w:rsidR="005D2BFE" w:rsidRPr="005D2BFE">
        <w:t xml:space="preserve">smartwatches, wristbands, </w:t>
      </w:r>
      <w:proofErr w:type="spellStart"/>
      <w:r w:rsidR="001270F4">
        <w:t>smartglasses</w:t>
      </w:r>
      <w:proofErr w:type="spellEnd"/>
      <w:r w:rsidR="001270F4">
        <w:t xml:space="preserve">, </w:t>
      </w:r>
      <w:r w:rsidR="005D2BFE">
        <w:t xml:space="preserve">and </w:t>
      </w:r>
      <w:r w:rsidR="005D2BFE" w:rsidRPr="005D2BFE">
        <w:t>activity trackers</w:t>
      </w:r>
      <w:r w:rsidR="005D2BFE">
        <w:t xml:space="preserve">. It also offers a customized user platform and application-specific mobile apps. [ABC Corporation] started </w:t>
      </w:r>
      <w:r w:rsidR="00A0620A">
        <w:t xml:space="preserve">operations </w:t>
      </w:r>
      <w:r w:rsidR="005D2BFE">
        <w:t xml:space="preserve">as a provider of </w:t>
      </w:r>
      <w:r w:rsidR="00A0620A">
        <w:t xml:space="preserve">technology </w:t>
      </w:r>
      <w:r w:rsidR="005D2BFE">
        <w:t xml:space="preserve">solutions for </w:t>
      </w:r>
      <w:r w:rsidR="00A0620A">
        <w:t xml:space="preserve">AR gaming market, and expanded into wearable devices with the launch of its </w:t>
      </w:r>
      <w:proofErr w:type="gramStart"/>
      <w:r w:rsidR="00A0620A">
        <w:t>[ ]</w:t>
      </w:r>
      <w:proofErr w:type="gramEnd"/>
      <w:r w:rsidR="00A0620A">
        <w:t xml:space="preserve"> brand in 20xx.</w:t>
      </w:r>
      <w:r w:rsidR="001270F4">
        <w:t xml:space="preserve"> The Company launched its </w:t>
      </w:r>
      <w:proofErr w:type="gramStart"/>
      <w:r w:rsidR="001270F4">
        <w:t>[ ]</w:t>
      </w:r>
      <w:proofErr w:type="gramEnd"/>
      <w:r w:rsidR="001270F4">
        <w:t xml:space="preserve"> brand of </w:t>
      </w:r>
      <w:proofErr w:type="spellStart"/>
      <w:r w:rsidR="001270F4">
        <w:t>smartglasses</w:t>
      </w:r>
      <w:proofErr w:type="spellEnd"/>
      <w:r w:rsidR="001270F4">
        <w:t xml:space="preserve"> in Canada</w:t>
      </w:r>
      <w:r w:rsidR="00A0620A">
        <w:t xml:space="preserve"> </w:t>
      </w:r>
      <w:r w:rsidR="001270F4">
        <w:t xml:space="preserve">in January 2020, and is planning to launch it in the US market by the end of 2020. </w:t>
      </w:r>
      <w:r w:rsidR="00A0620A">
        <w:t xml:space="preserve">The Company also collaborates with equipment manufacturers to provide branded devices under its </w:t>
      </w:r>
      <w:proofErr w:type="gramStart"/>
      <w:r w:rsidR="00A0620A">
        <w:t>[ ]</w:t>
      </w:r>
      <w:proofErr w:type="gramEnd"/>
      <w:r w:rsidR="00A0620A">
        <w:t xml:space="preserve"> brand. Founded in 20xx, [ABC Corporation] is headquartered in </w:t>
      </w:r>
      <w:proofErr w:type="gramStart"/>
      <w:r w:rsidR="00A0620A">
        <w:t>[ ]</w:t>
      </w:r>
      <w:proofErr w:type="gramEnd"/>
      <w:r w:rsidR="00A0620A">
        <w:t>.</w:t>
      </w:r>
    </w:p>
    <w:p w:rsidR="00AF0281" w:rsidRDefault="00AF0281" w:rsidP="00E273EE"/>
    <w:p w:rsidR="001D7FB4" w:rsidRPr="00E273EE" w:rsidRDefault="001D7FB4" w:rsidP="00E273EE">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t xml:space="preserve">. Lam, </w:t>
      </w:r>
      <w:proofErr w:type="spellStart"/>
      <w:r w:rsidRPr="00E273EE">
        <w:t>quat</w:t>
      </w:r>
      <w:proofErr w:type="spellEnd"/>
      <w:r w:rsidRPr="00E273EE">
        <w:t xml:space="preserve"> </w:t>
      </w:r>
      <w:proofErr w:type="spellStart"/>
      <w:r w:rsidRPr="00E273EE">
        <w:t>illan</w:t>
      </w:r>
      <w:proofErr w:type="spellEnd"/>
      <w:r w:rsidRPr="00E273EE">
        <w:t xml:space="preserve"> </w:t>
      </w:r>
      <w:proofErr w:type="spellStart"/>
      <w:r w:rsidRPr="00E273EE">
        <w:t>henim</w:t>
      </w:r>
      <w:proofErr w:type="spellEnd"/>
      <w:r w:rsidRPr="00E273EE">
        <w:t xml:space="preserve"> </w:t>
      </w:r>
      <w:proofErr w:type="spellStart"/>
      <w:r w:rsidRPr="00E273EE">
        <w:t>zzril</w:t>
      </w:r>
      <w:proofErr w:type="spellEnd"/>
      <w:r w:rsidRPr="00E273EE">
        <w:t xml:space="preserve"> ipsum non </w:t>
      </w:r>
      <w:proofErr w:type="spellStart"/>
      <w:r w:rsidRPr="00E273EE">
        <w:t>vulluptatue</w:t>
      </w:r>
      <w:proofErr w:type="spellEnd"/>
      <w:r w:rsidRPr="00E273EE">
        <w:t xml:space="preserve"> </w:t>
      </w:r>
      <w:proofErr w:type="spellStart"/>
      <w:r w:rsidRPr="00E273EE">
        <w:t>feugueriusto</w:t>
      </w:r>
      <w:proofErr w:type="spellEnd"/>
      <w:r w:rsidRPr="00E273EE">
        <w:t xml:space="preserve"> </w:t>
      </w:r>
      <w:proofErr w:type="spellStart"/>
      <w:r w:rsidRPr="00E273EE">
        <w:t>odoloreet</w:t>
      </w:r>
      <w:proofErr w:type="spellEnd"/>
      <w:r w:rsidRPr="00E273EE">
        <w:t xml:space="preserve">, </w:t>
      </w:r>
      <w:proofErr w:type="spellStart"/>
      <w:r w:rsidRPr="00E273EE">
        <w:t>sisci</w:t>
      </w:r>
      <w:proofErr w:type="spellEnd"/>
      <w:r w:rsidRPr="00E273EE">
        <w:t xml:space="preserve"> tem </w:t>
      </w:r>
      <w:proofErr w:type="spellStart"/>
      <w:r w:rsidRPr="00E273EE">
        <w:t>iureet</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p>
    <w:p w:rsidR="004B7127" w:rsidRPr="00997393" w:rsidRDefault="004B7127" w:rsidP="00997393">
      <w:pPr>
        <w:pStyle w:val="AcuityBulletsLevel1"/>
      </w:pPr>
      <w:r w:rsidRPr="00997393">
        <w:t xml:space="preserve">Bullet level 1 - In </w:t>
      </w:r>
      <w:proofErr w:type="spellStart"/>
      <w:r w:rsidRPr="00997393">
        <w:t>commy</w:t>
      </w:r>
      <w:proofErr w:type="spellEnd"/>
      <w:r w:rsidRPr="00997393">
        <w:t xml:space="preserve"> </w:t>
      </w:r>
      <w:proofErr w:type="spellStart"/>
      <w:r w:rsidRPr="00997393">
        <w:t>nulputat</w:t>
      </w:r>
      <w:proofErr w:type="spellEnd"/>
      <w:r w:rsidRPr="00997393">
        <w:t xml:space="preserve">, sis </w:t>
      </w:r>
      <w:proofErr w:type="spellStart"/>
      <w:r w:rsidRPr="00997393">
        <w:t>niam</w:t>
      </w:r>
      <w:proofErr w:type="spellEnd"/>
      <w:r w:rsidRPr="00997393">
        <w:t xml:space="preserve"> </w:t>
      </w:r>
      <w:proofErr w:type="spellStart"/>
      <w:r w:rsidRPr="00997393">
        <w:t>augiat</w:t>
      </w:r>
      <w:proofErr w:type="spellEnd"/>
      <w:r w:rsidRPr="00997393">
        <w:t xml:space="preserve"> </w:t>
      </w:r>
      <w:proofErr w:type="spellStart"/>
      <w:r w:rsidRPr="00997393">
        <w:t>iliquam</w:t>
      </w:r>
      <w:proofErr w:type="spellEnd"/>
      <w:r w:rsidRPr="00997393">
        <w:t xml:space="preserve">, qui </w:t>
      </w:r>
      <w:proofErr w:type="spellStart"/>
      <w:r w:rsidRPr="00997393">
        <w:t>tate</w:t>
      </w:r>
      <w:proofErr w:type="spellEnd"/>
      <w:r w:rsidRPr="00997393">
        <w:t xml:space="preserve"> </w:t>
      </w:r>
      <w:proofErr w:type="spellStart"/>
      <w:r w:rsidRPr="00997393">
        <w:t>feui</w:t>
      </w:r>
      <w:proofErr w:type="spellEnd"/>
      <w:r w:rsidRPr="00997393">
        <w:t xml:space="preserve"> </w:t>
      </w:r>
      <w:proofErr w:type="spellStart"/>
      <w:r w:rsidRPr="00997393">
        <w:t>er</w:t>
      </w:r>
      <w:proofErr w:type="spellEnd"/>
      <w:r w:rsidRPr="00997393">
        <w:t xml:space="preserve"> </w:t>
      </w:r>
      <w:proofErr w:type="spellStart"/>
      <w:r w:rsidRPr="00997393">
        <w:t>illumsandre</w:t>
      </w:r>
      <w:proofErr w:type="spellEnd"/>
      <w:r w:rsidRPr="00997393">
        <w:t xml:space="preserve"> </w:t>
      </w:r>
      <w:proofErr w:type="spellStart"/>
      <w:r w:rsidRPr="00997393">
        <w:t>facidunt</w:t>
      </w:r>
      <w:proofErr w:type="spellEnd"/>
      <w:r w:rsidRPr="00997393">
        <w:t xml:space="preserve"> </w:t>
      </w:r>
      <w:proofErr w:type="spellStart"/>
      <w:r w:rsidRPr="00997393">
        <w:t>lor</w:t>
      </w:r>
      <w:proofErr w:type="spellEnd"/>
      <w:r w:rsidRPr="00997393">
        <w:t xml:space="preserve"> </w:t>
      </w:r>
      <w:proofErr w:type="spellStart"/>
      <w:r w:rsidRPr="00997393">
        <w:t>summodiatio</w:t>
      </w:r>
      <w:proofErr w:type="spellEnd"/>
      <w:r w:rsidRPr="00997393">
        <w:t xml:space="preserve"> </w:t>
      </w:r>
      <w:proofErr w:type="spellStart"/>
      <w:r w:rsidRPr="00997393">
        <w:t>corper</w:t>
      </w:r>
      <w:proofErr w:type="spellEnd"/>
      <w:r w:rsidRPr="00997393">
        <w:t xml:space="preserve"> </w:t>
      </w:r>
      <w:proofErr w:type="spellStart"/>
      <w:r w:rsidRPr="00997393">
        <w:t>sendipis</w:t>
      </w:r>
      <w:proofErr w:type="spellEnd"/>
      <w:r w:rsidRPr="00997393">
        <w:t xml:space="preserve"> </w:t>
      </w:r>
      <w:proofErr w:type="spellStart"/>
      <w:r w:rsidRPr="00997393">
        <w:t>euguercidui</w:t>
      </w:r>
      <w:proofErr w:type="spellEnd"/>
      <w:r w:rsidRPr="00997393">
        <w:t xml:space="preserve"> </w:t>
      </w:r>
      <w:proofErr w:type="spellStart"/>
      <w:r w:rsidRPr="00997393">
        <w:t>bla</w:t>
      </w:r>
      <w:proofErr w:type="spellEnd"/>
      <w:r w:rsidRPr="00997393">
        <w:t xml:space="preserve"> </w:t>
      </w:r>
      <w:proofErr w:type="spellStart"/>
      <w:r w:rsidRPr="00997393">
        <w:t>feuiscilis</w:t>
      </w:r>
      <w:proofErr w:type="spellEnd"/>
      <w:r w:rsidRPr="00997393">
        <w:t xml:space="preserve"> </w:t>
      </w:r>
      <w:proofErr w:type="spellStart"/>
      <w:r w:rsidRPr="00997393">
        <w:t>dit</w:t>
      </w:r>
      <w:proofErr w:type="spellEnd"/>
      <w:r w:rsidRPr="00997393">
        <w:t xml:space="preserve"> </w:t>
      </w:r>
      <w:proofErr w:type="spellStart"/>
      <w:r w:rsidRPr="00997393">
        <w:t>adit</w:t>
      </w:r>
      <w:proofErr w:type="spellEnd"/>
      <w:r w:rsidRPr="00997393">
        <w:t xml:space="preserve"> </w:t>
      </w:r>
      <w:proofErr w:type="spellStart"/>
      <w:r w:rsidRPr="00997393">
        <w:t>wis</w:t>
      </w:r>
      <w:proofErr w:type="spellEnd"/>
      <w:r w:rsidRPr="00997393">
        <w:t xml:space="preserve"> </w:t>
      </w:r>
      <w:proofErr w:type="spellStart"/>
      <w:r w:rsidRPr="00997393">
        <w:t>nonsecte</w:t>
      </w:r>
      <w:proofErr w:type="spellEnd"/>
      <w:r w:rsidRPr="00997393">
        <w:t xml:space="preserve"> </w:t>
      </w:r>
      <w:proofErr w:type="spellStart"/>
      <w:r w:rsidRPr="00997393">
        <w:t>facilit</w:t>
      </w:r>
      <w:proofErr w:type="spellEnd"/>
      <w:r w:rsidRPr="00997393">
        <w:t xml:space="preserve">, qui </w:t>
      </w:r>
      <w:proofErr w:type="spellStart"/>
      <w:r w:rsidRPr="00997393">
        <w:t>bla</w:t>
      </w:r>
      <w:proofErr w:type="spellEnd"/>
      <w:r w:rsidRPr="00997393">
        <w:t xml:space="preserve"> </w:t>
      </w:r>
      <w:proofErr w:type="spellStart"/>
      <w:r w:rsidRPr="00997393">
        <w:t>feugait</w:t>
      </w:r>
      <w:proofErr w:type="spellEnd"/>
      <w:r w:rsidRPr="00997393">
        <w:t xml:space="preserve"> </w:t>
      </w:r>
      <w:proofErr w:type="spellStart"/>
      <w:r w:rsidRPr="00997393">
        <w:t>aliquipisi</w:t>
      </w:r>
      <w:proofErr w:type="spellEnd"/>
      <w:r w:rsidRPr="00997393">
        <w:t xml:space="preserve"> </w:t>
      </w:r>
      <w:proofErr w:type="spellStart"/>
      <w:r w:rsidRPr="00997393">
        <w:t>essim</w:t>
      </w:r>
      <w:proofErr w:type="spellEnd"/>
      <w:r w:rsidRPr="00997393">
        <w:t xml:space="preserve"> </w:t>
      </w:r>
      <w:proofErr w:type="spellStart"/>
      <w:r w:rsidRPr="00997393">
        <w:t>nis</w:t>
      </w:r>
      <w:proofErr w:type="spellEnd"/>
      <w:r w:rsidRPr="00997393">
        <w:t xml:space="preserve"> am </w:t>
      </w:r>
      <w:proofErr w:type="spellStart"/>
      <w:r w:rsidRPr="00997393">
        <w:t>zzriliquat</w:t>
      </w:r>
      <w:proofErr w:type="spellEnd"/>
      <w:r w:rsidRPr="00997393">
        <w:t xml:space="preserve"> </w:t>
      </w:r>
      <w:proofErr w:type="spellStart"/>
      <w:r w:rsidRPr="00997393">
        <w:t>alismolor</w:t>
      </w:r>
      <w:proofErr w:type="spellEnd"/>
      <w:r w:rsidRPr="00997393">
        <w:t xml:space="preserve"> </w:t>
      </w:r>
      <w:proofErr w:type="spellStart"/>
      <w:r w:rsidRPr="00997393">
        <w:t>ipisi</w:t>
      </w:r>
      <w:proofErr w:type="spellEnd"/>
      <w:r w:rsidRPr="00997393">
        <w:t>.</w:t>
      </w:r>
    </w:p>
    <w:p w:rsidR="004B7127" w:rsidRPr="004B7127" w:rsidRDefault="004B7127" w:rsidP="00930F7A">
      <w:pPr>
        <w:pStyle w:val="AcuityBulletsLevel2"/>
      </w:pPr>
      <w:r w:rsidRPr="004B7127">
        <w:t xml:space="preserve">Bullet level 2 - In item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 xml:space="preserve"> </w:t>
      </w:r>
      <w:proofErr w:type="spellStart"/>
      <w:r w:rsidRPr="004B7127">
        <w:t>nosto</w:t>
      </w:r>
      <w:proofErr w:type="spellEnd"/>
      <w:r w:rsidRPr="004B7127">
        <w:t xml:space="preserve"> </w:t>
      </w:r>
      <w:proofErr w:type="spellStart"/>
      <w:r w:rsidRPr="004B7127">
        <w:t>consectet</w:t>
      </w:r>
      <w:proofErr w:type="spellEnd"/>
      <w:r w:rsidRPr="004B7127">
        <w:t xml:space="preserve"> </w:t>
      </w:r>
      <w:proofErr w:type="spellStart"/>
      <w:r w:rsidRPr="004B7127">
        <w:t>irilit</w:t>
      </w:r>
      <w:proofErr w:type="spellEnd"/>
      <w:r w:rsidRPr="004B7127">
        <w:t xml:space="preserve"> </w:t>
      </w:r>
      <w:proofErr w:type="spellStart"/>
      <w:r w:rsidRPr="004B7127">
        <w:t>luptatum</w:t>
      </w:r>
      <w:proofErr w:type="spellEnd"/>
      <w:r w:rsidRPr="004B7127">
        <w:t xml:space="preserve"> </w:t>
      </w:r>
      <w:proofErr w:type="spellStart"/>
      <w:r w:rsidRPr="004B7127">
        <w:t>ing</w:t>
      </w:r>
      <w:proofErr w:type="spellEnd"/>
      <w:r w:rsidRPr="004B7127">
        <w:t xml:space="preserve"> </w:t>
      </w:r>
      <w:proofErr w:type="spellStart"/>
      <w:r w:rsidRPr="004B7127">
        <w:t>eliquat</w:t>
      </w:r>
      <w:proofErr w:type="spellEnd"/>
      <w:r w:rsidRPr="004B7127">
        <w:t xml:space="preserve">. </w:t>
      </w:r>
      <w:proofErr w:type="spellStart"/>
      <w:r w:rsidRPr="004B7127">
        <w:t>Ut</w:t>
      </w:r>
      <w:proofErr w:type="spellEnd"/>
      <w:r w:rsidRPr="004B7127">
        <w:t xml:space="preserve"> </w:t>
      </w:r>
      <w:proofErr w:type="spellStart"/>
      <w:r w:rsidRPr="004B7127">
        <w:t>ipit</w:t>
      </w:r>
      <w:proofErr w:type="spellEnd"/>
      <w:r w:rsidRPr="004B7127">
        <w:t xml:space="preserve"> </w:t>
      </w:r>
      <w:proofErr w:type="spellStart"/>
      <w:r w:rsidRPr="004B7127">
        <w:t>numsandigna</w:t>
      </w:r>
      <w:proofErr w:type="spellEnd"/>
      <w:r w:rsidRPr="004B7127">
        <w:t xml:space="preserve"> </w:t>
      </w:r>
      <w:proofErr w:type="spellStart"/>
      <w:r w:rsidRPr="004B7127">
        <w:t>consequatem</w:t>
      </w:r>
      <w:proofErr w:type="spellEnd"/>
      <w:r w:rsidRPr="004B7127">
        <w:t xml:space="preserve"> </w:t>
      </w:r>
      <w:proofErr w:type="spellStart"/>
      <w:r w:rsidRPr="004B7127">
        <w:t>vendit</w:t>
      </w:r>
      <w:proofErr w:type="spellEnd"/>
      <w:r w:rsidRPr="004B7127">
        <w:t>.</w:t>
      </w:r>
    </w:p>
    <w:p w:rsidR="004B7127" w:rsidRPr="004B7127" w:rsidRDefault="004B7127" w:rsidP="00930F7A">
      <w:pPr>
        <w:pStyle w:val="AcuityBulletsLevel3"/>
      </w:pPr>
      <w:r w:rsidRPr="004B7127">
        <w:t xml:space="preserve">Bullet level 3 - In el ex </w:t>
      </w:r>
      <w:proofErr w:type="spellStart"/>
      <w:r w:rsidRPr="004B7127">
        <w:t>ex</w:t>
      </w:r>
      <w:proofErr w:type="spellEnd"/>
      <w:r w:rsidRPr="004B7127">
        <w:t xml:space="preserve"> </w:t>
      </w:r>
      <w:proofErr w:type="spellStart"/>
      <w:r w:rsidRPr="004B7127">
        <w:t>estis</w:t>
      </w:r>
      <w:proofErr w:type="spellEnd"/>
      <w:r w:rsidRPr="004B7127">
        <w:t xml:space="preserve"> dui 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w:t>
      </w:r>
    </w:p>
    <w:p w:rsidR="004B7127" w:rsidRPr="00997393" w:rsidRDefault="004B7127" w:rsidP="00997393">
      <w:pPr>
        <w:pStyle w:val="AcuityBulletsLevel4"/>
      </w:pPr>
      <w:r w:rsidRPr="00997393">
        <w:t xml:space="preserve">Bullet level 4 - In el ex </w:t>
      </w:r>
      <w:proofErr w:type="spellStart"/>
      <w:r w:rsidRPr="00997393">
        <w:t>ex</w:t>
      </w:r>
      <w:proofErr w:type="spellEnd"/>
      <w:r w:rsidRPr="00997393">
        <w:t xml:space="preserve"> </w:t>
      </w:r>
      <w:proofErr w:type="spellStart"/>
      <w:r w:rsidRPr="00997393">
        <w:t>estis</w:t>
      </w:r>
      <w:proofErr w:type="spellEnd"/>
      <w:r w:rsidRPr="00997393">
        <w:t xml:space="preserve"> dui tem ese </w:t>
      </w:r>
      <w:proofErr w:type="spellStart"/>
      <w:r w:rsidRPr="00997393">
        <w:t>faciliquatum</w:t>
      </w:r>
      <w:proofErr w:type="spellEnd"/>
      <w:r w:rsidRPr="00997393">
        <w:t xml:space="preserve"> del dui </w:t>
      </w:r>
      <w:proofErr w:type="spellStart"/>
      <w:r w:rsidRPr="00997393">
        <w:t>bla</w:t>
      </w:r>
      <w:proofErr w:type="spellEnd"/>
      <w:r w:rsidRPr="00997393">
        <w:t xml:space="preserve"> </w:t>
      </w:r>
      <w:proofErr w:type="spellStart"/>
      <w:r w:rsidRPr="00997393">
        <w:t>facil</w:t>
      </w:r>
      <w:proofErr w:type="spellEnd"/>
      <w:r w:rsidRPr="00997393">
        <w:t xml:space="preserve"> </w:t>
      </w:r>
      <w:proofErr w:type="spellStart"/>
      <w:r w:rsidRPr="00997393">
        <w:t>dolum</w:t>
      </w:r>
      <w:proofErr w:type="spellEnd"/>
      <w:r w:rsidRPr="00997393">
        <w:t xml:space="preserve"> et </w:t>
      </w:r>
      <w:proofErr w:type="spellStart"/>
      <w:r w:rsidRPr="00997393">
        <w:t>landiat</w:t>
      </w:r>
      <w:proofErr w:type="spellEnd"/>
      <w:r w:rsidRPr="00997393">
        <w:t xml:space="preserve"> </w:t>
      </w:r>
      <w:proofErr w:type="spellStart"/>
      <w:r w:rsidRPr="00997393">
        <w:t>umsandiam</w:t>
      </w:r>
      <w:proofErr w:type="spellEnd"/>
      <w:r w:rsidRPr="00997393">
        <w:t xml:space="preserve">, </w:t>
      </w:r>
      <w:proofErr w:type="spellStart"/>
      <w:r w:rsidRPr="00997393">
        <w:t>quisi</w:t>
      </w:r>
      <w:proofErr w:type="spellEnd"/>
      <w:r w:rsidRPr="00997393">
        <w:t xml:space="preserve"> </w:t>
      </w:r>
      <w:proofErr w:type="spellStart"/>
      <w:r w:rsidRPr="00997393">
        <w:t>eugait</w:t>
      </w:r>
      <w:proofErr w:type="spellEnd"/>
      <w:r w:rsidRPr="00997393">
        <w:t xml:space="preserve"> </w:t>
      </w:r>
      <w:proofErr w:type="spellStart"/>
      <w:r w:rsidRPr="00997393">
        <w:t>augiamcore</w:t>
      </w:r>
      <w:proofErr w:type="spellEnd"/>
      <w:r w:rsidRPr="00997393">
        <w:t xml:space="preserve"> </w:t>
      </w:r>
      <w:proofErr w:type="spellStart"/>
      <w:r w:rsidRPr="00997393">
        <w:t>commy</w:t>
      </w:r>
      <w:proofErr w:type="spellEnd"/>
      <w:r w:rsidRPr="00997393">
        <w:t xml:space="preserve"> </w:t>
      </w:r>
      <w:proofErr w:type="spellStart"/>
      <w:r w:rsidRPr="00997393">
        <w:t>nim</w:t>
      </w:r>
      <w:proofErr w:type="spellEnd"/>
      <w:r w:rsidRPr="00997393">
        <w:t xml:space="preserve"> </w:t>
      </w:r>
      <w:proofErr w:type="spellStart"/>
      <w:r w:rsidRPr="00997393">
        <w:t>quamconsed</w:t>
      </w:r>
      <w:proofErr w:type="spellEnd"/>
      <w:r w:rsidRPr="00997393">
        <w:t xml:space="preserve"> </w:t>
      </w:r>
      <w:proofErr w:type="spellStart"/>
      <w:r w:rsidRPr="00997393">
        <w:t>esto</w:t>
      </w:r>
      <w:proofErr w:type="spellEnd"/>
      <w:r w:rsidRPr="00997393">
        <w:t xml:space="preserve"> </w:t>
      </w:r>
      <w:proofErr w:type="spellStart"/>
      <w:r w:rsidRPr="00997393">
        <w:t>corpercilis</w:t>
      </w:r>
      <w:proofErr w:type="spellEnd"/>
      <w:r w:rsidRPr="00997393">
        <w:t xml:space="preserve"> </w:t>
      </w:r>
      <w:proofErr w:type="spellStart"/>
      <w:r w:rsidRPr="00997393">
        <w:t>nullaorem</w:t>
      </w:r>
      <w:proofErr w:type="spellEnd"/>
      <w:r w:rsidRPr="00997393">
        <w:t xml:space="preserve"> </w:t>
      </w:r>
      <w:proofErr w:type="spellStart"/>
      <w:r w:rsidRPr="00997393">
        <w:t>il</w:t>
      </w:r>
      <w:proofErr w:type="spellEnd"/>
      <w:r w:rsidRPr="00997393">
        <w:t xml:space="preserve"> </w:t>
      </w:r>
      <w:proofErr w:type="spellStart"/>
      <w:r w:rsidRPr="00997393">
        <w:t>il</w:t>
      </w:r>
      <w:proofErr w:type="spellEnd"/>
      <w:r w:rsidRPr="00997393">
        <w:t xml:space="preserve"> </w:t>
      </w:r>
      <w:proofErr w:type="spellStart"/>
      <w:r w:rsidRPr="00997393">
        <w:t>utpatuerit</w:t>
      </w:r>
      <w:proofErr w:type="spellEnd"/>
      <w:r w:rsidRPr="00997393">
        <w:t xml:space="preserve"> </w:t>
      </w:r>
      <w:proofErr w:type="spellStart"/>
      <w:r w:rsidRPr="00997393">
        <w:t>eui</w:t>
      </w:r>
      <w:proofErr w:type="spellEnd"/>
      <w:r w:rsidRPr="00997393">
        <w:t xml:space="preserve"> </w:t>
      </w:r>
      <w:proofErr w:type="spellStart"/>
      <w:r w:rsidRPr="00997393">
        <w:t>tet</w:t>
      </w:r>
      <w:proofErr w:type="spellEnd"/>
      <w:r w:rsidRPr="00997393">
        <w:t xml:space="preserve">, </w:t>
      </w:r>
      <w:proofErr w:type="spellStart"/>
      <w:r w:rsidRPr="00997393">
        <w:t>quis</w:t>
      </w:r>
      <w:proofErr w:type="spellEnd"/>
      <w:r w:rsidRPr="00997393">
        <w:t xml:space="preserve"> dui el </w:t>
      </w:r>
      <w:proofErr w:type="spellStart"/>
      <w:r w:rsidRPr="00997393">
        <w:t>iusto</w:t>
      </w:r>
      <w:proofErr w:type="spellEnd"/>
      <w:r w:rsidRPr="00997393">
        <w:t xml:space="preserve"> </w:t>
      </w:r>
      <w:proofErr w:type="spellStart"/>
      <w:r w:rsidRPr="00997393">
        <w:t>dolenis</w:t>
      </w:r>
      <w:proofErr w:type="spellEnd"/>
      <w:r w:rsidRPr="00997393">
        <w:t xml:space="preserve"> </w:t>
      </w:r>
      <w:proofErr w:type="spellStart"/>
      <w:r w:rsidRPr="00997393">
        <w:t>augiametum</w:t>
      </w:r>
      <w:proofErr w:type="spellEnd"/>
      <w:r w:rsidRPr="00997393">
        <w:t xml:space="preserve"> et, </w:t>
      </w:r>
      <w:proofErr w:type="spellStart"/>
      <w:r w:rsidRPr="00997393">
        <w:t>consed</w:t>
      </w:r>
      <w:proofErr w:type="spellEnd"/>
      <w:r w:rsidRPr="00997393">
        <w:t xml:space="preserve"> </w:t>
      </w:r>
      <w:proofErr w:type="spellStart"/>
      <w:r w:rsidRPr="00997393">
        <w:t>dolummy</w:t>
      </w:r>
      <w:proofErr w:type="spellEnd"/>
      <w:r w:rsidRPr="00997393">
        <w:t>.</w:t>
      </w:r>
    </w:p>
    <w:p w:rsidR="00C00450" w:rsidRPr="004B7127" w:rsidRDefault="00C00450" w:rsidP="008E558C">
      <w:pPr>
        <w:pStyle w:val="Heading3"/>
        <w:rPr>
          <w:noProof w:val="0"/>
          <w:lang w:val="en-GB"/>
        </w:rPr>
      </w:pPr>
      <w:bookmarkStart w:id="1" w:name="_Toc243312406"/>
      <w:bookmarkStart w:id="2" w:name="_Toc245209882"/>
      <w:bookmarkStart w:id="3" w:name="_Toc243309067"/>
      <w:r w:rsidRPr="004B7127">
        <w:rPr>
          <w:noProof w:val="0"/>
          <w:lang w:val="en-GB"/>
        </w:rPr>
        <w:t>Level 3 Head</w:t>
      </w:r>
      <w:r w:rsidR="0076263E" w:rsidRPr="004B7127">
        <w:rPr>
          <w:noProof w:val="0"/>
          <w:lang w:val="en-GB"/>
        </w:rPr>
        <w:t>ing</w:t>
      </w:r>
      <w:bookmarkEnd w:id="1"/>
      <w:bookmarkEnd w:id="2"/>
      <w:r w:rsidRPr="004B7127">
        <w:rPr>
          <w:noProof w:val="0"/>
          <w:lang w:val="en-GB"/>
        </w:rPr>
        <w:t xml:space="preserve"> </w:t>
      </w:r>
      <w:bookmarkEnd w:id="3"/>
    </w:p>
    <w:p w:rsidR="0076263E" w:rsidRPr="00E273EE" w:rsidRDefault="00C00450" w:rsidP="00E273EE">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r w:rsidR="0076263E" w:rsidRPr="00E273EE">
        <w:t>.</w:t>
      </w:r>
      <w:r w:rsidR="0076263E" w:rsidRPr="00E273EE">
        <w:footnoteReference w:id="1"/>
      </w:r>
    </w:p>
    <w:p w:rsidR="00316C0A" w:rsidRPr="00E273EE" w:rsidRDefault="00A6615A" w:rsidP="00E273EE">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004F0B3F" w:rsidRPr="00E273EE">
        <w:footnoteReference w:id="2"/>
      </w:r>
    </w:p>
    <w:p w:rsidR="007464A0" w:rsidRPr="004B7127" w:rsidRDefault="00715EAD" w:rsidP="007464A0">
      <w:pPr>
        <w:pStyle w:val="Heading1"/>
        <w:rPr>
          <w:rFonts w:ascii="Bliss Pro Medium" w:hAnsi="Bliss Pro Medium"/>
          <w:lang w:val="en-GB"/>
        </w:rPr>
      </w:pPr>
      <w:r w:rsidRPr="004B7127">
        <w:rPr>
          <w:lang w:val="en-GB"/>
        </w:rPr>
        <w:br w:type="page"/>
      </w:r>
      <w:bookmarkStart w:id="4" w:name="_Toc245209883"/>
      <w:r w:rsidR="00314AAC">
        <w:rPr>
          <w:lang w:val="en-GB"/>
        </w:rPr>
        <w:lastRenderedPageBreak/>
        <w:t>Industry</w:t>
      </w:r>
      <w:r w:rsidR="007464A0">
        <w:rPr>
          <w:lang w:val="en-GB"/>
        </w:rPr>
        <w:t xml:space="preserve"> Overview</w:t>
      </w:r>
    </w:p>
    <w:p w:rsidR="007464A0" w:rsidRPr="004B7127" w:rsidRDefault="00E80884" w:rsidP="007464A0">
      <w:pPr>
        <w:pStyle w:val="Heading2"/>
        <w:rPr>
          <w:lang w:val="en-GB"/>
        </w:rPr>
      </w:pPr>
      <w:r>
        <w:rPr>
          <w:lang w:val="en-GB"/>
        </w:rPr>
        <w:t>Overview – Wearable Technology</w:t>
      </w:r>
    </w:p>
    <w:p w:rsidR="00F43C63" w:rsidRDefault="009A2982" w:rsidP="007464A0">
      <w:r>
        <w:t>Wearable Technology</w:t>
      </w:r>
      <w:r w:rsidR="00F43C63" w:rsidRPr="00F43C63">
        <w:t xml:space="preserve">, </w:t>
      </w:r>
      <w:r w:rsidR="00F43C63">
        <w:t xml:space="preserve">commonly </w:t>
      </w:r>
      <w:r w:rsidR="00F43C63" w:rsidRPr="00F43C63">
        <w:t xml:space="preserve">known mostly as “wearables” </w:t>
      </w:r>
      <w:r>
        <w:t>is</w:t>
      </w:r>
      <w:r w:rsidR="00F43C63" w:rsidRPr="00F43C63">
        <w:t xml:space="preserve"> </w:t>
      </w:r>
      <w:r w:rsidR="00F43C63">
        <w:t xml:space="preserve">a category of </w:t>
      </w:r>
      <w:r w:rsidR="00F43C63" w:rsidRPr="00F43C63">
        <w:t xml:space="preserve">electronic devices that </w:t>
      </w:r>
      <w:r w:rsidR="00F43C63">
        <w:t>can be</w:t>
      </w:r>
      <w:r w:rsidR="00F43C63" w:rsidRPr="00F43C63">
        <w:t xml:space="preserve"> physically worn by individuals in order to track, analyze and transmit personal data.</w:t>
      </w:r>
      <w:r w:rsidR="00F43C63">
        <w:t xml:space="preserve"> </w:t>
      </w:r>
      <w:r w:rsidR="00F43C63" w:rsidRPr="00F43C63">
        <w:t>Wearable</w:t>
      </w:r>
      <w:r w:rsidR="00F43C63">
        <w:t xml:space="preserve">s </w:t>
      </w:r>
      <w:r w:rsidR="00F43C63" w:rsidRPr="00F43C63">
        <w:t>are hands-free gadgets powered by microprocessors and enhanced with the ability to send and receive data via the Interne</w:t>
      </w:r>
      <w:r w:rsidR="00F43C63">
        <w:t xml:space="preserve">t, and </w:t>
      </w:r>
      <w:r w:rsidR="00F43C63" w:rsidRPr="00F43C63">
        <w:t xml:space="preserve">may be worn, embedded in fabric or </w:t>
      </w:r>
      <w:r w:rsidR="00F43C63">
        <w:t xml:space="preserve">as </w:t>
      </w:r>
      <w:r w:rsidR="00F43C63" w:rsidRPr="00F43C63">
        <w:t>accessories</w:t>
      </w:r>
      <w:r w:rsidR="00F43C63">
        <w:t>.</w:t>
      </w:r>
      <w:r>
        <w:t xml:space="preserve"> Common wearables s</w:t>
      </w:r>
      <w:r w:rsidRPr="009A2982">
        <w:t>martwatches, head mounted displays, smart clothing, ear</w:t>
      </w:r>
      <w:r>
        <w:t>-wearables and</w:t>
      </w:r>
      <w:r w:rsidRPr="009A2982">
        <w:t xml:space="preserve"> fitness trackers, among others</w:t>
      </w:r>
    </w:p>
    <w:p w:rsidR="009A2982" w:rsidRDefault="009A2982" w:rsidP="007464A0">
      <w:r>
        <w:t xml:space="preserve">Total market size for </w:t>
      </w:r>
      <w:r w:rsidRPr="009A2982">
        <w:t xml:space="preserve">wearable technology </w:t>
      </w:r>
      <w:r>
        <w:t>market was valued at USD 27.9</w:t>
      </w:r>
      <w:r w:rsidRPr="009A2982">
        <w:t xml:space="preserve"> billion in 2019 an</w:t>
      </w:r>
      <w:r>
        <w:t>d is expected to reach USD 74.0</w:t>
      </w:r>
      <w:r w:rsidRPr="009A2982">
        <w:t xml:space="preserve"> billion by 2025, at a CAGR of 17.65%. Wearable technology is an emerging trend that integrates electronics to the daily activities and fits into the changing lifestyles </w:t>
      </w:r>
      <w:r>
        <w:t>being</w:t>
      </w:r>
      <w:r w:rsidRPr="009A2982">
        <w:t xml:space="preserve"> worn on any part of the body. The ability to connect to the</w:t>
      </w:r>
      <w:r>
        <w:t xml:space="preserve"> Internet and establ</w:t>
      </w:r>
      <w:r w:rsidRPr="009A2982">
        <w:t>ishment of data exchange between a network and a device is the driving factor that leads to wearable technology.</w:t>
      </w:r>
      <w:r>
        <w:t xml:space="preserve"> O</w:t>
      </w:r>
      <w:r w:rsidRPr="009A2982">
        <w:t>wing to the emergence of MEMS sensors</w:t>
      </w:r>
      <w:r>
        <w:t>, t</w:t>
      </w:r>
      <w:r w:rsidRPr="009A2982">
        <w:t>he wearable technology has evolved</w:t>
      </w:r>
      <w:r>
        <w:t xml:space="preserve"> as i</w:t>
      </w:r>
      <w:r w:rsidRPr="009A2982">
        <w:t xml:space="preserve">ncorporating these sensors into a dedicated wearable device driven by the impact of smartphones being used daily, on the GPS, or the IMU (consist of accelerometer, gyroscope, and magnetometer). </w:t>
      </w:r>
      <w:r>
        <w:t>This has</w:t>
      </w:r>
      <w:r w:rsidRPr="009A2982">
        <w:t xml:space="preserve"> helped the fitness tracking wearable</w:t>
      </w:r>
      <w:r>
        <w:t>s</w:t>
      </w:r>
      <w:r w:rsidRPr="009A2982">
        <w:t xml:space="preserve"> to monitor body activities using these sensors.</w:t>
      </w:r>
      <w:r w:rsidR="00210F5E">
        <w:t xml:space="preserve"> Even though the e</w:t>
      </w:r>
      <w:r w:rsidR="00210F5E" w:rsidRPr="00210F5E">
        <w:t>arly adopter industries include clothing,</w:t>
      </w:r>
      <w:r w:rsidR="00210F5E">
        <w:t xml:space="preserve"> healthcare, sports and fitness, </w:t>
      </w:r>
      <w:r w:rsidR="00210F5E" w:rsidRPr="00210F5E">
        <w:t xml:space="preserve">many </w:t>
      </w:r>
      <w:r w:rsidR="00210F5E">
        <w:t xml:space="preserve">other </w:t>
      </w:r>
      <w:r w:rsidR="00210F5E" w:rsidRPr="00210F5E">
        <w:t xml:space="preserve">industries </w:t>
      </w:r>
      <w:r w:rsidR="00210F5E">
        <w:t>are expected to adopt</w:t>
      </w:r>
      <w:r w:rsidR="00210F5E" w:rsidRPr="00210F5E">
        <w:t xml:space="preserve"> wearable technologies as computing and wireless communications integrate wearable into virtually every aspect of products and services</w:t>
      </w:r>
      <w:r w:rsidR="00210F5E">
        <w:t>.</w:t>
      </w:r>
    </w:p>
    <w:p w:rsidR="00937216" w:rsidRDefault="00937216" w:rsidP="00937216">
      <w:pPr>
        <w:jc w:val="center"/>
        <w:rPr>
          <w:b/>
        </w:rPr>
      </w:pPr>
    </w:p>
    <w:p w:rsidR="00A70DFE" w:rsidRPr="00937216" w:rsidRDefault="00937216" w:rsidP="00937216">
      <w:pPr>
        <w:jc w:val="center"/>
        <w:rPr>
          <w:b/>
        </w:rPr>
      </w:pPr>
      <w:r w:rsidRPr="00937216">
        <w:rPr>
          <w:b/>
        </w:rPr>
        <w:t>Global Wearable Technology Market Share by Application (2019)</w:t>
      </w:r>
    </w:p>
    <w:p w:rsidR="00A70DFE" w:rsidRDefault="00937216" w:rsidP="00937216">
      <w:pPr>
        <w:jc w:val="center"/>
      </w:pPr>
      <w:r>
        <w:rPr>
          <w:noProof/>
        </w:rPr>
        <w:drawing>
          <wp:inline distT="0" distB="0" distL="0" distR="0">
            <wp:extent cx="3950335" cy="209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335" cy="2096770"/>
                    </a:xfrm>
                    <a:prstGeom prst="rect">
                      <a:avLst/>
                    </a:prstGeom>
                    <a:noFill/>
                    <a:ln>
                      <a:noFill/>
                    </a:ln>
                  </pic:spPr>
                </pic:pic>
              </a:graphicData>
            </a:graphic>
          </wp:inline>
        </w:drawing>
      </w:r>
    </w:p>
    <w:p w:rsidR="003E697A" w:rsidRPr="00AF0281" w:rsidRDefault="003E697A" w:rsidP="003E697A">
      <w:pPr>
        <w:pStyle w:val="Heading3"/>
        <w:rPr>
          <w:noProof w:val="0"/>
          <w:color w:val="0028A0"/>
          <w:lang w:val="en-GB"/>
        </w:rPr>
      </w:pPr>
      <w:r w:rsidRPr="00AF0281">
        <w:rPr>
          <w:noProof w:val="0"/>
          <w:color w:val="0028A0"/>
          <w:lang w:val="en-GB"/>
        </w:rPr>
        <w:t>Smartwatch Category</w:t>
      </w:r>
      <w:r w:rsidR="00AF0281" w:rsidRPr="00AF0281">
        <w:rPr>
          <w:noProof w:val="0"/>
          <w:color w:val="0028A0"/>
          <w:lang w:val="en-GB"/>
        </w:rPr>
        <w:t xml:space="preserve"> Overview</w:t>
      </w:r>
    </w:p>
    <w:p w:rsidR="002501ED" w:rsidRDefault="002501ED" w:rsidP="002501ED">
      <w:pPr>
        <w:pStyle w:val="AcuityBulletsLevel1"/>
      </w:pPr>
      <w:r>
        <w:t xml:space="preserve">Smartwatch category, in particular, is experiencing a rise owing to the additional features, like the brand that suits the everyday lifestyle. Leaders such as Apple and Fossil are keeping the smartwatch pricing consistent with the price range of traditional watches. With Google's </w:t>
      </w:r>
      <w:proofErr w:type="spellStart"/>
      <w:r>
        <w:t>WearOS</w:t>
      </w:r>
      <w:proofErr w:type="spellEnd"/>
      <w:r>
        <w:t>, many other premium watchmakers, such as TAG and Armani, have also entered the segment. According to Cisco Systems, the global number of connected wearable devices is expected to reach 1.1 billion by 2022 from 593 million in 2018.</w:t>
      </w:r>
    </w:p>
    <w:p w:rsidR="002501ED" w:rsidRDefault="002501ED" w:rsidP="00DE7795">
      <w:pPr>
        <w:pStyle w:val="AcuityBulletsLevel1"/>
      </w:pPr>
      <w:r>
        <w:t>Smartwatches are also seeing a surge in new users, including the older population, because wearable makers, such as Apple and Fitbit, are regularly adding health-monitoring features that appeal to older and vulnerable people, and keep them updated about their health status in real-time.</w:t>
      </w:r>
    </w:p>
    <w:p w:rsidR="006C6229" w:rsidRDefault="002501ED" w:rsidP="00DE7795">
      <w:pPr>
        <w:pStyle w:val="AcuityBulletsLevel1"/>
      </w:pPr>
      <w:r>
        <w:t>Apple Inc.</w:t>
      </w:r>
      <w:r w:rsidR="00453915">
        <w:t>’s</w:t>
      </w:r>
      <w:r>
        <w:t xml:space="preserve"> booming wearables and accessories segment helped to make up for the declining iPhone sales</w:t>
      </w:r>
      <w:r w:rsidR="00453915">
        <w:t xml:space="preserve"> in 2019 with</w:t>
      </w:r>
      <w:r>
        <w:t xml:space="preserve"> </w:t>
      </w:r>
      <w:r w:rsidR="00453915">
        <w:t xml:space="preserve">the </w:t>
      </w:r>
      <w:r>
        <w:t xml:space="preserve">sales of wearable and accessories products </w:t>
      </w:r>
      <w:r w:rsidR="00453915">
        <w:t>growing</w:t>
      </w:r>
      <w:r>
        <w:t xml:space="preserve"> 54% in </w:t>
      </w:r>
      <w:r w:rsidR="00453915">
        <w:t>Q4</w:t>
      </w:r>
      <w:r>
        <w:t xml:space="preserve"> 2019 to USD 6.5 billion.</w:t>
      </w:r>
    </w:p>
    <w:p w:rsidR="006C6229" w:rsidRDefault="002501ED" w:rsidP="00DE7795">
      <w:pPr>
        <w:pStyle w:val="AcuityBulletsLevel1"/>
      </w:pPr>
      <w:r>
        <w:t>New entrants a</w:t>
      </w:r>
      <w:r w:rsidR="006C6229">
        <w:t xml:space="preserve">re expected in 2020 and beyond. </w:t>
      </w:r>
      <w:r>
        <w:t xml:space="preserve">In 2019, it was reported that Amazon was venturing into the wearables business with Alexa-enabled </w:t>
      </w:r>
      <w:proofErr w:type="spellStart"/>
      <w:r>
        <w:t>earpods</w:t>
      </w:r>
      <w:proofErr w:type="spellEnd"/>
      <w:r>
        <w:t xml:space="preserve">. The entry of Amazon is likely to pose fierce competition to the existing players in the wearables segment. </w:t>
      </w:r>
      <w:r w:rsidR="006C6229">
        <w:t>T</w:t>
      </w:r>
      <w:r>
        <w:t>he growth of smart wearables' technological capabilities, the complexity and data security concerns are likely to act as challenges for market growth</w:t>
      </w:r>
      <w:r w:rsidR="006C6229">
        <w:t xml:space="preserve"> even though</w:t>
      </w:r>
      <w:r>
        <w:t xml:space="preserve"> </w:t>
      </w:r>
      <w:r w:rsidR="006C6229">
        <w:t>t</w:t>
      </w:r>
      <w:r>
        <w:t>he on-going research in the smart wearable space is expected to address these challenges over the coming years.</w:t>
      </w:r>
    </w:p>
    <w:p w:rsidR="002501ED" w:rsidRDefault="002501ED" w:rsidP="00DE7795">
      <w:pPr>
        <w:pStyle w:val="AcuityBulletsLevel1"/>
      </w:pPr>
      <w:r>
        <w:lastRenderedPageBreak/>
        <w:t xml:space="preserve">The impact of COVID-19 on the wearable segment is expected to have a significant effect in 2020, and the first two quarters of </w:t>
      </w:r>
      <w:r w:rsidR="006C6229">
        <w:t>2021</w:t>
      </w:r>
      <w:r>
        <w:t xml:space="preserve"> it as the supply chain has experienced a considerable disruption owing to the Covid-19 being declared as a pandemic. Asian countries </w:t>
      </w:r>
      <w:r w:rsidR="006C6229">
        <w:t>including</w:t>
      </w:r>
      <w:r>
        <w:t xml:space="preserve"> China, India, South Korea, Taiwan, </w:t>
      </w:r>
      <w:r w:rsidR="006C6229">
        <w:t xml:space="preserve">and </w:t>
      </w:r>
      <w:r>
        <w:t>Japan</w:t>
      </w:r>
      <w:r w:rsidR="006C6229">
        <w:t>,</w:t>
      </w:r>
      <w:r>
        <w:t xml:space="preserve"> who have a significant presence of manufacturers of the raw materials used in wearable products manufacturing h</w:t>
      </w:r>
      <w:r w:rsidR="006C6229">
        <w:t>ave</w:t>
      </w:r>
      <w:r>
        <w:t xml:space="preserve"> experienced lockdown and have impacted the production schedules. The sales have </w:t>
      </w:r>
      <w:r w:rsidR="006C6229">
        <w:t xml:space="preserve">also registered significant </w:t>
      </w:r>
      <w:proofErr w:type="spellStart"/>
      <w:r w:rsidR="006C6229">
        <w:t>degrowth</w:t>
      </w:r>
      <w:proofErr w:type="spellEnd"/>
      <w:r>
        <w:t xml:space="preserve"> </w:t>
      </w:r>
      <w:r w:rsidR="006C6229">
        <w:t>owing to</w:t>
      </w:r>
      <w:r>
        <w:t xml:space="preserve"> the lockdown in most global economies.</w:t>
      </w:r>
    </w:p>
    <w:p w:rsidR="0067633D" w:rsidRPr="0067633D" w:rsidRDefault="0067633D" w:rsidP="0067633D">
      <w:pPr>
        <w:pStyle w:val="Heading2"/>
        <w:rPr>
          <w:lang w:val="en-GB"/>
        </w:rPr>
      </w:pPr>
      <w:r w:rsidRPr="0067633D">
        <w:rPr>
          <w:lang w:val="en-GB"/>
        </w:rPr>
        <w:t>Key Market Trends</w:t>
      </w:r>
    </w:p>
    <w:p w:rsidR="0067633D" w:rsidRPr="0067633D" w:rsidRDefault="0067633D" w:rsidP="0067633D">
      <w:pPr>
        <w:pStyle w:val="Heading3"/>
        <w:rPr>
          <w:noProof w:val="0"/>
          <w:lang w:val="en-GB"/>
        </w:rPr>
      </w:pPr>
      <w:r w:rsidRPr="0067633D">
        <w:rPr>
          <w:noProof w:val="0"/>
          <w:lang w:val="en-GB"/>
        </w:rPr>
        <w:t xml:space="preserve">Head-Mounted Display </w:t>
      </w:r>
      <w:r w:rsidR="00751DC5">
        <w:rPr>
          <w:noProof w:val="0"/>
          <w:lang w:val="en-GB"/>
        </w:rPr>
        <w:t xml:space="preserve">(“HMD”) </w:t>
      </w:r>
      <w:r w:rsidRPr="0067633D">
        <w:rPr>
          <w:noProof w:val="0"/>
          <w:lang w:val="en-GB"/>
        </w:rPr>
        <w:t>Expected to Witness Significant Growth</w:t>
      </w:r>
    </w:p>
    <w:p w:rsidR="0067633D" w:rsidRDefault="00751DC5" w:rsidP="0067633D">
      <w:pPr>
        <w:pStyle w:val="AcuityBulletsLevel1"/>
      </w:pPr>
      <w:r>
        <w:t>With</w:t>
      </w:r>
      <w:r w:rsidR="0067633D">
        <w:t xml:space="preserve"> augmented</w:t>
      </w:r>
      <w:r w:rsidR="004E5853">
        <w:t xml:space="preserve"> reality (“AR”)</w:t>
      </w:r>
      <w:r w:rsidR="0067633D">
        <w:t>, virtual</w:t>
      </w:r>
      <w:r w:rsidR="004E5853">
        <w:t xml:space="preserve"> reality (“VR”)</w:t>
      </w:r>
      <w:r w:rsidR="0067633D">
        <w:t xml:space="preserve">, and mixed reality, digital projections are overlaid </w:t>
      </w:r>
      <w:r>
        <w:t xml:space="preserve">on </w:t>
      </w:r>
      <w:r w:rsidR="0067633D">
        <w:t xml:space="preserve">to real-life objects, providing contextual information, allowing users to </w:t>
      </w:r>
      <w:r>
        <w:t>deploy</w:t>
      </w:r>
      <w:r w:rsidR="0067633D">
        <w:t xml:space="preserve"> </w:t>
      </w:r>
      <w:r>
        <w:t xml:space="preserve">them visually in </w:t>
      </w:r>
      <w:r w:rsidR="0067633D">
        <w:t xml:space="preserve">their surroundings. </w:t>
      </w:r>
      <w:r w:rsidR="004E5853">
        <w:t>HMDs have now become more popular, even as these technologies are possible through smartphones, tablets, and a host of other mediums.</w:t>
      </w:r>
    </w:p>
    <w:p w:rsidR="0067633D" w:rsidRDefault="00480746" w:rsidP="0067633D">
      <w:pPr>
        <w:pStyle w:val="AcuityBulletsLevel1"/>
      </w:pPr>
      <w:r>
        <w:t>W</w:t>
      </w:r>
      <w:r w:rsidR="004E5853">
        <w:t>hile largescale</w:t>
      </w:r>
      <w:r w:rsidR="0067633D">
        <w:t xml:space="preserve"> usage by consumers has been limited due to cost, availability, ergonomics, unfashionable design, and other factors</w:t>
      </w:r>
      <w:r>
        <w:t>,</w:t>
      </w:r>
      <w:r w:rsidR="0067633D">
        <w:t xml:space="preserve"> </w:t>
      </w:r>
      <w:r>
        <w:t>t</w:t>
      </w:r>
      <w:r w:rsidR="0067633D">
        <w:t>he primary driver for AR HMDs is enterprise usage, where they are used internally as hands-free tools for business process improvement and training.</w:t>
      </w:r>
    </w:p>
    <w:p w:rsidR="00480746" w:rsidRDefault="00480746" w:rsidP="00DE7795">
      <w:pPr>
        <w:pStyle w:val="AcuityBulletsLevel1"/>
      </w:pPr>
      <w:r>
        <w:t xml:space="preserve">As the </w:t>
      </w:r>
      <w:r w:rsidR="0067633D">
        <w:t xml:space="preserve">gaming industry across the world is </w:t>
      </w:r>
      <w:r>
        <w:t>grows,</w:t>
      </w:r>
      <w:r w:rsidR="0067633D">
        <w:t xml:space="preserve"> the market size of </w:t>
      </w:r>
      <w:r>
        <w:t>VR</w:t>
      </w:r>
      <w:r w:rsidR="0067633D">
        <w:t xml:space="preserve"> </w:t>
      </w:r>
      <w:r w:rsidR="00F07FC6">
        <w:t xml:space="preserve">and AR </w:t>
      </w:r>
      <w:r w:rsidR="0067633D">
        <w:t xml:space="preserve">gaming is </w:t>
      </w:r>
      <w:r>
        <w:t xml:space="preserve">also </w:t>
      </w:r>
      <w:r w:rsidR="0067633D">
        <w:t xml:space="preserve">expected to increase </w:t>
      </w:r>
      <w:r>
        <w:t>significantly.</w:t>
      </w:r>
      <w:r w:rsidR="00F07FC6">
        <w:t xml:space="preserve"> </w:t>
      </w:r>
      <w:r>
        <w:t>Major gaming console manufacturers like Nintendo and Microsoft have realized the potentiality of</w:t>
      </w:r>
      <w:r w:rsidR="00F07FC6">
        <w:t xml:space="preserve"> AR gaming, and are leading the charge in this sub-segment.</w:t>
      </w:r>
    </w:p>
    <w:p w:rsidR="00683F45" w:rsidRPr="00683F45" w:rsidRDefault="002501ED" w:rsidP="00DE7795">
      <w:pPr>
        <w:pStyle w:val="AcuityBulletsLevel1"/>
        <w:numPr>
          <w:ilvl w:val="0"/>
          <w:numId w:val="0"/>
        </w:numPr>
        <w:ind w:left="360"/>
        <w:rPr>
          <w:highlight w:val="yellow"/>
        </w:rPr>
      </w:pPr>
      <w:r w:rsidRPr="00683F45">
        <w:rPr>
          <w:highlight w:val="yellow"/>
        </w:rPr>
        <w:t>Chart……</w:t>
      </w:r>
      <w:r w:rsidR="00683F45" w:rsidRPr="00683F45">
        <w:t xml:space="preserve"> </w:t>
      </w:r>
      <w:hyperlink r:id="rId16" w:history="1">
        <w:r w:rsidR="00683F45" w:rsidRPr="00A5214C">
          <w:rPr>
            <w:rStyle w:val="Hyperlink"/>
          </w:rPr>
          <w:t>https://www.mordorintelligence.com/industry-reports/wearable-technology-market</w:t>
        </w:r>
      </w:hyperlink>
    </w:p>
    <w:p w:rsidR="00480746" w:rsidRPr="009A5A1B" w:rsidRDefault="009A5A1B" w:rsidP="009A5A1B">
      <w:pPr>
        <w:pStyle w:val="Heading3"/>
        <w:rPr>
          <w:noProof w:val="0"/>
          <w:lang w:val="en-GB"/>
        </w:rPr>
      </w:pPr>
      <w:r w:rsidRPr="009A5A1B">
        <w:rPr>
          <w:noProof w:val="0"/>
          <w:lang w:val="en-GB"/>
        </w:rPr>
        <w:t xml:space="preserve">North America is </w:t>
      </w:r>
      <w:r w:rsidR="00EC0ED3">
        <w:rPr>
          <w:noProof w:val="0"/>
          <w:lang w:val="en-GB"/>
        </w:rPr>
        <w:t>E</w:t>
      </w:r>
      <w:r w:rsidR="00EC0ED3" w:rsidRPr="009A5A1B">
        <w:rPr>
          <w:noProof w:val="0"/>
          <w:lang w:val="en-GB"/>
        </w:rPr>
        <w:t>xpected</w:t>
      </w:r>
      <w:r w:rsidRPr="009A5A1B">
        <w:rPr>
          <w:noProof w:val="0"/>
          <w:lang w:val="en-GB"/>
        </w:rPr>
        <w:t xml:space="preserve"> to Hold </w:t>
      </w:r>
      <w:r>
        <w:rPr>
          <w:noProof w:val="0"/>
          <w:lang w:val="en-GB"/>
        </w:rPr>
        <w:t xml:space="preserve">the </w:t>
      </w:r>
      <w:r w:rsidRPr="009A5A1B">
        <w:rPr>
          <w:noProof w:val="0"/>
          <w:lang w:val="en-GB"/>
        </w:rPr>
        <w:t>Major</w:t>
      </w:r>
      <w:r>
        <w:rPr>
          <w:noProof w:val="0"/>
          <w:lang w:val="en-GB"/>
        </w:rPr>
        <w:t>ity</w:t>
      </w:r>
      <w:r w:rsidRPr="009A5A1B">
        <w:rPr>
          <w:noProof w:val="0"/>
          <w:lang w:val="en-GB"/>
        </w:rPr>
        <w:t xml:space="preserve"> Share</w:t>
      </w:r>
      <w:r w:rsidR="00DE7795">
        <w:rPr>
          <w:noProof w:val="0"/>
          <w:lang w:val="en-GB"/>
        </w:rPr>
        <w:t xml:space="preserve"> while Asia Pacific is Expected to Provide Major Growth</w:t>
      </w:r>
    </w:p>
    <w:p w:rsidR="009A5A1B" w:rsidRDefault="009A5A1B" w:rsidP="009A5A1B">
      <w:pPr>
        <w:pStyle w:val="AcuityBulletsLevel1"/>
      </w:pPr>
      <w:r>
        <w:t>With the advent of smart gadgets, the demand for more powerful and sophisticated wearable technologies</w:t>
      </w:r>
      <w:r w:rsidRPr="009A5A1B">
        <w:t xml:space="preserve"> </w:t>
      </w:r>
      <w:r>
        <w:t xml:space="preserve">is growing. The rise in disposable income </w:t>
      </w:r>
      <w:r w:rsidR="004D51AD">
        <w:t xml:space="preserve">along with </w:t>
      </w:r>
      <w:r>
        <w:t xml:space="preserve">the </w:t>
      </w:r>
      <w:r w:rsidR="004D51AD">
        <w:t>growing</w:t>
      </w:r>
      <w:r>
        <w:t xml:space="preserve"> adoption and popularity of enhanced devices </w:t>
      </w:r>
      <w:r w:rsidR="004D51AD">
        <w:t>is driving the industry in the North American</w:t>
      </w:r>
      <w:r>
        <w:t xml:space="preserve"> region. </w:t>
      </w:r>
      <w:r w:rsidR="004D51AD">
        <w:t>T</w:t>
      </w:r>
      <w:r>
        <w:t xml:space="preserve">he region </w:t>
      </w:r>
      <w:r w:rsidR="004D51AD">
        <w:t>is also marked by</w:t>
      </w:r>
      <w:r>
        <w:t xml:space="preserve"> a strong foothold of wearable vendors</w:t>
      </w:r>
      <w:r w:rsidR="004D51AD">
        <w:t xml:space="preserve"> including</w:t>
      </w:r>
      <w:r>
        <w:t xml:space="preserve"> Apple, Fitbit, and Garmin, adding to the growth of the market.</w:t>
      </w:r>
    </w:p>
    <w:p w:rsidR="009A5A1B" w:rsidRDefault="00467BD5" w:rsidP="009A5A1B">
      <w:pPr>
        <w:pStyle w:val="AcuityBulletsLevel1"/>
      </w:pPr>
      <w:r>
        <w:t>G</w:t>
      </w:r>
      <w:r w:rsidR="009A5A1B">
        <w:t xml:space="preserve">rowing investments by </w:t>
      </w:r>
      <w:r>
        <w:t>a large number of</w:t>
      </w:r>
      <w:r w:rsidR="009A5A1B">
        <w:t xml:space="preserve"> sports associations </w:t>
      </w:r>
      <w:r>
        <w:t xml:space="preserve">in order to </w:t>
      </w:r>
      <w:r w:rsidR="009A5A1B">
        <w:t xml:space="preserve">eliminate the possibility of preventable injuries of professional athletes is </w:t>
      </w:r>
      <w:r>
        <w:t xml:space="preserve">also </w:t>
      </w:r>
      <w:r w:rsidR="009A5A1B">
        <w:t>anticipated to fuel the growth of wearables in the region</w:t>
      </w:r>
      <w:r>
        <w:t>.</w:t>
      </w:r>
    </w:p>
    <w:p w:rsidR="005B1699" w:rsidRDefault="005B1699" w:rsidP="005B1699">
      <w:pPr>
        <w:pStyle w:val="AcuityBulletsLevel1"/>
      </w:pPr>
      <w:r>
        <w:t xml:space="preserve">The sales of smartwatches in the United States is booming, and </w:t>
      </w:r>
      <w:r w:rsidR="00EC0ED3">
        <w:t>has grown</w:t>
      </w:r>
      <w:r w:rsidRPr="005B1699">
        <w:t xml:space="preserve"> 24% in value </w:t>
      </w:r>
      <w:r w:rsidR="00EC0ED3">
        <w:t xml:space="preserve">H2 </w:t>
      </w:r>
      <w:r w:rsidRPr="005B1699">
        <w:t xml:space="preserve">2019 </w:t>
      </w:r>
      <w:r w:rsidR="00EC0ED3">
        <w:t xml:space="preserve">compared to </w:t>
      </w:r>
      <w:r w:rsidRPr="005B1699">
        <w:t xml:space="preserve">the same period in 2018. </w:t>
      </w:r>
      <w:r w:rsidR="0065352B">
        <w:t xml:space="preserve">Earlier in 2018, </w:t>
      </w:r>
      <w:r w:rsidRPr="005B1699">
        <w:t xml:space="preserve">smartwatches </w:t>
      </w:r>
      <w:r w:rsidR="0065352B">
        <w:t xml:space="preserve">registered </w:t>
      </w:r>
      <w:r w:rsidR="0065352B" w:rsidRPr="005B1699">
        <w:t xml:space="preserve">a 51% increase in sales </w:t>
      </w:r>
      <w:r w:rsidR="0065352B">
        <w:t xml:space="preserve">value </w:t>
      </w:r>
      <w:r w:rsidRPr="005B1699">
        <w:t>and a 61% increase in unit sales</w:t>
      </w:r>
      <w:r w:rsidR="0065352B" w:rsidRPr="0065352B">
        <w:t xml:space="preserve"> </w:t>
      </w:r>
      <w:r w:rsidR="0065352B" w:rsidRPr="005B1699">
        <w:t>for the full year</w:t>
      </w:r>
      <w:r w:rsidRPr="005B1699">
        <w:t>.</w:t>
      </w:r>
      <w:r>
        <w:t xml:space="preserve"> Smartwatch producers Apple, Samsung, and Fitbit have risen to the top of the watch best-seller list by capturing the mid-range of the United States watch market. </w:t>
      </w:r>
    </w:p>
    <w:p w:rsidR="00937216" w:rsidRDefault="00467BD5" w:rsidP="00937216">
      <w:pPr>
        <w:pStyle w:val="AcuityBulletsLevel1"/>
      </w:pPr>
      <w:r>
        <w:t>T</w:t>
      </w:r>
      <w:r w:rsidR="009A5A1B">
        <w:t>he demand for wearabl</w:t>
      </w:r>
      <w:r>
        <w:t>es is also increasing in Canada, and t</w:t>
      </w:r>
      <w:r w:rsidR="009A5A1B">
        <w:t xml:space="preserve">he country is expected to provide </w:t>
      </w:r>
      <w:r>
        <w:t>significant</w:t>
      </w:r>
      <w:r w:rsidR="009A5A1B">
        <w:t xml:space="preserve"> expenditure and funding for its military programs</w:t>
      </w:r>
      <w:r w:rsidR="00C540A3">
        <w:t>,</w:t>
      </w:r>
      <w:r w:rsidR="009A5A1B">
        <w:t xml:space="preserve"> including clothing.</w:t>
      </w:r>
    </w:p>
    <w:p w:rsidR="00F73DDC" w:rsidRDefault="00F73DDC" w:rsidP="00F73DDC">
      <w:pPr>
        <w:pStyle w:val="AcuityBulletsLevel1"/>
      </w:pPr>
      <w:r>
        <w:t xml:space="preserve">Going forward, </w:t>
      </w:r>
      <w:r w:rsidRPr="00F73DDC">
        <w:t xml:space="preserve">Asia Pacific is expected to be the most attractive regional market for wearable technology due to the </w:t>
      </w:r>
      <w:r>
        <w:t>rising</w:t>
      </w:r>
      <w:r w:rsidRPr="00F73DDC">
        <w:t xml:space="preserve"> </w:t>
      </w:r>
      <w:r>
        <w:t xml:space="preserve">general purchasing power, the </w:t>
      </w:r>
      <w:r w:rsidRPr="00F73DDC">
        <w:t>increasing tech-savvy population</w:t>
      </w:r>
      <w:r>
        <w:t>,</w:t>
      </w:r>
      <w:r w:rsidRPr="00F73DDC">
        <w:t xml:space="preserve"> and the rising popularity of </w:t>
      </w:r>
      <w:r>
        <w:t>dominant brands</w:t>
      </w:r>
      <w:r w:rsidRPr="00F73DDC">
        <w:t xml:space="preserve"> in the region. </w:t>
      </w:r>
      <w:r>
        <w:t>A</w:t>
      </w:r>
      <w:r w:rsidRPr="00F73DDC">
        <w:t>ddition</w:t>
      </w:r>
      <w:r>
        <w:t>ally, a significant share of the region’s</w:t>
      </w:r>
      <w:r w:rsidRPr="00F73DDC">
        <w:t xml:space="preserve"> large population </w:t>
      </w:r>
      <w:r>
        <w:t>is known to be early adopter</w:t>
      </w:r>
      <w:r w:rsidRPr="00F73DDC">
        <w:t xml:space="preserve"> of this technology</w:t>
      </w:r>
      <w:r w:rsidR="00B671AA">
        <w:t>.</w:t>
      </w:r>
    </w:p>
    <w:p w:rsidR="00937216" w:rsidRPr="00937216" w:rsidRDefault="0093274B" w:rsidP="00937216">
      <w:pPr>
        <w:pStyle w:val="Heading3"/>
        <w:rPr>
          <w:noProof w:val="0"/>
          <w:lang w:val="en-GB"/>
        </w:rPr>
      </w:pPr>
      <w:r>
        <w:rPr>
          <w:noProof w:val="0"/>
          <w:lang w:val="en-GB"/>
        </w:rPr>
        <w:t>Growing Prevalence Among the Healthcare Users</w:t>
      </w:r>
    </w:p>
    <w:p w:rsidR="00937216" w:rsidRDefault="00937216" w:rsidP="00937216">
      <w:pPr>
        <w:pStyle w:val="AcuityBulletsLevel1"/>
      </w:pPr>
      <w:r>
        <w:t>I</w:t>
      </w:r>
      <w:r w:rsidRPr="00937216">
        <w:t xml:space="preserve">mprovement in technology and the adoption rate for wearable devices and health apps has increased the scope of remote health-monitoring, allowing for better communication between doctors and patients. </w:t>
      </w:r>
      <w:r>
        <w:t>The</w:t>
      </w:r>
      <w:r w:rsidRPr="00937216">
        <w:t xml:space="preserve"> </w:t>
      </w:r>
      <w:r>
        <w:t xml:space="preserve">rapidly </w:t>
      </w:r>
      <w:r w:rsidRPr="00937216">
        <w:t>increasing need for health monitoring is anticipated to drive healthcare application demand</w:t>
      </w:r>
      <w:r>
        <w:t xml:space="preserve"> for wearables.</w:t>
      </w:r>
    </w:p>
    <w:p w:rsidR="0093274B" w:rsidRDefault="0093274B" w:rsidP="0093274B">
      <w:pPr>
        <w:pStyle w:val="AcuityBulletsLevel1"/>
      </w:pPr>
      <w:r w:rsidRPr="0093274B">
        <w:t>Few emerging wearable medical devices include AI-ena</w:t>
      </w:r>
      <w:r>
        <w:t>bled wearable devices, wearable</w:t>
      </w:r>
      <w:r w:rsidRPr="0093274B">
        <w:t xml:space="preserve"> and portable dialysis devices, and wearable sweat-sensor used to inform athletes of electrolyte and water loss</w:t>
      </w:r>
      <w:r>
        <w:t xml:space="preserve">. </w:t>
      </w:r>
      <w:r w:rsidRPr="0093274B">
        <w:t xml:space="preserve">Increasing need to </w:t>
      </w:r>
      <w:r>
        <w:t xml:space="preserve">reduce length of </w:t>
      </w:r>
      <w:r w:rsidRPr="0093274B">
        <w:t xml:space="preserve">hospital stay, increased prevalence of chronic diseases, and </w:t>
      </w:r>
      <w:r>
        <w:t xml:space="preserve">growing number of </w:t>
      </w:r>
      <w:r w:rsidRPr="0093274B">
        <w:t xml:space="preserve">patients needing long term care </w:t>
      </w:r>
      <w:r>
        <w:t>along with</w:t>
      </w:r>
      <w:r w:rsidRPr="0093274B">
        <w:t xml:space="preserve"> higher ratio of seniors is expected to drive </w:t>
      </w:r>
      <w:r>
        <w:t xml:space="preserve">wearable </w:t>
      </w:r>
      <w:r w:rsidRPr="0093274B">
        <w:t>healthcare products</w:t>
      </w:r>
      <w:r>
        <w:t>.</w:t>
      </w:r>
    </w:p>
    <w:p w:rsidR="00937216" w:rsidRDefault="00937216" w:rsidP="00937216">
      <w:pPr>
        <w:pStyle w:val="AcuityBulletsLevel1"/>
      </w:pPr>
      <w:r w:rsidRPr="00937216">
        <w:lastRenderedPageBreak/>
        <w:t xml:space="preserve">The outbreak of the COVID-19 crisis has </w:t>
      </w:r>
      <w:r w:rsidR="0093274B">
        <w:t xml:space="preserve">further </w:t>
      </w:r>
      <w:r w:rsidRPr="00937216">
        <w:t xml:space="preserve">expanded </w:t>
      </w:r>
      <w:r>
        <w:t xml:space="preserve">and expedited </w:t>
      </w:r>
      <w:r w:rsidRPr="00937216">
        <w:t>t</w:t>
      </w:r>
      <w:r>
        <w:t>he role of wearable technology</w:t>
      </w:r>
      <w:r w:rsidRPr="00937216">
        <w:t xml:space="preserve"> in the healthcare sector. Some players operating in the wearable technology industry across other sectors are eager to enter the landscape of healthcare wearables to be used as prompt warning systems for the virus infection</w:t>
      </w:r>
      <w:r>
        <w:t>.</w:t>
      </w:r>
    </w:p>
    <w:p w:rsidR="00210F5E" w:rsidRPr="00210F5E" w:rsidRDefault="00210F5E" w:rsidP="00210F5E">
      <w:pPr>
        <w:pStyle w:val="Heading2"/>
        <w:rPr>
          <w:lang w:val="en-GB"/>
        </w:rPr>
      </w:pPr>
      <w:r w:rsidRPr="00210F5E">
        <w:rPr>
          <w:lang w:val="en-GB"/>
        </w:rPr>
        <w:t>Competitive Landscape</w:t>
      </w:r>
    </w:p>
    <w:p w:rsidR="00210F5E" w:rsidRDefault="00210F5E" w:rsidP="007464A0">
      <w:r w:rsidRPr="00210F5E">
        <w:t xml:space="preserve">The wearable technology market is highly competitive and consists of </w:t>
      </w:r>
      <w:r>
        <w:t>a large number of</w:t>
      </w:r>
      <w:r w:rsidRPr="00210F5E">
        <w:t xml:space="preserve"> </w:t>
      </w:r>
      <w:r>
        <w:t>participants</w:t>
      </w:r>
      <w:r w:rsidRPr="00210F5E">
        <w:t xml:space="preserve">. However, </w:t>
      </w:r>
      <w:r>
        <w:t xml:space="preserve">the market is highly concentrated at top with large global </w:t>
      </w:r>
      <w:r w:rsidRPr="00210F5E">
        <w:t>co</w:t>
      </w:r>
      <w:r>
        <w:t xml:space="preserve">mpanies such as Samsung, Apple, and </w:t>
      </w:r>
      <w:r w:rsidRPr="00210F5E">
        <w:t>Xiaomi occupy</w:t>
      </w:r>
      <w:r>
        <w:t>ing</w:t>
      </w:r>
      <w:r w:rsidRPr="00210F5E">
        <w:t xml:space="preserve"> a considerable percentage</w:t>
      </w:r>
      <w:r>
        <w:t xml:space="preserve"> and driving the industry trends</w:t>
      </w:r>
      <w:r w:rsidRPr="00210F5E">
        <w:t xml:space="preserve">. The industry </w:t>
      </w:r>
      <w:r>
        <w:t>has also attracted the interest of</w:t>
      </w:r>
      <w:r w:rsidRPr="00210F5E">
        <w:t xml:space="preserve"> a lot of </w:t>
      </w:r>
      <w:r>
        <w:t xml:space="preserve">innovative </w:t>
      </w:r>
      <w:r w:rsidRPr="00210F5E">
        <w:t>startups, which</w:t>
      </w:r>
      <w:r w:rsidR="008D4566">
        <w:t xml:space="preserve"> </w:t>
      </w:r>
      <w:r w:rsidRPr="00210F5E">
        <w:t xml:space="preserve">is </w:t>
      </w:r>
      <w:r w:rsidR="008D4566">
        <w:t xml:space="preserve">further </w:t>
      </w:r>
      <w:r w:rsidRPr="00210F5E">
        <w:t xml:space="preserve">intensifying the competition in the market. </w:t>
      </w:r>
      <w:r w:rsidR="00D074FC" w:rsidRPr="00210F5E">
        <w:t>Therefore</w:t>
      </w:r>
      <w:r w:rsidRPr="00210F5E">
        <w:t xml:space="preserve">, to maintain a competitive edge, </w:t>
      </w:r>
      <w:r w:rsidR="00263857">
        <w:t>market participants</w:t>
      </w:r>
      <w:r w:rsidRPr="00210F5E">
        <w:t xml:space="preserve"> are </w:t>
      </w:r>
      <w:r w:rsidR="00263857">
        <w:t>required to continuously invest</w:t>
      </w:r>
      <w:r w:rsidRPr="00210F5E">
        <w:t xml:space="preserve"> in </w:t>
      </w:r>
      <w:r w:rsidR="00263857">
        <w:t xml:space="preserve">developing and </w:t>
      </w:r>
      <w:r w:rsidRPr="00210F5E">
        <w:t xml:space="preserve">introducing new products, expanding operations, or </w:t>
      </w:r>
      <w:r w:rsidR="00263857">
        <w:t>undertaking inorganic expansion</w:t>
      </w:r>
      <w:r w:rsidRPr="00210F5E">
        <w:t>.</w:t>
      </w:r>
    </w:p>
    <w:p w:rsidR="001A7767" w:rsidRDefault="001A7767" w:rsidP="007464A0">
      <w:r>
        <w:t>In addition to the major industry players including Apple, Inc., Samsung Group, Xiaomi, Inc., Fitbit, Inc., Sony Corporation,</w:t>
      </w:r>
      <w:r w:rsidR="00FC25A8">
        <w:t xml:space="preserve"> and Garmin Ltd.,</w:t>
      </w:r>
      <w:r>
        <w:t xml:space="preserve"> ABC Corporation’s offerings also directly face completion from other providers of wearable technology including [Key Competitor 1], [Key Competitor 2],</w:t>
      </w:r>
      <w:r w:rsidRPr="001A7767">
        <w:t xml:space="preserve"> </w:t>
      </w:r>
      <w:r>
        <w:t>[Key Competitor 3], and [Key Competitor 4].</w:t>
      </w:r>
    </w:p>
    <w:p w:rsidR="00E80884" w:rsidRDefault="00E8088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3C64B4" w:rsidRDefault="003C64B4" w:rsidP="007464A0"/>
    <w:p w:rsidR="007464A0" w:rsidRDefault="007464A0" w:rsidP="00990DDA">
      <w:pPr>
        <w:pStyle w:val="Heading1"/>
        <w:rPr>
          <w:lang w:val="en-GB"/>
        </w:rPr>
      </w:pPr>
    </w:p>
    <w:p w:rsidR="007464A0" w:rsidRDefault="007464A0" w:rsidP="00990DDA">
      <w:pPr>
        <w:pStyle w:val="Heading1"/>
        <w:rPr>
          <w:lang w:val="en-GB"/>
        </w:rPr>
      </w:pPr>
    </w:p>
    <w:p w:rsidR="007464A0" w:rsidRDefault="007464A0" w:rsidP="00990DDA">
      <w:pPr>
        <w:pStyle w:val="Heading1"/>
        <w:rPr>
          <w:lang w:val="en-GB"/>
        </w:rPr>
      </w:pPr>
    </w:p>
    <w:p w:rsidR="007464A0" w:rsidRDefault="007464A0" w:rsidP="00990DDA">
      <w:pPr>
        <w:pStyle w:val="Heading1"/>
        <w:rPr>
          <w:lang w:val="en-GB"/>
        </w:rPr>
      </w:pPr>
    </w:p>
    <w:p w:rsidR="007464A0" w:rsidRDefault="007464A0" w:rsidP="00990DDA">
      <w:pPr>
        <w:pStyle w:val="Heading1"/>
        <w:rPr>
          <w:lang w:val="en-GB"/>
        </w:rPr>
      </w:pPr>
    </w:p>
    <w:p w:rsidR="004251D0" w:rsidRDefault="004251D0" w:rsidP="00AC6F76">
      <w:pPr>
        <w:pStyle w:val="Heading1"/>
        <w:rPr>
          <w:lang w:val="en-GB"/>
        </w:rPr>
      </w:pPr>
    </w:p>
    <w:p w:rsidR="004251D0" w:rsidRDefault="004251D0" w:rsidP="00AC6F76">
      <w:pPr>
        <w:pStyle w:val="Heading1"/>
        <w:rPr>
          <w:lang w:val="en-GB"/>
        </w:rPr>
      </w:pPr>
    </w:p>
    <w:p w:rsidR="004251D0" w:rsidRDefault="004251D0" w:rsidP="00AC6F76">
      <w:pPr>
        <w:pStyle w:val="Heading1"/>
        <w:rPr>
          <w:lang w:val="en-GB"/>
        </w:rPr>
      </w:pPr>
    </w:p>
    <w:p w:rsidR="004251D0" w:rsidRDefault="004251D0" w:rsidP="00AC6F76">
      <w:pPr>
        <w:pStyle w:val="Heading1"/>
        <w:rPr>
          <w:lang w:val="en-GB"/>
        </w:rPr>
      </w:pPr>
    </w:p>
    <w:p w:rsidR="00AC6F76" w:rsidRPr="004B7127" w:rsidRDefault="004E597D" w:rsidP="00AC6F76">
      <w:pPr>
        <w:pStyle w:val="Heading1"/>
        <w:rPr>
          <w:rFonts w:ascii="Bliss Pro Medium" w:hAnsi="Bliss Pro Medium"/>
          <w:lang w:val="en-GB"/>
        </w:rPr>
      </w:pPr>
      <w:r w:rsidRPr="004E597D">
        <w:rPr>
          <w:lang w:val="en-GB"/>
        </w:rPr>
        <w:lastRenderedPageBreak/>
        <w:t>Valuation Methodology</w:t>
      </w:r>
      <w:r w:rsidR="00AC6F76">
        <w:rPr>
          <w:lang w:val="en-GB"/>
        </w:rPr>
        <w:t xml:space="preserve"> Overview</w:t>
      </w:r>
    </w:p>
    <w:p w:rsidR="00AC6F76" w:rsidRPr="00E273EE" w:rsidRDefault="004E597D" w:rsidP="004E597D">
      <w:r w:rsidRPr="004E597D">
        <w:t xml:space="preserve">The following section </w:t>
      </w:r>
      <w:r>
        <w:t>contains</w:t>
      </w:r>
      <w:r w:rsidRPr="004E597D">
        <w:t xml:space="preserve"> an overview of </w:t>
      </w:r>
      <w:r>
        <w:t>the</w:t>
      </w:r>
      <w:r w:rsidRPr="004E597D">
        <w:t xml:space="preserve"> valuation methodologies </w:t>
      </w:r>
      <w:r>
        <w:t>used as in the analysis.</w:t>
      </w:r>
    </w:p>
    <w:p w:rsidR="00AC6F76" w:rsidRPr="004B7127" w:rsidRDefault="004E597D" w:rsidP="00AC6F76">
      <w:pPr>
        <w:pStyle w:val="Heading2"/>
        <w:rPr>
          <w:lang w:val="en-GB"/>
        </w:rPr>
      </w:pPr>
      <w:r>
        <w:rPr>
          <w:lang w:val="en-GB"/>
        </w:rPr>
        <w:t>Approaches to V</w:t>
      </w:r>
      <w:r w:rsidR="00432431">
        <w:rPr>
          <w:lang w:val="en-GB"/>
        </w:rPr>
        <w:t>a</w:t>
      </w:r>
      <w:r>
        <w:rPr>
          <w:lang w:val="en-GB"/>
        </w:rPr>
        <w:t>lue</w:t>
      </w:r>
    </w:p>
    <w:p w:rsidR="00432431" w:rsidRDefault="00432431" w:rsidP="00402252">
      <w:r>
        <w:t>Generally accepted</w:t>
      </w:r>
      <w:r w:rsidR="00B71A1A">
        <w:t xml:space="preserve"> valuation practice </w:t>
      </w:r>
      <w:r>
        <w:t>indicates that assets may be valued using a range of methods. These methods can be broadly classified into three general approaches: the cost, income, and market-based approaches</w:t>
      </w:r>
      <w:r w:rsidR="00B71A1A">
        <w:t xml:space="preserve">. </w:t>
      </w:r>
      <w:r w:rsidR="00B71A1A" w:rsidRPr="00B71A1A">
        <w:t>Within each category, a variety of methodologies exist to as</w:t>
      </w:r>
      <w:r w:rsidR="00B71A1A">
        <w:t xml:space="preserve">sist in the estimate of value. Professional valuation standards require that </w:t>
      </w:r>
      <w:r w:rsidR="00402252">
        <w:t xml:space="preserve">in any valuation analysis, </w:t>
      </w:r>
      <w:r w:rsidR="00B71A1A">
        <w:t>multiple approaches to value be considered. This does not mean that they must necessarily be used, but there must be specific reasons that drive the decision to use one approach in favor of another.</w:t>
      </w:r>
      <w:r w:rsidR="00B71A1A" w:rsidRPr="00B71A1A">
        <w:t xml:space="preserve"> </w:t>
      </w:r>
      <w:r w:rsidR="00402252">
        <w:t xml:space="preserve">The approach deemed most indicative of value </w:t>
      </w:r>
      <w:r w:rsidR="00664EA2">
        <w:t xml:space="preserve">for the asset being valued </w:t>
      </w:r>
      <w:r w:rsidR="005E7C29">
        <w:t>is</w:t>
      </w:r>
      <w:r w:rsidR="00402252">
        <w:t xml:space="preserve"> selected </w:t>
      </w:r>
      <w:r w:rsidR="00664EA2">
        <w:t>to be</w:t>
      </w:r>
      <w:r w:rsidR="005E7C29">
        <w:t xml:space="preserve"> </w:t>
      </w:r>
      <w:r w:rsidR="00402252">
        <w:t>use</w:t>
      </w:r>
      <w:r w:rsidR="005E7C29">
        <w:t>d</w:t>
      </w:r>
      <w:r w:rsidR="00402252">
        <w:t>.</w:t>
      </w:r>
    </w:p>
    <w:p w:rsidR="00432431" w:rsidRPr="00265751" w:rsidRDefault="00E02987" w:rsidP="00E02987">
      <w:pPr>
        <w:pStyle w:val="Heading3"/>
        <w:rPr>
          <w:noProof w:val="0"/>
          <w:color w:val="0028A0"/>
          <w:lang w:val="en-GB"/>
        </w:rPr>
      </w:pPr>
      <w:r w:rsidRPr="00265751">
        <w:rPr>
          <w:noProof w:val="0"/>
          <w:color w:val="0028A0"/>
          <w:lang w:val="en-GB"/>
        </w:rPr>
        <w:t>Cost Approach</w:t>
      </w:r>
    </w:p>
    <w:p w:rsidR="00D86CD5" w:rsidRDefault="00830799" w:rsidP="00112666">
      <w:r>
        <w:t xml:space="preserve">Cost approach valuation techniques are those that determine the value of an asset based on its historical cost to </w:t>
      </w:r>
      <w:r w:rsidR="00112666">
        <w:t>reproduce</w:t>
      </w:r>
      <w:r>
        <w:t xml:space="preserve"> or the cost to </w:t>
      </w:r>
      <w:r w:rsidR="00112666">
        <w:t>replace the asset, often referred to as current replacement cost. From the perspective of a market participant, the price received for an asset is estimated based on the cost to a market participant to reproduce or to replace the asset with a substitute asset of comparable utility</w:t>
      </w:r>
      <w:r w:rsidR="00D86CD5">
        <w:t>.</w:t>
      </w:r>
    </w:p>
    <w:p w:rsidR="00D86CD5" w:rsidRDefault="00B2516F" w:rsidP="00D86CD5">
      <w:r>
        <w:t xml:space="preserve">For nonfinancial assets, </w:t>
      </w:r>
      <w:r w:rsidR="00B156D4">
        <w:t xml:space="preserve">the valuation </w:t>
      </w:r>
      <w:r w:rsidR="00D86CD5">
        <w:t xml:space="preserve">process </w:t>
      </w:r>
      <w:r w:rsidR="00B156D4">
        <w:t xml:space="preserve">under the cost approach typically begins with </w:t>
      </w:r>
      <w:r w:rsidR="00D86CD5">
        <w:t xml:space="preserve">an </w:t>
      </w:r>
      <w:r w:rsidR="00B156D4">
        <w:t xml:space="preserve">estimation </w:t>
      </w:r>
      <w:r w:rsidR="00D86CD5">
        <w:t xml:space="preserve">of the asset’s replacement cost adjusted, </w:t>
      </w:r>
      <w:r w:rsidR="00B156D4">
        <w:t xml:space="preserve">where applicable, for obsolescence to </w:t>
      </w:r>
      <w:r w:rsidR="00D86CD5">
        <w:t>estimate the replacement cost of the asset’s current service potential and comparable utility. Obsolescence includes physical depreciation, economic obsolescence, and functional or technological obsolescence.</w:t>
      </w:r>
    </w:p>
    <w:p w:rsidR="006B7119" w:rsidRDefault="006B7119" w:rsidP="006B7119">
      <w:r>
        <w:t xml:space="preserve">While valuing most IP-centric technologies with patent protection and substantive and broad blocking rights to competition, the Cost Approach is not a reasonable proxy for value.  By the time most products are commercial, the cost to recreate the existing asset is </w:t>
      </w:r>
      <w:r w:rsidR="00B02A3E">
        <w:t>significantly excessive</w:t>
      </w:r>
      <w:r>
        <w:t xml:space="preserve"> given the dema</w:t>
      </w:r>
      <w:r w:rsidR="00B02A3E">
        <w:t xml:space="preserve">nding regulatory requirements. </w:t>
      </w:r>
      <w:r>
        <w:t xml:space="preserve">Furthermore, these costs should be considered sunk costs and, as such, other approaches </w:t>
      </w:r>
      <w:r w:rsidR="008F33E2">
        <w:t>to value should be considered.</w:t>
      </w:r>
    </w:p>
    <w:p w:rsidR="006B7119" w:rsidRDefault="008F33E2" w:rsidP="006B7119">
      <w:r>
        <w:t>Common methodologies</w:t>
      </w:r>
      <w:r w:rsidR="006B7119">
        <w:t xml:space="preserve"> </w:t>
      </w:r>
      <w:r>
        <w:t>under</w:t>
      </w:r>
      <w:r w:rsidR="006B7119">
        <w:t xml:space="preserve"> the Cost Approach include the following:</w:t>
      </w:r>
    </w:p>
    <w:p w:rsidR="00B12E2D" w:rsidRPr="00B12E2D" w:rsidRDefault="00B2516F" w:rsidP="00B12E2D">
      <w:pPr>
        <w:pStyle w:val="Heading3"/>
        <w:rPr>
          <w:noProof w:val="0"/>
          <w:lang w:val="en-GB"/>
        </w:rPr>
      </w:pPr>
      <w:r>
        <w:rPr>
          <w:noProof w:val="0"/>
          <w:lang w:val="en-GB"/>
        </w:rPr>
        <w:t>Reproduction Cost Method</w:t>
      </w:r>
    </w:p>
    <w:p w:rsidR="00B12E2D" w:rsidRDefault="00905EDB" w:rsidP="00B12E2D">
      <w:r>
        <w:t>The</w:t>
      </w:r>
      <w:r w:rsidR="00B12E2D">
        <w:t xml:space="preserve"> method </w:t>
      </w:r>
      <w:r>
        <w:t>estimates</w:t>
      </w:r>
      <w:r w:rsidR="00B12E2D">
        <w:t xml:space="preserve"> the </w:t>
      </w:r>
      <w:r>
        <w:t>cost to construct</w:t>
      </w:r>
      <w:r w:rsidR="00F371DD">
        <w:t xml:space="preserve"> or purchase</w:t>
      </w:r>
      <w:r w:rsidR="00B12E2D">
        <w:t xml:space="preserve"> </w:t>
      </w:r>
      <w:r w:rsidR="00F371DD">
        <w:t>an</w:t>
      </w:r>
      <w:r w:rsidR="00B12E2D">
        <w:t xml:space="preserve"> exact replica of the asset</w:t>
      </w:r>
      <w:r>
        <w:t xml:space="preserve"> being valued</w:t>
      </w:r>
      <w:r w:rsidR="004536C4">
        <w:t>.  The</w:t>
      </w:r>
      <w:r w:rsidR="00B12E2D">
        <w:t xml:space="preserve"> method assumes that the materials, </w:t>
      </w:r>
      <w:r w:rsidR="004536C4">
        <w:t xml:space="preserve">technology, and </w:t>
      </w:r>
      <w:r w:rsidR="00B12E2D">
        <w:t>quality used in the original asset are still available</w:t>
      </w:r>
      <w:r w:rsidR="004536C4">
        <w:t>. The method</w:t>
      </w:r>
      <w:r w:rsidR="00B12E2D">
        <w:t xml:space="preserve"> does not consider the current market demand or acceptance of the asset</w:t>
      </w:r>
      <w:r w:rsidR="004536C4">
        <w:t xml:space="preserve"> being valued</w:t>
      </w:r>
      <w:r w:rsidR="00B12E2D">
        <w:t>.</w:t>
      </w:r>
    </w:p>
    <w:p w:rsidR="00E83AE9" w:rsidRPr="00E83AE9" w:rsidRDefault="00B2516F" w:rsidP="00E83AE9">
      <w:pPr>
        <w:pStyle w:val="Heading3"/>
        <w:rPr>
          <w:noProof w:val="0"/>
          <w:lang w:val="en-GB"/>
        </w:rPr>
      </w:pPr>
      <w:r>
        <w:rPr>
          <w:noProof w:val="0"/>
          <w:lang w:val="en-GB"/>
        </w:rPr>
        <w:t>Replacement Cost Method</w:t>
      </w:r>
    </w:p>
    <w:p w:rsidR="00E650A5" w:rsidRDefault="00130AAC" w:rsidP="00E83AE9">
      <w:r>
        <w:t>The</w:t>
      </w:r>
      <w:r w:rsidR="00E83AE9">
        <w:t xml:space="preserve"> method </w:t>
      </w:r>
      <w:r w:rsidR="003B1501">
        <w:t>estimates</w:t>
      </w:r>
      <w:r w:rsidR="00E83AE9">
        <w:t xml:space="preserve"> the cost to recreate the utility of the asset </w:t>
      </w:r>
      <w:r w:rsidR="003B1501">
        <w:t>being valued, while serving</w:t>
      </w:r>
      <w:r w:rsidR="00E83AE9">
        <w:t xml:space="preserve"> the same purpose as the original asset</w:t>
      </w:r>
      <w:r w:rsidR="003B1501">
        <w:t xml:space="preserve">. </w:t>
      </w:r>
      <w:r w:rsidR="00D431B6" w:rsidRPr="00D431B6">
        <w:t xml:space="preserve">In </w:t>
      </w:r>
      <w:r w:rsidR="00D431B6">
        <w:t>The method assumes</w:t>
      </w:r>
      <w:r w:rsidR="00D431B6" w:rsidRPr="00D431B6">
        <w:t xml:space="preserve"> that the new structure has the same function </w:t>
      </w:r>
      <w:r w:rsidR="00D431B6">
        <w:t xml:space="preserve">as the original asset </w:t>
      </w:r>
      <w:r w:rsidR="00D431B6" w:rsidRPr="00D431B6">
        <w:t xml:space="preserve">but newer materials, utilizing </w:t>
      </w:r>
      <w:r w:rsidR="00D431B6">
        <w:t>newer</w:t>
      </w:r>
      <w:r w:rsidR="00D431B6" w:rsidRPr="00D431B6">
        <w:t xml:space="preserve"> construction methods and design</w:t>
      </w:r>
      <w:r w:rsidR="00D431B6">
        <w:t xml:space="preserve">. </w:t>
      </w:r>
      <w:r w:rsidR="00D54F37">
        <w:t>T</w:t>
      </w:r>
      <w:r w:rsidR="00E83AE9">
        <w:t xml:space="preserve">he replacement cost is determined and reduced for depreciation of the asset.  </w:t>
      </w:r>
      <w:r w:rsidR="00E650A5">
        <w:t>The method takes into consideration</w:t>
      </w:r>
      <w:r w:rsidR="00E650A5" w:rsidRPr="00E650A5">
        <w:t xml:space="preserve"> physical depreciation, economic obsolescence, and functional or technological obsolescence.</w:t>
      </w:r>
    </w:p>
    <w:p w:rsidR="004E7DA4" w:rsidRPr="00071E73" w:rsidRDefault="004E7DA4" w:rsidP="004E7DA4">
      <w:pPr>
        <w:pStyle w:val="Heading3"/>
        <w:rPr>
          <w:noProof w:val="0"/>
          <w:color w:val="0028A0"/>
          <w:lang w:val="en-GB"/>
        </w:rPr>
      </w:pPr>
      <w:r w:rsidRPr="00071E73">
        <w:rPr>
          <w:noProof w:val="0"/>
          <w:color w:val="0028A0"/>
          <w:lang w:val="en-GB"/>
        </w:rPr>
        <w:t>Income Approach</w:t>
      </w:r>
    </w:p>
    <w:p w:rsidR="00071E73" w:rsidRPr="00876645" w:rsidRDefault="00071E73" w:rsidP="00071E73">
      <w:r w:rsidRPr="00876645">
        <w:t>Income approach valuation techniques are those that determine the value of an asset based on the asset’s future income generating potential. Under the income approach, fair value is determined using valuation methods to convert future amounts of cash flow or earnings to a single present amount based on an appropriate risk</w:t>
      </w:r>
      <w:r w:rsidRPr="00876645">
        <w:rPr>
          <w:rFonts w:ascii="Cambria Math" w:hAnsi="Cambria Math" w:cs="Cambria Math"/>
        </w:rPr>
        <w:t>‐</w:t>
      </w:r>
      <w:r w:rsidRPr="00876645">
        <w:t>adjusted discount rate.</w:t>
      </w:r>
    </w:p>
    <w:p w:rsidR="00071E73" w:rsidRPr="00876645" w:rsidRDefault="00735D9C" w:rsidP="00071E73">
      <w:r w:rsidRPr="00876645">
        <w:t xml:space="preserve">One </w:t>
      </w:r>
      <w:proofErr w:type="gramStart"/>
      <w:r w:rsidRPr="00876645">
        <w:t>of  the</w:t>
      </w:r>
      <w:proofErr w:type="gramEnd"/>
      <w:r w:rsidRPr="00876645">
        <w:t xml:space="preserve">  most common </w:t>
      </w:r>
      <w:r w:rsidR="00071E73" w:rsidRPr="00876645">
        <w:t xml:space="preserve">methods under the income approach is the discounted cash </w:t>
      </w:r>
      <w:r w:rsidRPr="00876645">
        <w:t xml:space="preserve">flow  method. Under the </w:t>
      </w:r>
      <w:r w:rsidR="00071E73" w:rsidRPr="00876645">
        <w:t>discounted cash flow</w:t>
      </w:r>
      <w:r w:rsidRPr="00876645">
        <w:t xml:space="preserve"> method, </w:t>
      </w:r>
      <w:r w:rsidR="00071E73" w:rsidRPr="00876645">
        <w:t xml:space="preserve">the estimated </w:t>
      </w:r>
      <w:r w:rsidR="006820A1" w:rsidRPr="00876645">
        <w:t xml:space="preserve">net cash </w:t>
      </w:r>
      <w:proofErr w:type="gramStart"/>
      <w:r w:rsidRPr="00876645">
        <w:t>flow  expected</w:t>
      </w:r>
      <w:proofErr w:type="gramEnd"/>
      <w:r w:rsidRPr="00876645">
        <w:t xml:space="preserve"> to </w:t>
      </w:r>
      <w:r w:rsidR="00071E73" w:rsidRPr="00876645">
        <w:t xml:space="preserve">accrue from  the </w:t>
      </w:r>
      <w:r w:rsidRPr="00876645">
        <w:t xml:space="preserve">ownership  of  the </w:t>
      </w:r>
      <w:r w:rsidR="00071E73" w:rsidRPr="00876645">
        <w:t xml:space="preserve">asset </w:t>
      </w:r>
      <w:r w:rsidRPr="00876645">
        <w:t xml:space="preserve">being valued </w:t>
      </w:r>
      <w:r w:rsidR="00071E73" w:rsidRPr="00876645">
        <w:t xml:space="preserve">are discounted to their </w:t>
      </w:r>
      <w:r w:rsidRPr="00876645">
        <w:t xml:space="preserve">single amount </w:t>
      </w:r>
      <w:r w:rsidR="00071E73" w:rsidRPr="00876645">
        <w:t xml:space="preserve">present value using an appropriate discount rate. </w:t>
      </w:r>
      <w:r w:rsidRPr="00876645">
        <w:t>Discount rate</w:t>
      </w:r>
      <w:r w:rsidR="00071E73" w:rsidRPr="00876645">
        <w:t xml:space="preserve"> in </w:t>
      </w:r>
      <w:r w:rsidRPr="00876645">
        <w:t xml:space="preserve">any discounted cash flow </w:t>
      </w:r>
      <w:proofErr w:type="gramStart"/>
      <w:r w:rsidR="00071E73" w:rsidRPr="00876645">
        <w:t xml:space="preserve">analysis  </w:t>
      </w:r>
      <w:r w:rsidRPr="00876645">
        <w:t>should</w:t>
      </w:r>
      <w:proofErr w:type="gramEnd"/>
      <w:r w:rsidRPr="00876645">
        <w:t xml:space="preserve"> </w:t>
      </w:r>
      <w:r w:rsidR="00071E73" w:rsidRPr="00876645">
        <w:t xml:space="preserve">be </w:t>
      </w:r>
      <w:r w:rsidRPr="00876645">
        <w:t xml:space="preserve">commensurate with the </w:t>
      </w:r>
      <w:r w:rsidR="00071E73" w:rsidRPr="00876645">
        <w:t xml:space="preserve">risk  associated  with  the cash  flows  </w:t>
      </w:r>
      <w:r w:rsidRPr="00876645">
        <w:t>reflecting  market  participant</w:t>
      </w:r>
      <w:r w:rsidR="00071E73" w:rsidRPr="00876645">
        <w:t xml:space="preserve"> expectations of risk and return for the asset or liability</w:t>
      </w:r>
      <w:r w:rsidRPr="00876645">
        <w:t xml:space="preserve"> being valued</w:t>
      </w:r>
      <w:r w:rsidR="00071E73" w:rsidRPr="00876645">
        <w:t>.</w:t>
      </w:r>
    </w:p>
    <w:p w:rsidR="00735D9C" w:rsidRPr="00876645" w:rsidRDefault="00735D9C" w:rsidP="00071E73">
      <w:r w:rsidRPr="00876645">
        <w:t>Other common</w:t>
      </w:r>
      <w:r w:rsidR="00071E73" w:rsidRPr="00876645">
        <w:t xml:space="preserve"> </w:t>
      </w:r>
      <w:r w:rsidRPr="00876645">
        <w:t xml:space="preserve">valuation </w:t>
      </w:r>
      <w:r w:rsidR="00071E73" w:rsidRPr="00876645">
        <w:t xml:space="preserve">methodologies </w:t>
      </w:r>
      <w:r w:rsidRPr="00876645">
        <w:t xml:space="preserve">under the Income Approach </w:t>
      </w:r>
      <w:r w:rsidR="00071E73" w:rsidRPr="00876645">
        <w:t xml:space="preserve">for intangible assets include the </w:t>
      </w:r>
      <w:r w:rsidRPr="00876645">
        <w:t>following:</w:t>
      </w:r>
    </w:p>
    <w:p w:rsidR="0006134E" w:rsidRDefault="0006134E" w:rsidP="00B663FE">
      <w:pPr>
        <w:pStyle w:val="Heading3"/>
        <w:rPr>
          <w:noProof w:val="0"/>
          <w:lang w:val="en-GB"/>
        </w:rPr>
      </w:pPr>
      <w:r w:rsidRPr="0006134E">
        <w:rPr>
          <w:noProof w:val="0"/>
          <w:lang w:val="en-GB"/>
        </w:rPr>
        <w:t xml:space="preserve">Relief </w:t>
      </w:r>
      <w:r>
        <w:rPr>
          <w:noProof w:val="0"/>
          <w:lang w:val="en-GB"/>
        </w:rPr>
        <w:t>f</w:t>
      </w:r>
      <w:r w:rsidRPr="0006134E">
        <w:rPr>
          <w:noProof w:val="0"/>
          <w:lang w:val="en-GB"/>
        </w:rPr>
        <w:t>rom Royalty Method</w:t>
      </w:r>
      <w:r>
        <w:rPr>
          <w:noProof w:val="0"/>
          <w:lang w:val="en-GB"/>
        </w:rPr>
        <w:t xml:space="preserve"> (“RFR”)</w:t>
      </w:r>
    </w:p>
    <w:p w:rsidR="0000169E" w:rsidRPr="00876645" w:rsidRDefault="00EC0B8B" w:rsidP="00DE51B6">
      <w:r w:rsidRPr="00876645">
        <w:lastRenderedPageBreak/>
        <w:t>The RFR method measures value as a function of the royalties avoided by owning an intangible asset, as opposed to licensing the intangible asset from a third party. The method assumes that by owning the intangible asset, the owner avoids the royalty payments required to license the intangible asset. The royalties avoided are computed based on a projected income base (usually revenue), multiplied by a royalty rate. The method ascertains the asset value by discounting the royalty savings and associated tax benefits related to ownership to a present value using an appropriate discount rate.</w:t>
      </w:r>
      <w:r w:rsidR="00DE51B6" w:rsidRPr="00876645">
        <w:t xml:space="preserve"> Estimating an appropriate royalty rate for the intangible asset is determined based on an analysis of royalty rates associated with the licensing agreements of similar asset types of the industry in question from publicly available information.</w:t>
      </w:r>
      <w:r w:rsidR="00982C1B" w:rsidRPr="00876645">
        <w:t xml:space="preserve"> </w:t>
      </w:r>
      <w:r w:rsidR="0000169E" w:rsidRPr="00876645">
        <w:t>The RF</w:t>
      </w:r>
      <w:r w:rsidR="00982C1B" w:rsidRPr="00876645">
        <w:t>R</w:t>
      </w:r>
      <w:r w:rsidR="0000169E" w:rsidRPr="00876645">
        <w:t xml:space="preserve"> method is generally used to value domain names, trademarks, licensed software, and IPR&amp;D that can be tied to a specific revenue </w:t>
      </w:r>
      <w:r w:rsidR="00982C1B" w:rsidRPr="00876645">
        <w:t xml:space="preserve">or income </w:t>
      </w:r>
      <w:r w:rsidR="0000169E" w:rsidRPr="00876645">
        <w:t>stream</w:t>
      </w:r>
      <w:r w:rsidR="00982C1B" w:rsidRPr="00876645">
        <w:t>.</w:t>
      </w:r>
    </w:p>
    <w:p w:rsidR="00B95A84" w:rsidRPr="00876645" w:rsidRDefault="006820A1" w:rsidP="00B663FE">
      <w:pPr>
        <w:pStyle w:val="Heading3"/>
        <w:rPr>
          <w:noProof w:val="0"/>
          <w:lang w:val="en-GB"/>
        </w:rPr>
      </w:pPr>
      <w:r w:rsidRPr="00876645">
        <w:rPr>
          <w:noProof w:val="0"/>
          <w:lang w:val="en-GB"/>
        </w:rPr>
        <w:t>Multi-period Excess Earnings Method (“MPEEM”)</w:t>
      </w:r>
    </w:p>
    <w:p w:rsidR="00B86496" w:rsidRPr="00876645" w:rsidRDefault="00B86496" w:rsidP="00071E73">
      <w:r w:rsidRPr="00876645">
        <w:t>The MPEEM is a variation of discounted cash-flow analysis but differs from the discounted cash flow model as rather than focusing on the whole entity, the MPEEM isolates the attributable cash flows and value of the intangible asset by recognizing the contributions that other assets make in generating revenues and profits from the asset being valued. The method tends to be applied when one asset is the primary driver of a firm’s value and its attributable cash flows can be isolated from the</w:t>
      </w:r>
      <w:r w:rsidR="002C6766" w:rsidRPr="00876645">
        <w:t xml:space="preserve"> firm’s overall cash flows.</w:t>
      </w:r>
    </w:p>
    <w:p w:rsidR="006820A1" w:rsidRPr="00876645" w:rsidRDefault="00A7441A" w:rsidP="00071E73">
      <w:r w:rsidRPr="00876645">
        <w:t>Under the MPEEM method, t</w:t>
      </w:r>
      <w:r w:rsidR="00F646BA" w:rsidRPr="00876645">
        <w:t xml:space="preserve">he </w:t>
      </w:r>
      <w:r w:rsidRPr="00876645">
        <w:t>attributable</w:t>
      </w:r>
      <w:r w:rsidR="00F646BA" w:rsidRPr="00876645">
        <w:t xml:space="preserve"> cash flow stream, or excess earnings, </w:t>
      </w:r>
      <w:r w:rsidRPr="00876645">
        <w:t>of the intangible being valued is estimated after making adjustments for the other assets required to produce the intangible asset’s cash flows. Using an</w:t>
      </w:r>
      <w:r w:rsidR="00F646BA" w:rsidRPr="00876645">
        <w:t xml:space="preserve"> appropriate discount rate the present value of the excess earnings stream is </w:t>
      </w:r>
      <w:r w:rsidR="007C65F9" w:rsidRPr="00876645">
        <w:t>calculated</w:t>
      </w:r>
      <w:r w:rsidR="00F646BA" w:rsidRPr="00876645">
        <w:t xml:space="preserve"> to </w:t>
      </w:r>
      <w:r w:rsidRPr="00876645">
        <w:t>ascertain</w:t>
      </w:r>
      <w:r w:rsidR="00F646BA" w:rsidRPr="00876645">
        <w:t xml:space="preserve"> the value of the </w:t>
      </w:r>
      <w:r w:rsidRPr="00876645">
        <w:t>intangible</w:t>
      </w:r>
      <w:r w:rsidR="00F646BA" w:rsidRPr="00876645">
        <w:t xml:space="preserve"> asset</w:t>
      </w:r>
      <w:r w:rsidRPr="00876645">
        <w:t xml:space="preserve"> being valued</w:t>
      </w:r>
      <w:r w:rsidR="00F646BA" w:rsidRPr="00876645">
        <w:t>.</w:t>
      </w:r>
    </w:p>
    <w:p w:rsidR="007C65F9" w:rsidRPr="00876645" w:rsidRDefault="00976E3D" w:rsidP="00976E3D">
      <w:r w:rsidRPr="00876645">
        <w:t>The adjustments for the other assets are made by calculating and applying t</w:t>
      </w:r>
      <w:r w:rsidR="005D7F4B" w:rsidRPr="00876645">
        <w:t>he contributory asset charges</w:t>
      </w:r>
      <w:r w:rsidR="007C65F9" w:rsidRPr="00876645">
        <w:t xml:space="preserve"> (“CAC”)</w:t>
      </w:r>
      <w:r w:rsidR="005D7F4B" w:rsidRPr="00876645">
        <w:t>.</w:t>
      </w:r>
      <w:r w:rsidR="007C65F9" w:rsidRPr="00876645">
        <w:t xml:space="preserve"> Contributory assets are defined as tangible or intangible assets that are used in the generation of the forecasted cash flows associated with the subject intangible asset being valued. </w:t>
      </w:r>
      <w:r w:rsidR="00B07B87" w:rsidRPr="00876645">
        <w:t xml:space="preserve">A CAC is defined as a charge against revenues to reflect a fair return on the contributory assets that are used in the generation of the forecasted cash flows associated with the subject intangible asset being valued. </w:t>
      </w:r>
      <w:r w:rsidR="007C65F9" w:rsidRPr="00876645">
        <w:t xml:space="preserve">Assessing the CAC can be a challenge with MPEEM as the required returns on CAC must be consistent with an assessment of the risk </w:t>
      </w:r>
      <w:r w:rsidR="00290BA5" w:rsidRPr="00876645">
        <w:t xml:space="preserve">profile </w:t>
      </w:r>
      <w:r w:rsidR="007C65F9" w:rsidRPr="00876645">
        <w:t xml:space="preserve">of </w:t>
      </w:r>
      <w:r w:rsidR="00290BA5" w:rsidRPr="00876645">
        <w:t xml:space="preserve">the </w:t>
      </w:r>
      <w:r w:rsidR="007C65F9" w:rsidRPr="00876645">
        <w:t>individual asset classes</w:t>
      </w:r>
      <w:r w:rsidR="00290BA5" w:rsidRPr="00876645">
        <w:t>,</w:t>
      </w:r>
      <w:r w:rsidR="007C65F9" w:rsidRPr="00876645">
        <w:t xml:space="preserve"> and should reconcile overall to the enterprise WACC. </w:t>
      </w:r>
      <w:r w:rsidR="00290BA5" w:rsidRPr="00876645">
        <w:t>T</w:t>
      </w:r>
      <w:r w:rsidR="007C65F9" w:rsidRPr="00876645">
        <w:t xml:space="preserve">he projection period for the </w:t>
      </w:r>
      <w:r w:rsidR="00290BA5" w:rsidRPr="00876645">
        <w:t>forecasted financial information</w:t>
      </w:r>
      <w:r w:rsidR="007C65F9" w:rsidRPr="00876645">
        <w:t xml:space="preserve"> should reflect the estimated useful life of the asset</w:t>
      </w:r>
      <w:r w:rsidR="00290BA5" w:rsidRPr="00876645">
        <w:t xml:space="preserve"> being valued</w:t>
      </w:r>
      <w:r w:rsidR="007C65F9" w:rsidRPr="00876645">
        <w:t>.</w:t>
      </w:r>
    </w:p>
    <w:p w:rsidR="00735D9C" w:rsidRPr="00876645" w:rsidRDefault="00BB2568" w:rsidP="00BB2568">
      <w:pPr>
        <w:pStyle w:val="Heading3"/>
        <w:rPr>
          <w:lang w:val="en-US"/>
        </w:rPr>
      </w:pPr>
      <w:r w:rsidRPr="00876645">
        <w:rPr>
          <w:noProof w:val="0"/>
          <w:lang w:val="en-GB"/>
        </w:rPr>
        <w:t>I</w:t>
      </w:r>
      <w:r w:rsidRPr="00876645">
        <w:t>ncremental Cash Flow Method</w:t>
      </w:r>
      <w:r w:rsidRPr="00876645">
        <w:rPr>
          <w:noProof w:val="0"/>
          <w:lang w:val="en-GB"/>
        </w:rPr>
        <w:t xml:space="preserve"> (With and Without Method</w:t>
      </w:r>
      <w:r w:rsidRPr="00876645">
        <w:rPr>
          <w:lang w:val="en-US"/>
        </w:rPr>
        <w:t>)</w:t>
      </w:r>
    </w:p>
    <w:p w:rsidR="0000169E" w:rsidRPr="00876645" w:rsidRDefault="00042F53" w:rsidP="00071E73">
      <w:r w:rsidRPr="00876645">
        <w:t>I</w:t>
      </w:r>
      <w:r w:rsidR="00BB2568" w:rsidRPr="00876645">
        <w:t xml:space="preserve">ncremental income </w:t>
      </w:r>
      <w:r w:rsidRPr="00876645">
        <w:t xml:space="preserve">and cash flow </w:t>
      </w:r>
      <w:r w:rsidR="00BB2568" w:rsidRPr="00876645">
        <w:t xml:space="preserve">methods are used to estimate the value of an intangible asset based on a comparison of </w:t>
      </w:r>
      <w:r w:rsidRPr="00876645">
        <w:t xml:space="preserve">two discounted cash flow models including </w:t>
      </w:r>
      <w:r w:rsidR="00BB2568" w:rsidRPr="00876645">
        <w:t>the prospective revenues or expenses for the business or the intang</w:t>
      </w:r>
      <w:r w:rsidRPr="00876645">
        <w:t xml:space="preserve">ible asset with and without the </w:t>
      </w:r>
      <w:r w:rsidR="00BB2568" w:rsidRPr="00876645">
        <w:t xml:space="preserve">intangible asset </w:t>
      </w:r>
      <w:r w:rsidRPr="00876645">
        <w:t>being valued in place. The</w:t>
      </w:r>
      <w:r w:rsidR="00BB2568" w:rsidRPr="00876645">
        <w:t xml:space="preserve"> value is </w:t>
      </w:r>
      <w:r w:rsidRPr="00876645">
        <w:t xml:space="preserve">then </w:t>
      </w:r>
      <w:r w:rsidR="00BB2568" w:rsidRPr="00876645">
        <w:t xml:space="preserve">estimated by discounting the </w:t>
      </w:r>
      <w:r w:rsidRPr="00876645">
        <w:t>difference in cash flows</w:t>
      </w:r>
      <w:r w:rsidR="00BB2568" w:rsidRPr="00876645">
        <w:t xml:space="preserve"> </w:t>
      </w:r>
      <w:r w:rsidRPr="00876645">
        <w:t>of both the scenarios, along with</w:t>
      </w:r>
      <w:r w:rsidR="00BB2568" w:rsidRPr="00876645">
        <w:t xml:space="preserve"> any tax benefits </w:t>
      </w:r>
      <w:r w:rsidRPr="00876645">
        <w:t>associated with the</w:t>
      </w:r>
      <w:r w:rsidR="00BB2568" w:rsidRPr="00876645">
        <w:t xml:space="preserve"> ownership</w:t>
      </w:r>
      <w:r w:rsidRPr="00876645">
        <w:t>,</w:t>
      </w:r>
      <w:r w:rsidR="00BB2568" w:rsidRPr="00876645">
        <w:t xml:space="preserve"> to a </w:t>
      </w:r>
      <w:r w:rsidRPr="00876645">
        <w:t xml:space="preserve">single </w:t>
      </w:r>
      <w:r w:rsidR="00BB2568" w:rsidRPr="00876645">
        <w:t>present value using</w:t>
      </w:r>
      <w:r w:rsidRPr="00876645">
        <w:t xml:space="preserve"> an appropriate discount rate. </w:t>
      </w:r>
      <w:r w:rsidR="0000169E" w:rsidRPr="00876645">
        <w:t xml:space="preserve">The </w:t>
      </w:r>
      <w:proofErr w:type="gramStart"/>
      <w:r w:rsidRPr="00876645">
        <w:t>With</w:t>
      </w:r>
      <w:proofErr w:type="gramEnd"/>
      <w:r w:rsidRPr="00876645">
        <w:t xml:space="preserve"> and Without Method</w:t>
      </w:r>
      <w:r w:rsidR="0000169E" w:rsidRPr="00876645">
        <w:t xml:space="preserve"> is often used to value non</w:t>
      </w:r>
      <w:r w:rsidRPr="00876645">
        <w:t>-</w:t>
      </w:r>
      <w:r w:rsidR="0000169E" w:rsidRPr="00876645">
        <w:t>compete agreements</w:t>
      </w:r>
      <w:r w:rsidRPr="00876645">
        <w:t>.</w:t>
      </w:r>
    </w:p>
    <w:p w:rsidR="004214CA" w:rsidRPr="00071E73" w:rsidRDefault="004214CA" w:rsidP="004214CA">
      <w:pPr>
        <w:pStyle w:val="Heading3"/>
        <w:rPr>
          <w:noProof w:val="0"/>
          <w:color w:val="0028A0"/>
          <w:lang w:val="en-GB"/>
        </w:rPr>
      </w:pPr>
      <w:r>
        <w:rPr>
          <w:noProof w:val="0"/>
          <w:color w:val="0028A0"/>
          <w:lang w:val="en-GB"/>
        </w:rPr>
        <w:t>Market</w:t>
      </w:r>
      <w:r w:rsidRPr="00071E73">
        <w:rPr>
          <w:noProof w:val="0"/>
          <w:color w:val="0028A0"/>
          <w:lang w:val="en-GB"/>
        </w:rPr>
        <w:t xml:space="preserve"> Approach</w:t>
      </w:r>
    </w:p>
    <w:p w:rsidR="005E0FC5" w:rsidRPr="00876645" w:rsidRDefault="0053708E" w:rsidP="005E0FC5">
      <w:r w:rsidRPr="00876645">
        <w:t>Market approach valuation techniques are those that determine the value of an asset based on the prices of similar assets bought and sold in the market.</w:t>
      </w:r>
      <w:r w:rsidR="00F22ED7" w:rsidRPr="00876645">
        <w:t xml:space="preserve"> </w:t>
      </w:r>
      <w:r w:rsidR="005E0FC5" w:rsidRPr="00876645">
        <w:t xml:space="preserve">The market approach measures the value of an </w:t>
      </w:r>
      <w:r w:rsidRPr="00876645">
        <w:t xml:space="preserve">asset </w:t>
      </w:r>
      <w:r w:rsidR="00F22ED7" w:rsidRPr="00876645">
        <w:t>by analyzing</w:t>
      </w:r>
      <w:r w:rsidRPr="00876645">
        <w:t xml:space="preserve"> recent  </w:t>
      </w:r>
      <w:r w:rsidR="00F22ED7" w:rsidRPr="00876645">
        <w:t>transactions</w:t>
      </w:r>
      <w:r w:rsidRPr="00876645">
        <w:t xml:space="preserve"> </w:t>
      </w:r>
      <w:r w:rsidR="005E0FC5" w:rsidRPr="00876645">
        <w:t xml:space="preserve">of  comparable  assets  that  have  been  recently acquired  in  arm’s-length  transactions.  </w:t>
      </w:r>
      <w:proofErr w:type="gramStart"/>
      <w:r w:rsidR="005E0FC5" w:rsidRPr="00876645">
        <w:t>The  market</w:t>
      </w:r>
      <w:proofErr w:type="gramEnd"/>
      <w:r w:rsidR="005E0FC5" w:rsidRPr="00876645">
        <w:t xml:space="preserve"> data  </w:t>
      </w:r>
      <w:r w:rsidR="00F22ED7" w:rsidRPr="00876645">
        <w:t>is</w:t>
      </w:r>
      <w:r w:rsidR="005E0FC5" w:rsidRPr="00876645">
        <w:t xml:space="preserve"> then  adjusted  for  any  significant  differences, to the extent known, between the identified comparable assets and the asset being valued.</w:t>
      </w:r>
    </w:p>
    <w:p w:rsidR="005E0FC5" w:rsidRPr="00876645" w:rsidRDefault="0063291E" w:rsidP="005E0FC5">
      <w:r w:rsidRPr="00876645">
        <w:t>T</w:t>
      </w:r>
      <w:r w:rsidR="00F22ED7" w:rsidRPr="00876645">
        <w:t>wo primary methodologies</w:t>
      </w:r>
      <w:r w:rsidRPr="00876645">
        <w:t xml:space="preserve"> under the Market Approach are</w:t>
      </w:r>
      <w:r w:rsidR="00F22ED7" w:rsidRPr="00876645">
        <w:t xml:space="preserve"> the Guideline </w:t>
      </w:r>
      <w:proofErr w:type="spellStart"/>
      <w:r w:rsidR="00F22ED7" w:rsidRPr="00876645">
        <w:t>Comparables</w:t>
      </w:r>
      <w:proofErr w:type="spellEnd"/>
      <w:r w:rsidR="00F22ED7" w:rsidRPr="00876645">
        <w:t xml:space="preserve"> Method (“GCM”) and the Guideline Transaction Method (“GTM”).  The GCM </w:t>
      </w:r>
      <w:r w:rsidRPr="00876645">
        <w:t>identifies, selects and uses pricing multiples of comparable public companies (“Guideline Public Companies”). While the Guideline Public Companies will not be identical to the subject company, they should be similar enough, have operating and financial characteristics similar to the subject company, to provide valuation guidance.</w:t>
      </w:r>
      <w:r w:rsidR="00F3480B" w:rsidRPr="00876645">
        <w:t xml:space="preserve"> </w:t>
      </w:r>
      <w:r w:rsidR="00F22ED7" w:rsidRPr="00876645">
        <w:t xml:space="preserve">The GTM </w:t>
      </w:r>
      <w:r w:rsidR="00F3480B" w:rsidRPr="00876645">
        <w:t>identifies,</w:t>
      </w:r>
      <w:r w:rsidR="00F22ED7" w:rsidRPr="00876645">
        <w:t xml:space="preserve"> </w:t>
      </w:r>
      <w:r w:rsidR="00F3480B" w:rsidRPr="00876645">
        <w:t>selects</w:t>
      </w:r>
      <w:r w:rsidR="009F61C0" w:rsidRPr="00876645">
        <w:t xml:space="preserve"> </w:t>
      </w:r>
      <w:r w:rsidR="00F3480B" w:rsidRPr="00876645">
        <w:t xml:space="preserve">and uses pricing multiples derived from the </w:t>
      </w:r>
      <w:r w:rsidR="00F22ED7" w:rsidRPr="00876645">
        <w:t>actual transactions</w:t>
      </w:r>
      <w:r w:rsidR="00F3480B" w:rsidRPr="00876645">
        <w:t xml:space="preserve"> </w:t>
      </w:r>
      <w:r w:rsidR="009F61C0" w:rsidRPr="00876645">
        <w:t xml:space="preserve">(“Guideline Transactions”) </w:t>
      </w:r>
      <w:r w:rsidR="00F3480B" w:rsidRPr="00876645">
        <w:t>involving companies with operating and financial characteristics similar to the subject company.</w:t>
      </w:r>
      <w:r w:rsidR="00F22ED7" w:rsidRPr="00876645">
        <w:t xml:space="preserve"> </w:t>
      </w:r>
      <w:r w:rsidR="00A75893" w:rsidRPr="00876645">
        <w:t xml:space="preserve">The </w:t>
      </w:r>
      <w:proofErr w:type="gramStart"/>
      <w:r w:rsidR="00A75893" w:rsidRPr="00876645">
        <w:t>M</w:t>
      </w:r>
      <w:r w:rsidR="005E0FC5" w:rsidRPr="00876645">
        <w:t>arket  approach</w:t>
      </w:r>
      <w:proofErr w:type="gramEnd"/>
      <w:r w:rsidR="005E0FC5" w:rsidRPr="00876645">
        <w:t xml:space="preserve">  is  simple </w:t>
      </w:r>
      <w:r w:rsidR="00A75893" w:rsidRPr="00876645">
        <w:t>to apply</w:t>
      </w:r>
      <w:r w:rsidR="005E0FC5" w:rsidRPr="00876645">
        <w:t xml:space="preserve"> when comparable transactions </w:t>
      </w:r>
      <w:r w:rsidR="00A75893" w:rsidRPr="00876645">
        <w:t xml:space="preserve">or </w:t>
      </w:r>
      <w:proofErr w:type="spellStart"/>
      <w:r w:rsidR="00A75893" w:rsidRPr="00876645">
        <w:t>comparables</w:t>
      </w:r>
      <w:proofErr w:type="spellEnd"/>
      <w:r w:rsidR="00A75893" w:rsidRPr="00876645">
        <w:t xml:space="preserve"> </w:t>
      </w:r>
      <w:r w:rsidR="005E0FC5" w:rsidRPr="00876645">
        <w:t>are avail</w:t>
      </w:r>
      <w:r w:rsidR="00A75893" w:rsidRPr="00876645">
        <w:t xml:space="preserve">able but the scarcity of data regarding recent </w:t>
      </w:r>
      <w:r w:rsidR="005E0FC5" w:rsidRPr="00876645">
        <w:t xml:space="preserve">comparable transactions </w:t>
      </w:r>
      <w:r w:rsidR="00A75893" w:rsidRPr="00876645">
        <w:t>or lack of comparable companies may provide challenges in</w:t>
      </w:r>
      <w:r w:rsidR="005E0FC5" w:rsidRPr="00876645">
        <w:t xml:space="preserve"> establish</w:t>
      </w:r>
      <w:r w:rsidR="00A75893" w:rsidRPr="00876645">
        <w:t>ing a</w:t>
      </w:r>
      <w:r w:rsidR="005E0FC5" w:rsidRPr="00876645">
        <w:t xml:space="preserve"> fair value.</w:t>
      </w:r>
    </w:p>
    <w:p w:rsidR="004214CA" w:rsidRDefault="004214CA" w:rsidP="004214CA"/>
    <w:p w:rsidR="004214CA" w:rsidRPr="004214CA" w:rsidRDefault="004214CA" w:rsidP="004214CA">
      <w:r>
        <w:t xml:space="preserve"> </w:t>
      </w:r>
    </w:p>
    <w:p w:rsidR="005C5A6D" w:rsidRDefault="005C5A6D" w:rsidP="005F4267">
      <w:pPr>
        <w:pStyle w:val="Heading1"/>
        <w:rPr>
          <w:lang w:val="en-GB"/>
        </w:rPr>
      </w:pPr>
    </w:p>
    <w:p w:rsidR="005F4267" w:rsidRPr="00020377" w:rsidRDefault="005F4267" w:rsidP="005F4267">
      <w:pPr>
        <w:pStyle w:val="Heading1"/>
        <w:rPr>
          <w:rFonts w:ascii="Bliss Pro Medium" w:hAnsi="Bliss Pro Medium"/>
          <w:highlight w:val="yellow"/>
          <w:lang w:val="en-GB"/>
        </w:rPr>
      </w:pPr>
      <w:r w:rsidRPr="00020377">
        <w:rPr>
          <w:highlight w:val="yellow"/>
          <w:lang w:val="en-GB"/>
        </w:rPr>
        <w:lastRenderedPageBreak/>
        <w:t>Valuation Analysis</w:t>
      </w:r>
    </w:p>
    <w:p w:rsidR="00A12B21" w:rsidRDefault="00CB245E" w:rsidP="00AC6F76">
      <w:r>
        <w:t>We relied on the following valuation methodologies to estimate the fair value of the Target:</w:t>
      </w:r>
    </w:p>
    <w:p w:rsidR="00CB245E" w:rsidRDefault="00CB245E" w:rsidP="00CB245E">
      <w:pPr>
        <w:pStyle w:val="AcuityBulletsLevel1"/>
      </w:pPr>
      <w:r>
        <w:t>Developed Technological Assets:</w:t>
      </w:r>
      <w:r w:rsidRPr="00997393">
        <w:t xml:space="preserve"> </w:t>
      </w:r>
      <w:r>
        <w:t>Multi-Period Excess Earnings Method(MPEEM) under the Income Approach</w:t>
      </w:r>
      <w:r w:rsidR="009B144C">
        <w:t>;</w:t>
      </w:r>
    </w:p>
    <w:p w:rsidR="00CB245E" w:rsidRDefault="00CB245E" w:rsidP="00CB245E">
      <w:pPr>
        <w:pStyle w:val="AcuityBulletsLevel1"/>
      </w:pPr>
      <w:r>
        <w:t xml:space="preserve">Tradenames and Trademarks: </w:t>
      </w:r>
      <w:r w:rsidR="009B144C">
        <w:t>Relief from Royalty(</w:t>
      </w:r>
      <w:proofErr w:type="spellStart"/>
      <w:r w:rsidR="009B144C">
        <w:t>RfR</w:t>
      </w:r>
      <w:proofErr w:type="spellEnd"/>
      <w:r w:rsidR="009B144C">
        <w:t>) Method under the Income Approach;</w:t>
      </w:r>
    </w:p>
    <w:p w:rsidR="009B144C" w:rsidRPr="00997393" w:rsidRDefault="0018499B" w:rsidP="00CB245E">
      <w:pPr>
        <w:pStyle w:val="AcuityBulletsLevel1"/>
      </w:pPr>
      <w:r>
        <w:t xml:space="preserve">Non-competition Agreement: </w:t>
      </w:r>
      <w:bookmarkStart w:id="5" w:name="_GoBack"/>
      <w:bookmarkEnd w:id="5"/>
    </w:p>
    <w:p w:rsidR="00CB245E" w:rsidRDefault="00CB245E" w:rsidP="00AC6F76"/>
    <w:p w:rsidR="00AC6F76" w:rsidRPr="00E273EE" w:rsidRDefault="00AC6F76" w:rsidP="00AC6F76">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t xml:space="preserve">. Lam, </w:t>
      </w:r>
      <w:proofErr w:type="spellStart"/>
      <w:r w:rsidRPr="00E273EE">
        <w:t>quat</w:t>
      </w:r>
      <w:proofErr w:type="spellEnd"/>
      <w:r w:rsidRPr="00E273EE">
        <w:t xml:space="preserve"> </w:t>
      </w:r>
      <w:proofErr w:type="spellStart"/>
      <w:r w:rsidRPr="00E273EE">
        <w:t>illan</w:t>
      </w:r>
      <w:proofErr w:type="spellEnd"/>
      <w:r w:rsidRPr="00E273EE">
        <w:t xml:space="preserve"> </w:t>
      </w:r>
      <w:proofErr w:type="spellStart"/>
      <w:r w:rsidRPr="00E273EE">
        <w:t>henim</w:t>
      </w:r>
      <w:proofErr w:type="spellEnd"/>
      <w:r w:rsidRPr="00E273EE">
        <w:t xml:space="preserve"> </w:t>
      </w:r>
      <w:proofErr w:type="spellStart"/>
      <w:r w:rsidRPr="00E273EE">
        <w:t>zzril</w:t>
      </w:r>
      <w:proofErr w:type="spellEnd"/>
      <w:r w:rsidRPr="00E273EE">
        <w:t xml:space="preserve"> ipsum non </w:t>
      </w:r>
      <w:proofErr w:type="spellStart"/>
      <w:r w:rsidRPr="00E273EE">
        <w:t>vulluptatue</w:t>
      </w:r>
      <w:proofErr w:type="spellEnd"/>
      <w:r w:rsidRPr="00E273EE">
        <w:t xml:space="preserve"> </w:t>
      </w:r>
      <w:proofErr w:type="spellStart"/>
      <w:r w:rsidRPr="00E273EE">
        <w:t>feugueriusto</w:t>
      </w:r>
      <w:proofErr w:type="spellEnd"/>
      <w:r w:rsidRPr="00E273EE">
        <w:t xml:space="preserve"> </w:t>
      </w:r>
      <w:proofErr w:type="spellStart"/>
      <w:r w:rsidRPr="00E273EE">
        <w:t>odoloreet</w:t>
      </w:r>
      <w:proofErr w:type="spellEnd"/>
      <w:r w:rsidRPr="00E273EE">
        <w:t xml:space="preserve">, </w:t>
      </w:r>
      <w:proofErr w:type="spellStart"/>
      <w:r w:rsidRPr="00E273EE">
        <w:t>sisci</w:t>
      </w:r>
      <w:proofErr w:type="spellEnd"/>
      <w:r w:rsidRPr="00E273EE">
        <w:t xml:space="preserve"> tem </w:t>
      </w:r>
      <w:proofErr w:type="spellStart"/>
      <w:r w:rsidRPr="00E273EE">
        <w:t>iureet</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p>
    <w:p w:rsidR="00AC6F76" w:rsidRPr="00997393" w:rsidRDefault="00AC6F76" w:rsidP="00AC6F76">
      <w:pPr>
        <w:pStyle w:val="AcuityBulletsLevel1"/>
      </w:pPr>
      <w:r w:rsidRPr="00997393">
        <w:t xml:space="preserve">Bullet level 1 - In </w:t>
      </w:r>
      <w:proofErr w:type="spellStart"/>
      <w:r w:rsidRPr="00997393">
        <w:t>commy</w:t>
      </w:r>
      <w:proofErr w:type="spellEnd"/>
      <w:r w:rsidRPr="00997393">
        <w:t xml:space="preserve"> </w:t>
      </w:r>
      <w:proofErr w:type="spellStart"/>
      <w:r w:rsidRPr="00997393">
        <w:t>nulputat</w:t>
      </w:r>
      <w:proofErr w:type="spellEnd"/>
      <w:r w:rsidRPr="00997393">
        <w:t xml:space="preserve">, sis </w:t>
      </w:r>
      <w:proofErr w:type="spellStart"/>
      <w:r w:rsidRPr="00997393">
        <w:t>niam</w:t>
      </w:r>
      <w:proofErr w:type="spellEnd"/>
      <w:r w:rsidRPr="00997393">
        <w:t xml:space="preserve"> </w:t>
      </w:r>
      <w:proofErr w:type="spellStart"/>
      <w:r w:rsidRPr="00997393">
        <w:t>augiat</w:t>
      </w:r>
      <w:proofErr w:type="spellEnd"/>
      <w:r w:rsidRPr="00997393">
        <w:t xml:space="preserve"> </w:t>
      </w:r>
      <w:proofErr w:type="spellStart"/>
      <w:r w:rsidRPr="00997393">
        <w:t>iliquam</w:t>
      </w:r>
      <w:proofErr w:type="spellEnd"/>
      <w:r w:rsidRPr="00997393">
        <w:t xml:space="preserve">, qui </w:t>
      </w:r>
      <w:proofErr w:type="spellStart"/>
      <w:r w:rsidRPr="00997393">
        <w:t>tate</w:t>
      </w:r>
      <w:proofErr w:type="spellEnd"/>
      <w:r w:rsidRPr="00997393">
        <w:t xml:space="preserve"> </w:t>
      </w:r>
      <w:proofErr w:type="spellStart"/>
      <w:r w:rsidRPr="00997393">
        <w:t>feui</w:t>
      </w:r>
      <w:proofErr w:type="spellEnd"/>
      <w:r w:rsidRPr="00997393">
        <w:t xml:space="preserve"> </w:t>
      </w:r>
      <w:proofErr w:type="spellStart"/>
      <w:r w:rsidRPr="00997393">
        <w:t>er</w:t>
      </w:r>
      <w:proofErr w:type="spellEnd"/>
      <w:r w:rsidRPr="00997393">
        <w:t xml:space="preserve"> </w:t>
      </w:r>
      <w:proofErr w:type="spellStart"/>
      <w:r w:rsidRPr="00997393">
        <w:t>illumsandre</w:t>
      </w:r>
      <w:proofErr w:type="spellEnd"/>
      <w:r w:rsidRPr="00997393">
        <w:t xml:space="preserve"> </w:t>
      </w:r>
      <w:proofErr w:type="spellStart"/>
      <w:r w:rsidRPr="00997393">
        <w:t>facidunt</w:t>
      </w:r>
      <w:proofErr w:type="spellEnd"/>
      <w:r w:rsidRPr="00997393">
        <w:t xml:space="preserve"> </w:t>
      </w:r>
      <w:proofErr w:type="spellStart"/>
      <w:r w:rsidRPr="00997393">
        <w:t>lor</w:t>
      </w:r>
      <w:proofErr w:type="spellEnd"/>
      <w:r w:rsidRPr="00997393">
        <w:t xml:space="preserve"> </w:t>
      </w:r>
      <w:proofErr w:type="spellStart"/>
      <w:r w:rsidRPr="00997393">
        <w:t>summodiatio</w:t>
      </w:r>
      <w:proofErr w:type="spellEnd"/>
      <w:r w:rsidRPr="00997393">
        <w:t xml:space="preserve"> </w:t>
      </w:r>
      <w:proofErr w:type="spellStart"/>
      <w:r w:rsidRPr="00997393">
        <w:t>corper</w:t>
      </w:r>
      <w:proofErr w:type="spellEnd"/>
      <w:r w:rsidRPr="00997393">
        <w:t xml:space="preserve"> </w:t>
      </w:r>
      <w:proofErr w:type="spellStart"/>
      <w:r w:rsidRPr="00997393">
        <w:t>sendipis</w:t>
      </w:r>
      <w:proofErr w:type="spellEnd"/>
      <w:r w:rsidRPr="00997393">
        <w:t xml:space="preserve"> </w:t>
      </w:r>
      <w:proofErr w:type="spellStart"/>
      <w:r w:rsidRPr="00997393">
        <w:t>euguercidui</w:t>
      </w:r>
      <w:proofErr w:type="spellEnd"/>
      <w:r w:rsidRPr="00997393">
        <w:t xml:space="preserve"> </w:t>
      </w:r>
      <w:proofErr w:type="spellStart"/>
      <w:r w:rsidRPr="00997393">
        <w:t>bla</w:t>
      </w:r>
      <w:proofErr w:type="spellEnd"/>
      <w:r w:rsidRPr="00997393">
        <w:t xml:space="preserve"> </w:t>
      </w:r>
      <w:proofErr w:type="spellStart"/>
      <w:r w:rsidRPr="00997393">
        <w:t>feuiscilis</w:t>
      </w:r>
      <w:proofErr w:type="spellEnd"/>
      <w:r w:rsidRPr="00997393">
        <w:t xml:space="preserve"> </w:t>
      </w:r>
      <w:proofErr w:type="spellStart"/>
      <w:r w:rsidRPr="00997393">
        <w:t>dit</w:t>
      </w:r>
      <w:proofErr w:type="spellEnd"/>
      <w:r w:rsidRPr="00997393">
        <w:t xml:space="preserve"> </w:t>
      </w:r>
      <w:proofErr w:type="spellStart"/>
      <w:r w:rsidRPr="00997393">
        <w:t>adit</w:t>
      </w:r>
      <w:proofErr w:type="spellEnd"/>
      <w:r w:rsidRPr="00997393">
        <w:t xml:space="preserve"> </w:t>
      </w:r>
      <w:proofErr w:type="spellStart"/>
      <w:r w:rsidRPr="00997393">
        <w:t>wis</w:t>
      </w:r>
      <w:proofErr w:type="spellEnd"/>
      <w:r w:rsidRPr="00997393">
        <w:t xml:space="preserve"> </w:t>
      </w:r>
      <w:proofErr w:type="spellStart"/>
      <w:r w:rsidRPr="00997393">
        <w:t>nonsecte</w:t>
      </w:r>
      <w:proofErr w:type="spellEnd"/>
      <w:r w:rsidRPr="00997393">
        <w:t xml:space="preserve"> </w:t>
      </w:r>
      <w:proofErr w:type="spellStart"/>
      <w:r w:rsidRPr="00997393">
        <w:t>facilit</w:t>
      </w:r>
      <w:proofErr w:type="spellEnd"/>
      <w:r w:rsidRPr="00997393">
        <w:t xml:space="preserve">, qui </w:t>
      </w:r>
      <w:proofErr w:type="spellStart"/>
      <w:r w:rsidRPr="00997393">
        <w:t>bla</w:t>
      </w:r>
      <w:proofErr w:type="spellEnd"/>
      <w:r w:rsidRPr="00997393">
        <w:t xml:space="preserve"> </w:t>
      </w:r>
      <w:proofErr w:type="spellStart"/>
      <w:r w:rsidRPr="00997393">
        <w:t>feugait</w:t>
      </w:r>
      <w:proofErr w:type="spellEnd"/>
      <w:r w:rsidRPr="00997393">
        <w:t xml:space="preserve"> </w:t>
      </w:r>
      <w:proofErr w:type="spellStart"/>
      <w:r w:rsidRPr="00997393">
        <w:t>aliquipisi</w:t>
      </w:r>
      <w:proofErr w:type="spellEnd"/>
      <w:r w:rsidRPr="00997393">
        <w:t xml:space="preserve"> </w:t>
      </w:r>
      <w:proofErr w:type="spellStart"/>
      <w:r w:rsidRPr="00997393">
        <w:t>essim</w:t>
      </w:r>
      <w:proofErr w:type="spellEnd"/>
      <w:r w:rsidRPr="00997393">
        <w:t xml:space="preserve"> </w:t>
      </w:r>
      <w:proofErr w:type="spellStart"/>
      <w:r w:rsidRPr="00997393">
        <w:t>nis</w:t>
      </w:r>
      <w:proofErr w:type="spellEnd"/>
      <w:r w:rsidRPr="00997393">
        <w:t xml:space="preserve"> am </w:t>
      </w:r>
      <w:proofErr w:type="spellStart"/>
      <w:r w:rsidRPr="00997393">
        <w:t>zzriliquat</w:t>
      </w:r>
      <w:proofErr w:type="spellEnd"/>
      <w:r w:rsidRPr="00997393">
        <w:t xml:space="preserve"> </w:t>
      </w:r>
      <w:proofErr w:type="spellStart"/>
      <w:r w:rsidRPr="00997393">
        <w:t>alismolor</w:t>
      </w:r>
      <w:proofErr w:type="spellEnd"/>
      <w:r w:rsidRPr="00997393">
        <w:t xml:space="preserve"> </w:t>
      </w:r>
      <w:proofErr w:type="spellStart"/>
      <w:r w:rsidRPr="00997393">
        <w:t>ipisi</w:t>
      </w:r>
      <w:proofErr w:type="spellEnd"/>
      <w:r w:rsidRPr="00997393">
        <w:t>.</w:t>
      </w:r>
    </w:p>
    <w:p w:rsidR="00AC6F76" w:rsidRPr="004B7127" w:rsidRDefault="00AC6F76" w:rsidP="00AC6F76">
      <w:pPr>
        <w:pStyle w:val="AcuityBulletsLevel2"/>
      </w:pPr>
      <w:r w:rsidRPr="004B7127">
        <w:t xml:space="preserve">Bullet level 2 - In item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 xml:space="preserve"> </w:t>
      </w:r>
      <w:proofErr w:type="spellStart"/>
      <w:r w:rsidRPr="004B7127">
        <w:t>nosto</w:t>
      </w:r>
      <w:proofErr w:type="spellEnd"/>
      <w:r w:rsidRPr="004B7127">
        <w:t xml:space="preserve"> </w:t>
      </w:r>
      <w:proofErr w:type="spellStart"/>
      <w:r w:rsidRPr="004B7127">
        <w:t>consectet</w:t>
      </w:r>
      <w:proofErr w:type="spellEnd"/>
      <w:r w:rsidRPr="004B7127">
        <w:t xml:space="preserve"> </w:t>
      </w:r>
      <w:proofErr w:type="spellStart"/>
      <w:r w:rsidRPr="004B7127">
        <w:t>irilit</w:t>
      </w:r>
      <w:proofErr w:type="spellEnd"/>
      <w:r w:rsidRPr="004B7127">
        <w:t xml:space="preserve"> </w:t>
      </w:r>
      <w:proofErr w:type="spellStart"/>
      <w:r w:rsidRPr="004B7127">
        <w:t>luptatum</w:t>
      </w:r>
      <w:proofErr w:type="spellEnd"/>
      <w:r w:rsidRPr="004B7127">
        <w:t xml:space="preserve"> </w:t>
      </w:r>
      <w:proofErr w:type="spellStart"/>
      <w:r w:rsidRPr="004B7127">
        <w:t>ing</w:t>
      </w:r>
      <w:proofErr w:type="spellEnd"/>
      <w:r w:rsidRPr="004B7127">
        <w:t xml:space="preserve"> </w:t>
      </w:r>
      <w:proofErr w:type="spellStart"/>
      <w:r w:rsidRPr="004B7127">
        <w:t>eliquat</w:t>
      </w:r>
      <w:proofErr w:type="spellEnd"/>
      <w:r w:rsidRPr="004B7127">
        <w:t xml:space="preserve">. </w:t>
      </w:r>
      <w:proofErr w:type="spellStart"/>
      <w:r w:rsidRPr="004B7127">
        <w:t>Ut</w:t>
      </w:r>
      <w:proofErr w:type="spellEnd"/>
      <w:r w:rsidRPr="004B7127">
        <w:t xml:space="preserve"> </w:t>
      </w:r>
      <w:proofErr w:type="spellStart"/>
      <w:r w:rsidRPr="004B7127">
        <w:t>ipit</w:t>
      </w:r>
      <w:proofErr w:type="spellEnd"/>
      <w:r w:rsidRPr="004B7127">
        <w:t xml:space="preserve"> </w:t>
      </w:r>
      <w:proofErr w:type="spellStart"/>
      <w:r w:rsidRPr="004B7127">
        <w:t>numsandigna</w:t>
      </w:r>
      <w:proofErr w:type="spellEnd"/>
      <w:r w:rsidRPr="004B7127">
        <w:t xml:space="preserve"> </w:t>
      </w:r>
      <w:proofErr w:type="spellStart"/>
      <w:r w:rsidRPr="004B7127">
        <w:t>consequatem</w:t>
      </w:r>
      <w:proofErr w:type="spellEnd"/>
      <w:r w:rsidRPr="004B7127">
        <w:t xml:space="preserve"> </w:t>
      </w:r>
      <w:proofErr w:type="spellStart"/>
      <w:r w:rsidRPr="004B7127">
        <w:t>vendit</w:t>
      </w:r>
      <w:proofErr w:type="spellEnd"/>
      <w:r w:rsidRPr="004B7127">
        <w:t>.</w:t>
      </w:r>
    </w:p>
    <w:p w:rsidR="00AC6F76" w:rsidRPr="004B7127" w:rsidRDefault="00AC6F76" w:rsidP="00AC6F76">
      <w:pPr>
        <w:pStyle w:val="AcuityBulletsLevel3"/>
      </w:pPr>
      <w:r w:rsidRPr="004B7127">
        <w:t xml:space="preserve">Bullet level 3 - In el ex </w:t>
      </w:r>
      <w:proofErr w:type="spellStart"/>
      <w:r w:rsidRPr="004B7127">
        <w:t>ex</w:t>
      </w:r>
      <w:proofErr w:type="spellEnd"/>
      <w:r w:rsidRPr="004B7127">
        <w:t xml:space="preserve"> </w:t>
      </w:r>
      <w:proofErr w:type="spellStart"/>
      <w:r w:rsidRPr="004B7127">
        <w:t>estis</w:t>
      </w:r>
      <w:proofErr w:type="spellEnd"/>
      <w:r w:rsidRPr="004B7127">
        <w:t xml:space="preserve"> dui 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w:t>
      </w:r>
    </w:p>
    <w:p w:rsidR="00AC6F76" w:rsidRPr="00997393" w:rsidRDefault="00AC6F76" w:rsidP="00AC6F76">
      <w:pPr>
        <w:pStyle w:val="AcuityBulletsLevel4"/>
      </w:pPr>
      <w:r w:rsidRPr="00997393">
        <w:t xml:space="preserve">Bullet level 4 - In el ex </w:t>
      </w:r>
      <w:proofErr w:type="spellStart"/>
      <w:r w:rsidRPr="00997393">
        <w:t>ex</w:t>
      </w:r>
      <w:proofErr w:type="spellEnd"/>
      <w:r w:rsidRPr="00997393">
        <w:t xml:space="preserve"> </w:t>
      </w:r>
      <w:proofErr w:type="spellStart"/>
      <w:r w:rsidRPr="00997393">
        <w:t>estis</w:t>
      </w:r>
      <w:proofErr w:type="spellEnd"/>
      <w:r w:rsidRPr="00997393">
        <w:t xml:space="preserve"> dui tem ese </w:t>
      </w:r>
      <w:proofErr w:type="spellStart"/>
      <w:r w:rsidRPr="00997393">
        <w:t>faciliquatum</w:t>
      </w:r>
      <w:proofErr w:type="spellEnd"/>
      <w:r w:rsidRPr="00997393">
        <w:t xml:space="preserve"> del dui </w:t>
      </w:r>
      <w:proofErr w:type="spellStart"/>
      <w:r w:rsidRPr="00997393">
        <w:t>bla</w:t>
      </w:r>
      <w:proofErr w:type="spellEnd"/>
      <w:r w:rsidRPr="00997393">
        <w:t xml:space="preserve"> </w:t>
      </w:r>
      <w:proofErr w:type="spellStart"/>
      <w:r w:rsidRPr="00997393">
        <w:t>facil</w:t>
      </w:r>
      <w:proofErr w:type="spellEnd"/>
      <w:r w:rsidRPr="00997393">
        <w:t xml:space="preserve"> </w:t>
      </w:r>
      <w:proofErr w:type="spellStart"/>
      <w:r w:rsidRPr="00997393">
        <w:t>dolum</w:t>
      </w:r>
      <w:proofErr w:type="spellEnd"/>
      <w:r w:rsidRPr="00997393">
        <w:t xml:space="preserve"> et </w:t>
      </w:r>
      <w:proofErr w:type="spellStart"/>
      <w:r w:rsidRPr="00997393">
        <w:t>landiat</w:t>
      </w:r>
      <w:proofErr w:type="spellEnd"/>
      <w:r w:rsidRPr="00997393">
        <w:t xml:space="preserve"> </w:t>
      </w:r>
      <w:proofErr w:type="spellStart"/>
      <w:r w:rsidRPr="00997393">
        <w:t>umsandiam</w:t>
      </w:r>
      <w:proofErr w:type="spellEnd"/>
      <w:r w:rsidRPr="00997393">
        <w:t xml:space="preserve">, </w:t>
      </w:r>
      <w:proofErr w:type="spellStart"/>
      <w:r w:rsidRPr="00997393">
        <w:t>quisi</w:t>
      </w:r>
      <w:proofErr w:type="spellEnd"/>
      <w:r w:rsidRPr="00997393">
        <w:t xml:space="preserve"> </w:t>
      </w:r>
      <w:proofErr w:type="spellStart"/>
      <w:r w:rsidRPr="00997393">
        <w:t>eugait</w:t>
      </w:r>
      <w:proofErr w:type="spellEnd"/>
      <w:r w:rsidRPr="00997393">
        <w:t xml:space="preserve"> </w:t>
      </w:r>
      <w:proofErr w:type="spellStart"/>
      <w:r w:rsidRPr="00997393">
        <w:t>augiamcore</w:t>
      </w:r>
      <w:proofErr w:type="spellEnd"/>
      <w:r w:rsidRPr="00997393">
        <w:t xml:space="preserve"> </w:t>
      </w:r>
      <w:proofErr w:type="spellStart"/>
      <w:r w:rsidRPr="00997393">
        <w:t>commy</w:t>
      </w:r>
      <w:proofErr w:type="spellEnd"/>
      <w:r w:rsidRPr="00997393">
        <w:t xml:space="preserve"> </w:t>
      </w:r>
      <w:proofErr w:type="spellStart"/>
      <w:r w:rsidRPr="00997393">
        <w:t>nim</w:t>
      </w:r>
      <w:proofErr w:type="spellEnd"/>
      <w:r w:rsidRPr="00997393">
        <w:t xml:space="preserve"> </w:t>
      </w:r>
      <w:proofErr w:type="spellStart"/>
      <w:r w:rsidRPr="00997393">
        <w:t>quamconsed</w:t>
      </w:r>
      <w:proofErr w:type="spellEnd"/>
      <w:r w:rsidRPr="00997393">
        <w:t xml:space="preserve"> </w:t>
      </w:r>
      <w:proofErr w:type="spellStart"/>
      <w:r w:rsidRPr="00997393">
        <w:t>esto</w:t>
      </w:r>
      <w:proofErr w:type="spellEnd"/>
      <w:r w:rsidRPr="00997393">
        <w:t xml:space="preserve"> </w:t>
      </w:r>
      <w:proofErr w:type="spellStart"/>
      <w:r w:rsidRPr="00997393">
        <w:t>corpercilis</w:t>
      </w:r>
      <w:proofErr w:type="spellEnd"/>
      <w:r w:rsidRPr="00997393">
        <w:t xml:space="preserve"> </w:t>
      </w:r>
      <w:proofErr w:type="spellStart"/>
      <w:r w:rsidRPr="00997393">
        <w:t>nullaorem</w:t>
      </w:r>
      <w:proofErr w:type="spellEnd"/>
      <w:r w:rsidRPr="00997393">
        <w:t xml:space="preserve"> </w:t>
      </w:r>
      <w:proofErr w:type="spellStart"/>
      <w:r w:rsidRPr="00997393">
        <w:t>il</w:t>
      </w:r>
      <w:proofErr w:type="spellEnd"/>
      <w:r w:rsidRPr="00997393">
        <w:t xml:space="preserve"> </w:t>
      </w:r>
      <w:proofErr w:type="spellStart"/>
      <w:r w:rsidRPr="00997393">
        <w:t>il</w:t>
      </w:r>
      <w:proofErr w:type="spellEnd"/>
      <w:r w:rsidRPr="00997393">
        <w:t xml:space="preserve"> </w:t>
      </w:r>
      <w:proofErr w:type="spellStart"/>
      <w:r w:rsidRPr="00997393">
        <w:t>utpatuerit</w:t>
      </w:r>
      <w:proofErr w:type="spellEnd"/>
      <w:r w:rsidRPr="00997393">
        <w:t xml:space="preserve"> </w:t>
      </w:r>
      <w:proofErr w:type="spellStart"/>
      <w:r w:rsidRPr="00997393">
        <w:t>eui</w:t>
      </w:r>
      <w:proofErr w:type="spellEnd"/>
      <w:r w:rsidRPr="00997393">
        <w:t xml:space="preserve"> </w:t>
      </w:r>
      <w:proofErr w:type="spellStart"/>
      <w:r w:rsidRPr="00997393">
        <w:t>tet</w:t>
      </w:r>
      <w:proofErr w:type="spellEnd"/>
      <w:r w:rsidRPr="00997393">
        <w:t xml:space="preserve">, </w:t>
      </w:r>
      <w:proofErr w:type="spellStart"/>
      <w:r w:rsidRPr="00997393">
        <w:t>quis</w:t>
      </w:r>
      <w:proofErr w:type="spellEnd"/>
      <w:r w:rsidRPr="00997393">
        <w:t xml:space="preserve"> dui el </w:t>
      </w:r>
      <w:proofErr w:type="spellStart"/>
      <w:r w:rsidRPr="00997393">
        <w:t>iusto</w:t>
      </w:r>
      <w:proofErr w:type="spellEnd"/>
      <w:r w:rsidRPr="00997393">
        <w:t xml:space="preserve"> </w:t>
      </w:r>
      <w:proofErr w:type="spellStart"/>
      <w:r w:rsidRPr="00997393">
        <w:t>dolenis</w:t>
      </w:r>
      <w:proofErr w:type="spellEnd"/>
      <w:r w:rsidRPr="00997393">
        <w:t xml:space="preserve"> </w:t>
      </w:r>
      <w:proofErr w:type="spellStart"/>
      <w:r w:rsidRPr="00997393">
        <w:t>augiametum</w:t>
      </w:r>
      <w:proofErr w:type="spellEnd"/>
      <w:r w:rsidRPr="00997393">
        <w:t xml:space="preserve"> et, </w:t>
      </w:r>
      <w:proofErr w:type="spellStart"/>
      <w:r w:rsidRPr="00997393">
        <w:t>consed</w:t>
      </w:r>
      <w:proofErr w:type="spellEnd"/>
      <w:r w:rsidRPr="00997393">
        <w:t xml:space="preserve"> </w:t>
      </w:r>
      <w:proofErr w:type="spellStart"/>
      <w:r w:rsidRPr="00997393">
        <w:t>dolummy</w:t>
      </w:r>
      <w:proofErr w:type="spellEnd"/>
      <w:r w:rsidRPr="00997393">
        <w:t>.</w:t>
      </w:r>
    </w:p>
    <w:p w:rsidR="00AC6F76" w:rsidRPr="004B7127" w:rsidRDefault="00AC6F76" w:rsidP="00AC6F76">
      <w:pPr>
        <w:pStyle w:val="Heading3"/>
        <w:rPr>
          <w:noProof w:val="0"/>
          <w:lang w:val="en-GB"/>
        </w:rPr>
      </w:pPr>
      <w:r w:rsidRPr="004B7127">
        <w:rPr>
          <w:noProof w:val="0"/>
          <w:lang w:val="en-GB"/>
        </w:rPr>
        <w:t xml:space="preserve">Level 3 Heading </w:t>
      </w:r>
    </w:p>
    <w:p w:rsidR="00AC6F76" w:rsidRPr="00E273EE" w:rsidRDefault="00AC6F76" w:rsidP="00AC6F76">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r w:rsidRPr="00E273EE">
        <w:footnoteReference w:id="3"/>
      </w:r>
    </w:p>
    <w:p w:rsidR="00AC6F76" w:rsidRPr="00E273EE" w:rsidRDefault="00AC6F76" w:rsidP="00AC6F76">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footnoteReference w:id="4"/>
      </w: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990DDA">
      <w:pPr>
        <w:pStyle w:val="Heading1"/>
        <w:rPr>
          <w:lang w:val="en-GB"/>
        </w:rPr>
      </w:pPr>
    </w:p>
    <w:p w:rsidR="005C5A6D" w:rsidRPr="004B7127" w:rsidRDefault="005C5A6D" w:rsidP="005C5A6D">
      <w:pPr>
        <w:pStyle w:val="Heading1"/>
        <w:rPr>
          <w:rFonts w:ascii="Bliss Pro Medium" w:hAnsi="Bliss Pro Medium"/>
          <w:lang w:val="en-GB"/>
        </w:rPr>
      </w:pPr>
      <w:r w:rsidRPr="005C5A6D">
        <w:rPr>
          <w:lang w:val="en-GB"/>
        </w:rPr>
        <w:t xml:space="preserve">Statement of </w:t>
      </w:r>
      <w:r>
        <w:rPr>
          <w:lang w:val="en-GB"/>
        </w:rPr>
        <w:t xml:space="preserve">Assumptions and </w:t>
      </w:r>
      <w:r w:rsidRPr="005C5A6D">
        <w:rPr>
          <w:lang w:val="en-GB"/>
        </w:rPr>
        <w:t>Limiting Conditions</w:t>
      </w:r>
    </w:p>
    <w:p w:rsidR="005C5A6D" w:rsidRPr="00A46EB4" w:rsidRDefault="005C5A6D" w:rsidP="005C5A6D">
      <w:r w:rsidRPr="00A46EB4">
        <w:t xml:space="preserve">This </w:t>
      </w:r>
      <w:r w:rsidR="006C5263" w:rsidRPr="00A46EB4">
        <w:t>Appraisal</w:t>
      </w:r>
      <w:r w:rsidRPr="00A46EB4">
        <w:t xml:space="preserve"> </w:t>
      </w:r>
      <w:r w:rsidR="006C5263" w:rsidRPr="00A46EB4">
        <w:t>is subject</w:t>
      </w:r>
      <w:r w:rsidRPr="00A46EB4">
        <w:t xml:space="preserve"> to the following general assumptions and general limiting conditions:</w:t>
      </w:r>
    </w:p>
    <w:p w:rsidR="005C5A6D" w:rsidRPr="00A46EB4" w:rsidRDefault="005C5A6D" w:rsidP="005C5A6D"/>
    <w:p w:rsidR="00462B53" w:rsidRPr="00A46EB4" w:rsidRDefault="00B5095B" w:rsidP="006E5859">
      <w:pPr>
        <w:pStyle w:val="AcuityBulletsLevel1"/>
      </w:pPr>
      <w:r w:rsidRPr="00A46EB4">
        <w:t xml:space="preserve">We have relied on the </w:t>
      </w:r>
      <w:r w:rsidR="00462B53" w:rsidRPr="00A46EB4">
        <w:t xml:space="preserve">information furnished by </w:t>
      </w:r>
      <w:r w:rsidRPr="00A46EB4">
        <w:t xml:space="preserve">the </w:t>
      </w:r>
      <w:r w:rsidR="00462B53" w:rsidRPr="00A46EB4">
        <w:t xml:space="preserve">management </w:t>
      </w:r>
      <w:r w:rsidRPr="00A46EB4">
        <w:t>and believe it</w:t>
      </w:r>
      <w:r w:rsidR="00462B53" w:rsidRPr="00A46EB4">
        <w:t xml:space="preserve"> to be </w:t>
      </w:r>
      <w:r w:rsidR="006E5859" w:rsidRPr="00A46EB4">
        <w:t>accurate and reliable, and have accepted the information provided to be correct without any further investigation or verification.</w:t>
      </w:r>
      <w:r w:rsidR="00462B53" w:rsidRPr="00A46EB4">
        <w:t xml:space="preserve"> </w:t>
      </w:r>
      <w:r w:rsidR="006E5859" w:rsidRPr="00A46EB4">
        <w:t>The third-party information used in this report is from sources that are deemed reliable. However, we issue no warranty or other form of assurance regarding the sources’ accuracy or completeness.</w:t>
      </w:r>
    </w:p>
    <w:p w:rsidR="00F93CF4" w:rsidRPr="00A46EB4" w:rsidRDefault="00F93CF4" w:rsidP="00CB245E">
      <w:pPr>
        <w:pStyle w:val="AcuityBulletsLevel1"/>
      </w:pPr>
      <w:r w:rsidRPr="00A46EB4">
        <w:t xml:space="preserve">The financial projections </w:t>
      </w:r>
      <w:r w:rsidR="007E5230" w:rsidRPr="00A46EB4">
        <w:t>presented</w:t>
      </w:r>
      <w:r w:rsidRPr="00A46EB4">
        <w:t xml:space="preserve"> in the valuation </w:t>
      </w:r>
      <w:r w:rsidR="00FB656E" w:rsidRPr="00A46EB4">
        <w:t xml:space="preserve">report </w:t>
      </w:r>
      <w:r w:rsidRPr="00A46EB4">
        <w:t>assume both responsible ownership and competent management unless noted otherwise. Any variance from this assumption could have a significant impact on the final value estimate.</w:t>
      </w:r>
    </w:p>
    <w:p w:rsidR="00701A0D" w:rsidRPr="00A46EB4" w:rsidRDefault="00701A0D" w:rsidP="00701A0D">
      <w:pPr>
        <w:pStyle w:val="AcuityBulletsLevel1"/>
      </w:pPr>
      <w:r w:rsidRPr="00A46EB4">
        <w:t>Any projections of future events described in this report represent the general expectancy concerning such events as of the evaluation date. However, events and circumstances frequently do not occur as expected, so material differences may unusually exist between prospective financial information and actual future results. Accordingly, to the extent that any of the information used in this analysis and report requires adjustment, the resulting fair value would be different.</w:t>
      </w:r>
    </w:p>
    <w:p w:rsidR="00B5095B" w:rsidRPr="00A46EB4" w:rsidRDefault="00B5095B" w:rsidP="00CB245E">
      <w:pPr>
        <w:pStyle w:val="AcuityBulletsLevel1"/>
      </w:pPr>
      <w:r w:rsidRPr="00A46EB4">
        <w:t>Unless otherwise stated in the valuation report, the valuation analysis has not considered or incorporated the potential economic gain or loss resulting from any contingent assets or liabilities, or events existing as of the Valuation Date.</w:t>
      </w:r>
    </w:p>
    <w:p w:rsidR="00462B53" w:rsidRPr="00A46EB4" w:rsidRDefault="00462B53" w:rsidP="00462B53">
      <w:pPr>
        <w:pStyle w:val="AcuityBulletsLevel1"/>
      </w:pPr>
      <w:r w:rsidRPr="00A46EB4">
        <w:t>We assume that there is full compliance with all applicable Federal, state, and local regulations and laws unless noncompliance is stated, defined, and consi</w:t>
      </w:r>
      <w:r w:rsidR="001B4A04" w:rsidRPr="00A46EB4">
        <w:t>dered</w:t>
      </w:r>
      <w:r w:rsidR="005422D3" w:rsidRPr="00A46EB4">
        <w:t xml:space="preserve"> in the appraisal </w:t>
      </w:r>
      <w:r w:rsidR="00A12A13" w:rsidRPr="00A46EB4">
        <w:t>r</w:t>
      </w:r>
      <w:r w:rsidR="005422D3" w:rsidRPr="00A46EB4">
        <w:t>eport.</w:t>
      </w:r>
    </w:p>
    <w:p w:rsidR="005422D3" w:rsidRPr="00A46EB4" w:rsidRDefault="005422D3" w:rsidP="00CB245E">
      <w:pPr>
        <w:pStyle w:val="AcuityBulletsLevel1"/>
      </w:pPr>
      <w:r w:rsidRPr="00A46EB4">
        <w:t>Unless otherwise stated, no effort has been made to determine the possible effect, if any, on the subject business or any asset due to future federal, state, or local legislation, including any environmental or ecological matters or interpretations thereof.</w:t>
      </w:r>
    </w:p>
    <w:p w:rsidR="00681161" w:rsidRPr="00A46EB4" w:rsidRDefault="00681161" w:rsidP="00CB245E">
      <w:pPr>
        <w:pStyle w:val="AcuityBulletsLevel1"/>
      </w:pPr>
      <w:r w:rsidRPr="00A46EB4">
        <w:t xml:space="preserve">All claims to property have been assumed to be valid and we assume no responsibility for the legal description of real property or matters including legal or title considerations. For real property included in this appraisal, we were not furnished legal descriptions or other detailed site.  Title to the subject assets, properties, or business interests is assumed to be good and marketable unless otherwise stated.  </w:t>
      </w:r>
    </w:p>
    <w:p w:rsidR="00681161" w:rsidRPr="00A46EB4" w:rsidRDefault="00681161" w:rsidP="00681161">
      <w:pPr>
        <w:pStyle w:val="AcuityBulletsLevel1"/>
      </w:pPr>
      <w:r w:rsidRPr="00A46EB4">
        <w:t>No consideration has been given to liens or encumbrances that may be against the subject assets, property, or business interest except as specifically stated in the valuation report.</w:t>
      </w:r>
    </w:p>
    <w:p w:rsidR="00681161" w:rsidRPr="00A46EB4" w:rsidRDefault="00681161" w:rsidP="00681161">
      <w:pPr>
        <w:pStyle w:val="AcuityBulletsLevel1"/>
      </w:pPr>
      <w:r w:rsidRPr="00A46EB4">
        <w:t>We assume responsible ownership and competent management with respect to the subject assets, properties, or business interests.</w:t>
      </w:r>
    </w:p>
    <w:p w:rsidR="00462B53" w:rsidRPr="00A46EB4" w:rsidRDefault="00462B53" w:rsidP="00462B53">
      <w:pPr>
        <w:pStyle w:val="AcuityBulletsLevel1"/>
      </w:pPr>
      <w:r w:rsidRPr="00A46EB4">
        <w:t xml:space="preserve">We, by reason of this valuation, are neither required to give testimony nor to be in attendance in court with reference to the assets, properties, or business interests in question unless arrangements have been previously made.  </w:t>
      </w:r>
    </w:p>
    <w:p w:rsidR="00462B53" w:rsidRPr="00A46EB4" w:rsidRDefault="00462B53" w:rsidP="00462B53">
      <w:pPr>
        <w:pStyle w:val="AcuityBulletsLevel1"/>
      </w:pPr>
      <w:r w:rsidRPr="00A46EB4">
        <w:t>This valu</w:t>
      </w:r>
      <w:r w:rsidR="00A12A13" w:rsidRPr="00A46EB4">
        <w:t>ation r</w:t>
      </w:r>
      <w:r w:rsidRPr="00A46EB4">
        <w:t>eport has been prepared in conformity with, and is subject to, the requirements of the code of professional ethics and standards of professional conduct of the professional appraisal organiza</w:t>
      </w:r>
      <w:r w:rsidR="006E5859" w:rsidRPr="00A46EB4">
        <w:t>tions of which we are members.</w:t>
      </w:r>
    </w:p>
    <w:p w:rsidR="006E5859" w:rsidRPr="00A46EB4" w:rsidRDefault="006E5859" w:rsidP="006E5859">
      <w:pPr>
        <w:pStyle w:val="AcuityBulletsLevel1"/>
      </w:pPr>
      <w:r w:rsidRPr="00A46EB4">
        <w:t>All information, facts and data provided in the report are true and accurate to the best of our knowledge and belief.</w:t>
      </w:r>
    </w:p>
    <w:p w:rsidR="00A12A13" w:rsidRPr="00A46EB4" w:rsidRDefault="00A12A13" w:rsidP="00462B53">
      <w:pPr>
        <w:pStyle w:val="AcuityBulletsLevel1"/>
      </w:pPr>
      <w:r w:rsidRPr="00A46EB4">
        <w:t>The estimate of fair market value established in this report</w:t>
      </w:r>
      <w:r w:rsidR="005E67AC" w:rsidRPr="00A46EB4">
        <w:t xml:space="preserve"> may rely on estimated values for the assets for which independent appraisals are not available.</w:t>
      </w:r>
    </w:p>
    <w:p w:rsidR="00462B53" w:rsidRPr="00A46EB4" w:rsidRDefault="00462B53" w:rsidP="00462B53">
      <w:pPr>
        <w:pStyle w:val="AcuityBulletsLevel1"/>
      </w:pPr>
      <w:r w:rsidRPr="00A46EB4">
        <w:t xml:space="preserve">We assume no responsibility for any financial reporting judgments, </w:t>
      </w:r>
      <w:r w:rsidR="005E67AC" w:rsidRPr="00A46EB4">
        <w:t>that have been provided by the</w:t>
      </w:r>
      <w:r w:rsidRPr="00A46EB4">
        <w:t xml:space="preserve"> </w:t>
      </w:r>
      <w:r w:rsidR="005E67AC" w:rsidRPr="00A46EB4">
        <w:t>m</w:t>
      </w:r>
      <w:r w:rsidRPr="00A46EB4">
        <w:t xml:space="preserve">anagement.  Management </w:t>
      </w:r>
      <w:r w:rsidR="005E67AC" w:rsidRPr="00A46EB4">
        <w:t>is assumed to accept</w:t>
      </w:r>
      <w:r w:rsidRPr="00A46EB4">
        <w:t xml:space="preserve"> the responsibility for any related financial reporting </w:t>
      </w:r>
      <w:r w:rsidR="005E67AC" w:rsidRPr="00A46EB4">
        <w:t xml:space="preserve">requirements </w:t>
      </w:r>
      <w:r w:rsidRPr="00A46EB4">
        <w:t xml:space="preserve">with respect to the assets, properties, or business interests </w:t>
      </w:r>
      <w:r w:rsidR="005E67AC" w:rsidRPr="00A46EB4">
        <w:t>included</w:t>
      </w:r>
      <w:r w:rsidRPr="00A46EB4">
        <w:t xml:space="preserve"> </w:t>
      </w:r>
      <w:r w:rsidR="005E67AC" w:rsidRPr="00A46EB4">
        <w:t>in</w:t>
      </w:r>
      <w:r w:rsidRPr="00A46EB4">
        <w:t xml:space="preserve"> this </w:t>
      </w:r>
      <w:r w:rsidR="005E67AC" w:rsidRPr="00A46EB4">
        <w:t>report</w:t>
      </w:r>
      <w:r w:rsidRPr="00A46EB4">
        <w:t>.</w:t>
      </w:r>
    </w:p>
    <w:p w:rsidR="004C6243" w:rsidRPr="00A46EB4" w:rsidRDefault="004C6243" w:rsidP="004C6243">
      <w:pPr>
        <w:pStyle w:val="AcuityBulletsLevel1"/>
      </w:pPr>
      <w:r w:rsidRPr="00A46EB4">
        <w:t>No change in this report, or of any item in any part of the valuation report shall be made by anyone other than [Advisors], and we shall have no responsibility for any such unauthorized change.</w:t>
      </w:r>
    </w:p>
    <w:p w:rsidR="00462B53" w:rsidRPr="00A46EB4" w:rsidRDefault="00462B53" w:rsidP="005E67AC">
      <w:pPr>
        <w:pStyle w:val="AcuityBulletsLevel1"/>
        <w:numPr>
          <w:ilvl w:val="0"/>
          <w:numId w:val="0"/>
        </w:numPr>
        <w:ind w:left="360"/>
      </w:pPr>
    </w:p>
    <w:p w:rsidR="005E67AC" w:rsidRDefault="005E67AC" w:rsidP="005E67AC">
      <w:pPr>
        <w:pStyle w:val="AcuityBulletsLevel1"/>
        <w:numPr>
          <w:ilvl w:val="0"/>
          <w:numId w:val="0"/>
        </w:numPr>
        <w:ind w:left="360"/>
      </w:pPr>
    </w:p>
    <w:p w:rsidR="005C5A6D" w:rsidRPr="00997393" w:rsidRDefault="005C5A6D" w:rsidP="005C5A6D">
      <w:pPr>
        <w:pStyle w:val="AcuityBulletsLevel1"/>
      </w:pPr>
      <w:r w:rsidRPr="00997393">
        <w:t xml:space="preserve">Bullet level 1 - In </w:t>
      </w:r>
      <w:proofErr w:type="spellStart"/>
      <w:r w:rsidRPr="00997393">
        <w:t>commy</w:t>
      </w:r>
      <w:proofErr w:type="spellEnd"/>
      <w:r w:rsidRPr="00997393">
        <w:t xml:space="preserve"> </w:t>
      </w:r>
      <w:proofErr w:type="spellStart"/>
      <w:r w:rsidRPr="00997393">
        <w:t>nulputat</w:t>
      </w:r>
      <w:proofErr w:type="spellEnd"/>
      <w:r w:rsidRPr="00997393">
        <w:t xml:space="preserve">, sis </w:t>
      </w:r>
      <w:proofErr w:type="spellStart"/>
      <w:r w:rsidRPr="00997393">
        <w:t>niam</w:t>
      </w:r>
      <w:proofErr w:type="spellEnd"/>
      <w:r w:rsidRPr="00997393">
        <w:t xml:space="preserve"> </w:t>
      </w:r>
      <w:proofErr w:type="spellStart"/>
      <w:r w:rsidRPr="00997393">
        <w:t>augiat</w:t>
      </w:r>
      <w:proofErr w:type="spellEnd"/>
      <w:r w:rsidRPr="00997393">
        <w:t xml:space="preserve"> </w:t>
      </w:r>
      <w:proofErr w:type="spellStart"/>
      <w:r w:rsidRPr="00997393">
        <w:t>iliquam</w:t>
      </w:r>
      <w:proofErr w:type="spellEnd"/>
      <w:r w:rsidRPr="00997393">
        <w:t xml:space="preserve">, qui </w:t>
      </w:r>
      <w:proofErr w:type="spellStart"/>
      <w:r w:rsidRPr="00997393">
        <w:t>tate</w:t>
      </w:r>
      <w:proofErr w:type="spellEnd"/>
      <w:r w:rsidRPr="00997393">
        <w:t xml:space="preserve"> </w:t>
      </w:r>
      <w:proofErr w:type="spellStart"/>
      <w:r w:rsidRPr="00997393">
        <w:t>feui</w:t>
      </w:r>
      <w:proofErr w:type="spellEnd"/>
      <w:r w:rsidRPr="00997393">
        <w:t xml:space="preserve"> </w:t>
      </w:r>
      <w:proofErr w:type="spellStart"/>
      <w:r w:rsidRPr="00997393">
        <w:t>er</w:t>
      </w:r>
      <w:proofErr w:type="spellEnd"/>
      <w:r w:rsidRPr="00997393">
        <w:t xml:space="preserve"> </w:t>
      </w:r>
      <w:proofErr w:type="spellStart"/>
      <w:r w:rsidRPr="00997393">
        <w:t>illumsandre</w:t>
      </w:r>
      <w:proofErr w:type="spellEnd"/>
      <w:r w:rsidRPr="00997393">
        <w:t xml:space="preserve"> </w:t>
      </w:r>
      <w:proofErr w:type="spellStart"/>
      <w:r w:rsidRPr="00997393">
        <w:t>facidunt</w:t>
      </w:r>
      <w:proofErr w:type="spellEnd"/>
      <w:r w:rsidRPr="00997393">
        <w:t xml:space="preserve"> </w:t>
      </w:r>
      <w:proofErr w:type="spellStart"/>
      <w:r w:rsidRPr="00997393">
        <w:t>lor</w:t>
      </w:r>
      <w:proofErr w:type="spellEnd"/>
      <w:r w:rsidRPr="00997393">
        <w:t xml:space="preserve"> </w:t>
      </w:r>
      <w:proofErr w:type="spellStart"/>
      <w:r w:rsidRPr="00997393">
        <w:t>summodiatio</w:t>
      </w:r>
      <w:proofErr w:type="spellEnd"/>
      <w:r w:rsidRPr="00997393">
        <w:t xml:space="preserve"> </w:t>
      </w:r>
      <w:proofErr w:type="spellStart"/>
      <w:r w:rsidRPr="00997393">
        <w:t>corper</w:t>
      </w:r>
      <w:proofErr w:type="spellEnd"/>
      <w:r w:rsidRPr="00997393">
        <w:t xml:space="preserve"> </w:t>
      </w:r>
      <w:proofErr w:type="spellStart"/>
      <w:r w:rsidRPr="00997393">
        <w:t>sendipis</w:t>
      </w:r>
      <w:proofErr w:type="spellEnd"/>
      <w:r w:rsidRPr="00997393">
        <w:t xml:space="preserve"> </w:t>
      </w:r>
      <w:proofErr w:type="spellStart"/>
      <w:r w:rsidRPr="00997393">
        <w:t>euguercidui</w:t>
      </w:r>
      <w:proofErr w:type="spellEnd"/>
      <w:r w:rsidRPr="00997393">
        <w:t xml:space="preserve"> </w:t>
      </w:r>
      <w:proofErr w:type="spellStart"/>
      <w:r w:rsidRPr="00997393">
        <w:t>bla</w:t>
      </w:r>
      <w:proofErr w:type="spellEnd"/>
      <w:r w:rsidRPr="00997393">
        <w:t xml:space="preserve"> </w:t>
      </w:r>
      <w:proofErr w:type="spellStart"/>
      <w:r w:rsidRPr="00997393">
        <w:t>feuiscilis</w:t>
      </w:r>
      <w:proofErr w:type="spellEnd"/>
      <w:r w:rsidRPr="00997393">
        <w:t xml:space="preserve"> </w:t>
      </w:r>
      <w:proofErr w:type="spellStart"/>
      <w:r w:rsidRPr="00997393">
        <w:t>dit</w:t>
      </w:r>
      <w:proofErr w:type="spellEnd"/>
      <w:r w:rsidRPr="00997393">
        <w:t xml:space="preserve"> </w:t>
      </w:r>
      <w:proofErr w:type="spellStart"/>
      <w:r w:rsidRPr="00997393">
        <w:t>adit</w:t>
      </w:r>
      <w:proofErr w:type="spellEnd"/>
      <w:r w:rsidRPr="00997393">
        <w:t xml:space="preserve"> </w:t>
      </w:r>
      <w:proofErr w:type="spellStart"/>
      <w:r w:rsidRPr="00997393">
        <w:t>wis</w:t>
      </w:r>
      <w:proofErr w:type="spellEnd"/>
      <w:r w:rsidRPr="00997393">
        <w:t xml:space="preserve"> </w:t>
      </w:r>
      <w:proofErr w:type="spellStart"/>
      <w:r w:rsidRPr="00997393">
        <w:t>nonsecte</w:t>
      </w:r>
      <w:proofErr w:type="spellEnd"/>
      <w:r w:rsidRPr="00997393">
        <w:t xml:space="preserve"> </w:t>
      </w:r>
      <w:proofErr w:type="spellStart"/>
      <w:r w:rsidRPr="00997393">
        <w:t>facilit</w:t>
      </w:r>
      <w:proofErr w:type="spellEnd"/>
      <w:r w:rsidRPr="00997393">
        <w:t xml:space="preserve">, qui </w:t>
      </w:r>
      <w:proofErr w:type="spellStart"/>
      <w:r w:rsidRPr="00997393">
        <w:t>bla</w:t>
      </w:r>
      <w:proofErr w:type="spellEnd"/>
      <w:r w:rsidRPr="00997393">
        <w:t xml:space="preserve"> </w:t>
      </w:r>
      <w:proofErr w:type="spellStart"/>
      <w:r w:rsidRPr="00997393">
        <w:t>feugait</w:t>
      </w:r>
      <w:proofErr w:type="spellEnd"/>
      <w:r w:rsidRPr="00997393">
        <w:t xml:space="preserve"> </w:t>
      </w:r>
      <w:proofErr w:type="spellStart"/>
      <w:r w:rsidRPr="00997393">
        <w:t>aliquipisi</w:t>
      </w:r>
      <w:proofErr w:type="spellEnd"/>
      <w:r w:rsidRPr="00997393">
        <w:t xml:space="preserve"> </w:t>
      </w:r>
      <w:proofErr w:type="spellStart"/>
      <w:r w:rsidRPr="00997393">
        <w:t>essim</w:t>
      </w:r>
      <w:proofErr w:type="spellEnd"/>
      <w:r w:rsidRPr="00997393">
        <w:t xml:space="preserve"> </w:t>
      </w:r>
      <w:proofErr w:type="spellStart"/>
      <w:r w:rsidRPr="00997393">
        <w:t>nis</w:t>
      </w:r>
      <w:proofErr w:type="spellEnd"/>
      <w:r w:rsidRPr="00997393">
        <w:t xml:space="preserve"> am </w:t>
      </w:r>
      <w:proofErr w:type="spellStart"/>
      <w:r w:rsidRPr="00997393">
        <w:t>zzriliquat</w:t>
      </w:r>
      <w:proofErr w:type="spellEnd"/>
      <w:r w:rsidRPr="00997393">
        <w:t xml:space="preserve"> </w:t>
      </w:r>
      <w:proofErr w:type="spellStart"/>
      <w:r w:rsidRPr="00997393">
        <w:t>alismolor</w:t>
      </w:r>
      <w:proofErr w:type="spellEnd"/>
      <w:r w:rsidRPr="00997393">
        <w:t xml:space="preserve"> </w:t>
      </w:r>
      <w:proofErr w:type="spellStart"/>
      <w:r w:rsidRPr="00997393">
        <w:t>ipisi</w:t>
      </w:r>
      <w:proofErr w:type="spellEnd"/>
      <w:r w:rsidRPr="00997393">
        <w:t>.</w:t>
      </w:r>
    </w:p>
    <w:p w:rsidR="005C5A6D" w:rsidRPr="004B7127" w:rsidRDefault="005C5A6D" w:rsidP="005C5A6D">
      <w:pPr>
        <w:pStyle w:val="AcuityBulletsLevel2"/>
      </w:pPr>
      <w:r w:rsidRPr="004B7127">
        <w:t xml:space="preserve">Bullet level 2 - In item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 xml:space="preserve"> </w:t>
      </w:r>
      <w:proofErr w:type="spellStart"/>
      <w:r w:rsidRPr="004B7127">
        <w:t>nosto</w:t>
      </w:r>
      <w:proofErr w:type="spellEnd"/>
      <w:r w:rsidRPr="004B7127">
        <w:t xml:space="preserve"> </w:t>
      </w:r>
      <w:proofErr w:type="spellStart"/>
      <w:r w:rsidRPr="004B7127">
        <w:t>consectet</w:t>
      </w:r>
      <w:proofErr w:type="spellEnd"/>
      <w:r w:rsidRPr="004B7127">
        <w:t xml:space="preserve"> </w:t>
      </w:r>
      <w:proofErr w:type="spellStart"/>
      <w:r w:rsidRPr="004B7127">
        <w:t>irilit</w:t>
      </w:r>
      <w:proofErr w:type="spellEnd"/>
      <w:r w:rsidRPr="004B7127">
        <w:t xml:space="preserve"> </w:t>
      </w:r>
      <w:proofErr w:type="spellStart"/>
      <w:r w:rsidRPr="004B7127">
        <w:t>luptatum</w:t>
      </w:r>
      <w:proofErr w:type="spellEnd"/>
      <w:r w:rsidRPr="004B7127">
        <w:t xml:space="preserve"> </w:t>
      </w:r>
      <w:proofErr w:type="spellStart"/>
      <w:r w:rsidRPr="004B7127">
        <w:t>ing</w:t>
      </w:r>
      <w:proofErr w:type="spellEnd"/>
      <w:r w:rsidRPr="004B7127">
        <w:t xml:space="preserve"> </w:t>
      </w:r>
      <w:proofErr w:type="spellStart"/>
      <w:r w:rsidRPr="004B7127">
        <w:t>eliquat</w:t>
      </w:r>
      <w:proofErr w:type="spellEnd"/>
      <w:r w:rsidRPr="004B7127">
        <w:t xml:space="preserve">. </w:t>
      </w:r>
      <w:proofErr w:type="spellStart"/>
      <w:r w:rsidRPr="004B7127">
        <w:t>Ut</w:t>
      </w:r>
      <w:proofErr w:type="spellEnd"/>
      <w:r w:rsidRPr="004B7127">
        <w:t xml:space="preserve"> </w:t>
      </w:r>
      <w:proofErr w:type="spellStart"/>
      <w:r w:rsidRPr="004B7127">
        <w:t>ipit</w:t>
      </w:r>
      <w:proofErr w:type="spellEnd"/>
      <w:r w:rsidRPr="004B7127">
        <w:t xml:space="preserve"> </w:t>
      </w:r>
      <w:proofErr w:type="spellStart"/>
      <w:r w:rsidRPr="004B7127">
        <w:t>numsandigna</w:t>
      </w:r>
      <w:proofErr w:type="spellEnd"/>
      <w:r w:rsidRPr="004B7127">
        <w:t xml:space="preserve"> </w:t>
      </w:r>
      <w:proofErr w:type="spellStart"/>
      <w:r w:rsidRPr="004B7127">
        <w:t>consequatem</w:t>
      </w:r>
      <w:proofErr w:type="spellEnd"/>
      <w:r w:rsidRPr="004B7127">
        <w:t xml:space="preserve"> </w:t>
      </w:r>
      <w:proofErr w:type="spellStart"/>
      <w:r w:rsidRPr="004B7127">
        <w:t>vendit</w:t>
      </w:r>
      <w:proofErr w:type="spellEnd"/>
      <w:r w:rsidRPr="004B7127">
        <w:t>.</w:t>
      </w:r>
    </w:p>
    <w:p w:rsidR="005C5A6D" w:rsidRPr="004B7127" w:rsidRDefault="005C5A6D" w:rsidP="005C5A6D">
      <w:pPr>
        <w:pStyle w:val="AcuityBulletsLevel3"/>
      </w:pPr>
      <w:r w:rsidRPr="004B7127">
        <w:t xml:space="preserve">Bullet level 3 - In el ex </w:t>
      </w:r>
      <w:proofErr w:type="spellStart"/>
      <w:r w:rsidRPr="004B7127">
        <w:t>ex</w:t>
      </w:r>
      <w:proofErr w:type="spellEnd"/>
      <w:r w:rsidRPr="004B7127">
        <w:t xml:space="preserve"> </w:t>
      </w:r>
      <w:proofErr w:type="spellStart"/>
      <w:r w:rsidRPr="004B7127">
        <w:t>estis</w:t>
      </w:r>
      <w:proofErr w:type="spellEnd"/>
      <w:r w:rsidRPr="004B7127">
        <w:t xml:space="preserve"> dui 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w:t>
      </w:r>
    </w:p>
    <w:p w:rsidR="005C5A6D" w:rsidRPr="00997393" w:rsidRDefault="005C5A6D" w:rsidP="005C5A6D">
      <w:pPr>
        <w:pStyle w:val="AcuityBulletsLevel4"/>
      </w:pPr>
      <w:r w:rsidRPr="00997393">
        <w:t xml:space="preserve">Bullet level 4 - In el ex </w:t>
      </w:r>
      <w:proofErr w:type="spellStart"/>
      <w:r w:rsidRPr="00997393">
        <w:t>ex</w:t>
      </w:r>
      <w:proofErr w:type="spellEnd"/>
      <w:r w:rsidRPr="00997393">
        <w:t xml:space="preserve"> </w:t>
      </w:r>
      <w:proofErr w:type="spellStart"/>
      <w:r w:rsidRPr="00997393">
        <w:t>estis</w:t>
      </w:r>
      <w:proofErr w:type="spellEnd"/>
      <w:r w:rsidRPr="00997393">
        <w:t xml:space="preserve"> dui tem ese </w:t>
      </w:r>
      <w:proofErr w:type="spellStart"/>
      <w:r w:rsidRPr="00997393">
        <w:t>faciliquatum</w:t>
      </w:r>
      <w:proofErr w:type="spellEnd"/>
      <w:r w:rsidRPr="00997393">
        <w:t xml:space="preserve"> del dui </w:t>
      </w:r>
      <w:proofErr w:type="spellStart"/>
      <w:r w:rsidRPr="00997393">
        <w:t>bla</w:t>
      </w:r>
      <w:proofErr w:type="spellEnd"/>
      <w:r w:rsidRPr="00997393">
        <w:t xml:space="preserve"> </w:t>
      </w:r>
      <w:proofErr w:type="spellStart"/>
      <w:r w:rsidRPr="00997393">
        <w:t>facil</w:t>
      </w:r>
      <w:proofErr w:type="spellEnd"/>
      <w:r w:rsidRPr="00997393">
        <w:t xml:space="preserve"> </w:t>
      </w:r>
      <w:proofErr w:type="spellStart"/>
      <w:r w:rsidRPr="00997393">
        <w:t>dolum</w:t>
      </w:r>
      <w:proofErr w:type="spellEnd"/>
      <w:r w:rsidRPr="00997393">
        <w:t xml:space="preserve"> et </w:t>
      </w:r>
      <w:proofErr w:type="spellStart"/>
      <w:r w:rsidRPr="00997393">
        <w:t>landiat</w:t>
      </w:r>
      <w:proofErr w:type="spellEnd"/>
      <w:r w:rsidRPr="00997393">
        <w:t xml:space="preserve"> </w:t>
      </w:r>
      <w:proofErr w:type="spellStart"/>
      <w:r w:rsidRPr="00997393">
        <w:t>umsandiam</w:t>
      </w:r>
      <w:proofErr w:type="spellEnd"/>
      <w:r w:rsidRPr="00997393">
        <w:t xml:space="preserve">, </w:t>
      </w:r>
      <w:proofErr w:type="spellStart"/>
      <w:r w:rsidRPr="00997393">
        <w:t>quisi</w:t>
      </w:r>
      <w:proofErr w:type="spellEnd"/>
      <w:r w:rsidRPr="00997393">
        <w:t xml:space="preserve"> </w:t>
      </w:r>
      <w:proofErr w:type="spellStart"/>
      <w:r w:rsidRPr="00997393">
        <w:t>eugait</w:t>
      </w:r>
      <w:proofErr w:type="spellEnd"/>
      <w:r w:rsidRPr="00997393">
        <w:t xml:space="preserve"> </w:t>
      </w:r>
      <w:proofErr w:type="spellStart"/>
      <w:r w:rsidRPr="00997393">
        <w:t>augiamcore</w:t>
      </w:r>
      <w:proofErr w:type="spellEnd"/>
      <w:r w:rsidRPr="00997393">
        <w:t xml:space="preserve"> </w:t>
      </w:r>
      <w:proofErr w:type="spellStart"/>
      <w:r w:rsidRPr="00997393">
        <w:t>commy</w:t>
      </w:r>
      <w:proofErr w:type="spellEnd"/>
      <w:r w:rsidRPr="00997393">
        <w:t xml:space="preserve"> </w:t>
      </w:r>
      <w:proofErr w:type="spellStart"/>
      <w:r w:rsidRPr="00997393">
        <w:t>nim</w:t>
      </w:r>
      <w:proofErr w:type="spellEnd"/>
      <w:r w:rsidRPr="00997393">
        <w:t xml:space="preserve"> </w:t>
      </w:r>
      <w:proofErr w:type="spellStart"/>
      <w:r w:rsidRPr="00997393">
        <w:t>quamconsed</w:t>
      </w:r>
      <w:proofErr w:type="spellEnd"/>
      <w:r w:rsidRPr="00997393">
        <w:t xml:space="preserve"> </w:t>
      </w:r>
      <w:proofErr w:type="spellStart"/>
      <w:r w:rsidRPr="00997393">
        <w:t>esto</w:t>
      </w:r>
      <w:proofErr w:type="spellEnd"/>
      <w:r w:rsidRPr="00997393">
        <w:t xml:space="preserve"> </w:t>
      </w:r>
      <w:proofErr w:type="spellStart"/>
      <w:r w:rsidRPr="00997393">
        <w:t>corpercilis</w:t>
      </w:r>
      <w:proofErr w:type="spellEnd"/>
      <w:r w:rsidRPr="00997393">
        <w:t xml:space="preserve"> </w:t>
      </w:r>
      <w:proofErr w:type="spellStart"/>
      <w:r w:rsidRPr="00997393">
        <w:t>nullaorem</w:t>
      </w:r>
      <w:proofErr w:type="spellEnd"/>
      <w:r w:rsidRPr="00997393">
        <w:t xml:space="preserve"> </w:t>
      </w:r>
      <w:proofErr w:type="spellStart"/>
      <w:r w:rsidRPr="00997393">
        <w:t>il</w:t>
      </w:r>
      <w:proofErr w:type="spellEnd"/>
      <w:r w:rsidRPr="00997393">
        <w:t xml:space="preserve"> </w:t>
      </w:r>
      <w:proofErr w:type="spellStart"/>
      <w:r w:rsidRPr="00997393">
        <w:t>il</w:t>
      </w:r>
      <w:proofErr w:type="spellEnd"/>
      <w:r w:rsidRPr="00997393">
        <w:t xml:space="preserve"> </w:t>
      </w:r>
      <w:proofErr w:type="spellStart"/>
      <w:r w:rsidRPr="00997393">
        <w:t>utpatuerit</w:t>
      </w:r>
      <w:proofErr w:type="spellEnd"/>
      <w:r w:rsidRPr="00997393">
        <w:t xml:space="preserve"> </w:t>
      </w:r>
      <w:proofErr w:type="spellStart"/>
      <w:r w:rsidRPr="00997393">
        <w:t>eui</w:t>
      </w:r>
      <w:proofErr w:type="spellEnd"/>
      <w:r w:rsidRPr="00997393">
        <w:t xml:space="preserve"> </w:t>
      </w:r>
      <w:proofErr w:type="spellStart"/>
      <w:r w:rsidRPr="00997393">
        <w:t>tet</w:t>
      </w:r>
      <w:proofErr w:type="spellEnd"/>
      <w:r w:rsidRPr="00997393">
        <w:t xml:space="preserve">, </w:t>
      </w:r>
      <w:proofErr w:type="spellStart"/>
      <w:r w:rsidRPr="00997393">
        <w:t>quis</w:t>
      </w:r>
      <w:proofErr w:type="spellEnd"/>
      <w:r w:rsidRPr="00997393">
        <w:t xml:space="preserve"> dui el </w:t>
      </w:r>
      <w:proofErr w:type="spellStart"/>
      <w:r w:rsidRPr="00997393">
        <w:t>iusto</w:t>
      </w:r>
      <w:proofErr w:type="spellEnd"/>
      <w:r w:rsidRPr="00997393">
        <w:t xml:space="preserve"> </w:t>
      </w:r>
      <w:proofErr w:type="spellStart"/>
      <w:r w:rsidRPr="00997393">
        <w:t>dolenis</w:t>
      </w:r>
      <w:proofErr w:type="spellEnd"/>
      <w:r w:rsidRPr="00997393">
        <w:t xml:space="preserve"> </w:t>
      </w:r>
      <w:proofErr w:type="spellStart"/>
      <w:r w:rsidRPr="00997393">
        <w:t>augiametum</w:t>
      </w:r>
      <w:proofErr w:type="spellEnd"/>
      <w:r w:rsidRPr="00997393">
        <w:t xml:space="preserve"> et, </w:t>
      </w:r>
      <w:proofErr w:type="spellStart"/>
      <w:r w:rsidRPr="00997393">
        <w:t>consed</w:t>
      </w:r>
      <w:proofErr w:type="spellEnd"/>
      <w:r w:rsidRPr="00997393">
        <w:t xml:space="preserve"> </w:t>
      </w:r>
      <w:proofErr w:type="spellStart"/>
      <w:r w:rsidRPr="00997393">
        <w:t>dolummy</w:t>
      </w:r>
      <w:proofErr w:type="spellEnd"/>
      <w:r w:rsidRPr="00997393">
        <w:t>.</w:t>
      </w:r>
    </w:p>
    <w:p w:rsidR="005C5A6D" w:rsidRPr="004B7127" w:rsidRDefault="005C5A6D" w:rsidP="005C5A6D">
      <w:pPr>
        <w:pStyle w:val="Heading3"/>
        <w:rPr>
          <w:noProof w:val="0"/>
          <w:lang w:val="en-GB"/>
        </w:rPr>
      </w:pPr>
      <w:r w:rsidRPr="004B7127">
        <w:rPr>
          <w:noProof w:val="0"/>
          <w:lang w:val="en-GB"/>
        </w:rPr>
        <w:t xml:space="preserve">Level 3 Heading </w:t>
      </w:r>
    </w:p>
    <w:p w:rsidR="005C5A6D" w:rsidRPr="00E273EE" w:rsidRDefault="005C5A6D" w:rsidP="005C5A6D">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r w:rsidRPr="00E273EE">
        <w:footnoteReference w:id="5"/>
      </w:r>
    </w:p>
    <w:p w:rsidR="005C5A6D" w:rsidRPr="00E273EE" w:rsidRDefault="005C5A6D" w:rsidP="005C5A6D">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footnoteReference w:id="6"/>
      </w: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715EAD" w:rsidRPr="004B7127" w:rsidRDefault="003855F6" w:rsidP="00990DDA">
      <w:pPr>
        <w:pStyle w:val="Heading1"/>
        <w:rPr>
          <w:lang w:val="en-GB"/>
        </w:rPr>
      </w:pPr>
      <w:r w:rsidRPr="004B7127">
        <w:rPr>
          <w:lang w:val="en-GB"/>
        </w:rPr>
        <w:t>Level 1</w:t>
      </w:r>
      <w:r w:rsidR="00990DDA" w:rsidRPr="004B7127">
        <w:rPr>
          <w:lang w:val="en-GB"/>
        </w:rPr>
        <w:t xml:space="preserve"> </w:t>
      </w:r>
      <w:r w:rsidR="00715EAD" w:rsidRPr="004B7127">
        <w:rPr>
          <w:lang w:val="en-GB"/>
        </w:rPr>
        <w:t>Heading</w:t>
      </w:r>
      <w:bookmarkEnd w:id="4"/>
      <w:r w:rsidR="00990DDA" w:rsidRPr="004B7127">
        <w:rPr>
          <w:lang w:val="en-GB"/>
        </w:rPr>
        <w:t xml:space="preserve"> </w:t>
      </w:r>
    </w:p>
    <w:p w:rsidR="00AF723F" w:rsidRPr="0086032F" w:rsidRDefault="001D7FB4" w:rsidP="0086032F">
      <w:proofErr w:type="spellStart"/>
      <w:r w:rsidRPr="0086032F">
        <w:t>Sandio</w:t>
      </w:r>
      <w:proofErr w:type="spellEnd"/>
      <w:r w:rsidRPr="0086032F">
        <w:t xml:space="preserve"> </w:t>
      </w:r>
      <w:proofErr w:type="spellStart"/>
      <w:r w:rsidRPr="0086032F">
        <w:t>erci</w:t>
      </w:r>
      <w:proofErr w:type="spellEnd"/>
      <w:r w:rsidRPr="0086032F">
        <w:t xml:space="preserve"> </w:t>
      </w:r>
      <w:proofErr w:type="spellStart"/>
      <w:r w:rsidRPr="0086032F">
        <w:t>ea</w:t>
      </w:r>
      <w:proofErr w:type="spellEnd"/>
      <w:r w:rsidRPr="0086032F">
        <w:t xml:space="preserve"> </w:t>
      </w:r>
      <w:proofErr w:type="spellStart"/>
      <w:r w:rsidRPr="0086032F">
        <w:t>autem</w:t>
      </w:r>
      <w:proofErr w:type="spellEnd"/>
      <w:r w:rsidRPr="0086032F">
        <w:t xml:space="preserve"> </w:t>
      </w:r>
      <w:proofErr w:type="spellStart"/>
      <w:r w:rsidRPr="0086032F">
        <w:t>velendipit</w:t>
      </w:r>
      <w:proofErr w:type="spellEnd"/>
      <w:r w:rsidRPr="0086032F">
        <w:t xml:space="preserve"> </w:t>
      </w:r>
      <w:proofErr w:type="spellStart"/>
      <w:r w:rsidRPr="0086032F">
        <w:t>nonsecte</w:t>
      </w:r>
      <w:proofErr w:type="spellEnd"/>
      <w:r w:rsidRPr="0086032F">
        <w:t xml:space="preserve"> tat </w:t>
      </w:r>
      <w:proofErr w:type="spellStart"/>
      <w:r w:rsidRPr="0086032F">
        <w:t>lut</w:t>
      </w:r>
      <w:proofErr w:type="spellEnd"/>
      <w:r w:rsidRPr="0086032F">
        <w:t xml:space="preserve"> </w:t>
      </w:r>
      <w:proofErr w:type="spellStart"/>
      <w:r w:rsidRPr="0086032F">
        <w:t>ilit</w:t>
      </w:r>
      <w:proofErr w:type="spellEnd"/>
      <w:r w:rsidRPr="0086032F">
        <w:t xml:space="preserve"> </w:t>
      </w:r>
      <w:proofErr w:type="spellStart"/>
      <w:r w:rsidRPr="0086032F">
        <w:t>num</w:t>
      </w:r>
      <w:proofErr w:type="spellEnd"/>
      <w:r w:rsidRPr="0086032F">
        <w:t xml:space="preserve"> </w:t>
      </w:r>
      <w:proofErr w:type="spellStart"/>
      <w:r w:rsidRPr="0086032F">
        <w:t>iriure</w:t>
      </w:r>
      <w:proofErr w:type="spellEnd"/>
      <w:r w:rsidRPr="0086032F">
        <w:t xml:space="preserve"> </w:t>
      </w:r>
      <w:proofErr w:type="spellStart"/>
      <w:r w:rsidRPr="0086032F">
        <w:t>dolore</w:t>
      </w:r>
      <w:proofErr w:type="spellEnd"/>
      <w:r w:rsidRPr="0086032F">
        <w:t xml:space="preserve"> magna </w:t>
      </w:r>
      <w:proofErr w:type="spellStart"/>
      <w:r w:rsidRPr="0086032F">
        <w:t>coreetue</w:t>
      </w:r>
      <w:proofErr w:type="spellEnd"/>
      <w:r w:rsidRPr="0086032F">
        <w:t xml:space="preserve"> </w:t>
      </w:r>
      <w:proofErr w:type="spellStart"/>
      <w:r w:rsidRPr="0086032F">
        <w:t>esequam</w:t>
      </w:r>
      <w:proofErr w:type="spellEnd"/>
      <w:r w:rsidRPr="0086032F">
        <w:t xml:space="preserve"> </w:t>
      </w:r>
      <w:proofErr w:type="spellStart"/>
      <w:r w:rsidRPr="0086032F">
        <w:t>consecte</w:t>
      </w:r>
      <w:proofErr w:type="spellEnd"/>
      <w:r w:rsidRPr="0086032F">
        <w:t xml:space="preserve"> </w:t>
      </w:r>
      <w:proofErr w:type="spellStart"/>
      <w:r w:rsidRPr="0086032F">
        <w:t>exeriustrud</w:t>
      </w:r>
      <w:proofErr w:type="spellEnd"/>
      <w:r w:rsidRPr="0086032F">
        <w:t xml:space="preserve"> </w:t>
      </w:r>
      <w:proofErr w:type="spellStart"/>
      <w:r w:rsidRPr="0086032F">
        <w:t>te</w:t>
      </w:r>
      <w:proofErr w:type="spellEnd"/>
      <w:r w:rsidRPr="0086032F">
        <w:t xml:space="preserve"> </w:t>
      </w:r>
      <w:proofErr w:type="spellStart"/>
      <w:r w:rsidRPr="0086032F">
        <w:t>tatet</w:t>
      </w:r>
      <w:proofErr w:type="spellEnd"/>
      <w:r w:rsidRPr="0086032F">
        <w:t xml:space="preserve">, </w:t>
      </w:r>
      <w:proofErr w:type="spellStart"/>
      <w:r w:rsidRPr="0086032F">
        <w:t>quis</w:t>
      </w:r>
      <w:proofErr w:type="spellEnd"/>
      <w:r w:rsidRPr="0086032F">
        <w:t xml:space="preserve"> dui </w:t>
      </w:r>
      <w:proofErr w:type="spellStart"/>
      <w:r w:rsidRPr="0086032F">
        <w:t>bla</w:t>
      </w:r>
      <w:proofErr w:type="spellEnd"/>
      <w:r w:rsidRPr="0086032F">
        <w:t xml:space="preserve"> </w:t>
      </w:r>
      <w:proofErr w:type="spellStart"/>
      <w:r w:rsidRPr="0086032F">
        <w:t>feum</w:t>
      </w:r>
      <w:proofErr w:type="spellEnd"/>
      <w:r w:rsidRPr="0086032F">
        <w:t xml:space="preserve"> </w:t>
      </w:r>
      <w:proofErr w:type="spellStart"/>
      <w:r w:rsidRPr="0086032F">
        <w:t>velismo</w:t>
      </w:r>
      <w:proofErr w:type="spellEnd"/>
      <w:r w:rsidRPr="0086032F">
        <w:t xml:space="preserve"> </w:t>
      </w:r>
      <w:proofErr w:type="spellStart"/>
      <w:r w:rsidRPr="0086032F">
        <w:t>lorpero</w:t>
      </w:r>
      <w:proofErr w:type="spellEnd"/>
      <w:r w:rsidRPr="0086032F">
        <w:t xml:space="preserve"> </w:t>
      </w:r>
      <w:proofErr w:type="spellStart"/>
      <w:r w:rsidRPr="0086032F">
        <w:t>odolessecte</w:t>
      </w:r>
      <w:proofErr w:type="spellEnd"/>
      <w:r w:rsidRPr="0086032F">
        <w:t xml:space="preserve"> </w:t>
      </w:r>
      <w:proofErr w:type="spellStart"/>
      <w:r w:rsidRPr="0086032F">
        <w:t>dolorercipit</w:t>
      </w:r>
      <w:proofErr w:type="spellEnd"/>
      <w:r w:rsidRPr="0086032F">
        <w:t xml:space="preserve"> </w:t>
      </w:r>
      <w:proofErr w:type="spellStart"/>
      <w:r w:rsidRPr="0086032F">
        <w:t>praessit</w:t>
      </w:r>
      <w:proofErr w:type="spellEnd"/>
      <w:r w:rsidRPr="0086032F">
        <w:t xml:space="preserve"> </w:t>
      </w:r>
      <w:proofErr w:type="spellStart"/>
      <w:r w:rsidRPr="0086032F">
        <w:t>acillan</w:t>
      </w:r>
      <w:proofErr w:type="spellEnd"/>
      <w:r w:rsidRPr="0086032F">
        <w:t xml:space="preserve"> </w:t>
      </w:r>
      <w:proofErr w:type="spellStart"/>
      <w:r w:rsidRPr="0086032F">
        <w:t>ut</w:t>
      </w:r>
      <w:proofErr w:type="spellEnd"/>
      <w:r w:rsidRPr="0086032F">
        <w:t xml:space="preserve"> </w:t>
      </w:r>
      <w:proofErr w:type="spellStart"/>
      <w:r w:rsidRPr="0086032F">
        <w:t>adigna</w:t>
      </w:r>
      <w:proofErr w:type="spellEnd"/>
      <w:r w:rsidRPr="0086032F">
        <w:t xml:space="preserve"> </w:t>
      </w:r>
      <w:proofErr w:type="spellStart"/>
      <w:r w:rsidRPr="0086032F">
        <w:t>alis</w:t>
      </w:r>
      <w:proofErr w:type="spellEnd"/>
      <w:r w:rsidRPr="0086032F">
        <w:t xml:space="preserve"> </w:t>
      </w:r>
      <w:proofErr w:type="spellStart"/>
      <w:r w:rsidRPr="0086032F">
        <w:t>eugait</w:t>
      </w:r>
      <w:proofErr w:type="spellEnd"/>
      <w:r w:rsidRPr="0086032F">
        <w:t xml:space="preserve"> prat, </w:t>
      </w:r>
      <w:proofErr w:type="spellStart"/>
      <w:r w:rsidRPr="0086032F">
        <w:t>quisisi</w:t>
      </w:r>
      <w:proofErr w:type="spellEnd"/>
      <w:r w:rsidRPr="0086032F">
        <w:t xml:space="preserve">. Lam, </w:t>
      </w:r>
      <w:proofErr w:type="spellStart"/>
      <w:r w:rsidRPr="0086032F">
        <w:t>quat</w:t>
      </w:r>
      <w:proofErr w:type="spellEnd"/>
      <w:r w:rsidRPr="0086032F">
        <w:t xml:space="preserve"> </w:t>
      </w:r>
      <w:proofErr w:type="spellStart"/>
      <w:r w:rsidRPr="0086032F">
        <w:t>illan</w:t>
      </w:r>
      <w:proofErr w:type="spellEnd"/>
      <w:r w:rsidRPr="0086032F">
        <w:t xml:space="preserve"> </w:t>
      </w:r>
      <w:proofErr w:type="spellStart"/>
      <w:r w:rsidRPr="0086032F">
        <w:t>henim</w:t>
      </w:r>
      <w:proofErr w:type="spellEnd"/>
      <w:r w:rsidRPr="0086032F">
        <w:t xml:space="preserve"> </w:t>
      </w:r>
      <w:proofErr w:type="spellStart"/>
      <w:r w:rsidRPr="0086032F">
        <w:t>zzril</w:t>
      </w:r>
      <w:proofErr w:type="spellEnd"/>
      <w:r w:rsidRPr="0086032F">
        <w:t xml:space="preserve"> ipsum non </w:t>
      </w:r>
      <w:proofErr w:type="spellStart"/>
      <w:r w:rsidRPr="0086032F">
        <w:t>vulluptatue</w:t>
      </w:r>
      <w:proofErr w:type="spellEnd"/>
      <w:r w:rsidRPr="0086032F">
        <w:t xml:space="preserve"> </w:t>
      </w:r>
      <w:proofErr w:type="spellStart"/>
      <w:r w:rsidRPr="0086032F">
        <w:t>feugueriusto</w:t>
      </w:r>
      <w:proofErr w:type="spellEnd"/>
      <w:r w:rsidRPr="0086032F">
        <w:t xml:space="preserve"> </w:t>
      </w:r>
      <w:proofErr w:type="spellStart"/>
      <w:r w:rsidRPr="0086032F">
        <w:t>odoloreet</w:t>
      </w:r>
      <w:proofErr w:type="spellEnd"/>
      <w:r w:rsidRPr="0086032F">
        <w:t xml:space="preserve">, </w:t>
      </w:r>
      <w:proofErr w:type="spellStart"/>
      <w:r w:rsidRPr="0086032F">
        <w:t>sisci</w:t>
      </w:r>
      <w:proofErr w:type="spellEnd"/>
      <w:r w:rsidRPr="0086032F">
        <w:t xml:space="preserve"> tem </w:t>
      </w:r>
      <w:proofErr w:type="spellStart"/>
      <w:r w:rsidRPr="0086032F">
        <w:t>iureet</w:t>
      </w:r>
      <w:proofErr w:type="spellEnd"/>
      <w:r w:rsidRPr="0086032F">
        <w:t xml:space="preserve">, </w:t>
      </w:r>
      <w:proofErr w:type="spellStart"/>
      <w:r w:rsidRPr="0086032F">
        <w:t>quisit</w:t>
      </w:r>
      <w:proofErr w:type="spellEnd"/>
      <w:r w:rsidRPr="0086032F">
        <w:t xml:space="preserve">, </w:t>
      </w:r>
      <w:proofErr w:type="spellStart"/>
      <w:r w:rsidRPr="0086032F">
        <w:t>velit</w:t>
      </w:r>
      <w:proofErr w:type="spellEnd"/>
      <w:r w:rsidRPr="0086032F">
        <w:t xml:space="preserve"> </w:t>
      </w:r>
      <w:proofErr w:type="spellStart"/>
      <w:r w:rsidRPr="0086032F">
        <w:t>luptatue</w:t>
      </w:r>
      <w:proofErr w:type="spellEnd"/>
      <w:r w:rsidRPr="0086032F">
        <w:t xml:space="preserve"> dolor </w:t>
      </w:r>
      <w:proofErr w:type="spellStart"/>
      <w:r w:rsidRPr="0086032F">
        <w:t>sustie</w:t>
      </w:r>
      <w:proofErr w:type="spellEnd"/>
      <w:r w:rsidRPr="0086032F">
        <w:t xml:space="preserve"> tis ad </w:t>
      </w:r>
      <w:proofErr w:type="spellStart"/>
      <w:r w:rsidRPr="0086032F">
        <w:t>elestrud</w:t>
      </w:r>
      <w:proofErr w:type="spellEnd"/>
      <w:r w:rsidRPr="0086032F">
        <w:t xml:space="preserve"> </w:t>
      </w:r>
      <w:proofErr w:type="spellStart"/>
      <w:r w:rsidRPr="0086032F">
        <w:t>tionsequate</w:t>
      </w:r>
      <w:proofErr w:type="spellEnd"/>
      <w:r w:rsidRPr="0086032F">
        <w:t xml:space="preserve"> </w:t>
      </w:r>
      <w:proofErr w:type="spellStart"/>
      <w:r w:rsidRPr="0086032F">
        <w:t>venim</w:t>
      </w:r>
      <w:proofErr w:type="spellEnd"/>
      <w:r w:rsidRPr="0086032F">
        <w:t xml:space="preserve"> quam. </w:t>
      </w:r>
      <w:proofErr w:type="spellStart"/>
      <w:r w:rsidRPr="0086032F">
        <w:t>Lenissim</w:t>
      </w:r>
      <w:proofErr w:type="spellEnd"/>
      <w:r w:rsidRPr="0086032F">
        <w:t xml:space="preserve"> </w:t>
      </w:r>
      <w:proofErr w:type="spellStart"/>
      <w:r w:rsidRPr="0086032F">
        <w:t>il</w:t>
      </w:r>
      <w:proofErr w:type="spellEnd"/>
      <w:r w:rsidRPr="0086032F">
        <w:t xml:space="preserve"> </w:t>
      </w:r>
      <w:proofErr w:type="spellStart"/>
      <w:r w:rsidRPr="0086032F">
        <w:t>ullum</w:t>
      </w:r>
      <w:proofErr w:type="spellEnd"/>
      <w:r w:rsidRPr="0086032F">
        <w:t xml:space="preserve"> </w:t>
      </w:r>
      <w:proofErr w:type="spellStart"/>
      <w:r w:rsidRPr="0086032F">
        <w:t>quipit</w:t>
      </w:r>
      <w:proofErr w:type="spellEnd"/>
      <w:r w:rsidRPr="0086032F">
        <w:t xml:space="preserve"> </w:t>
      </w:r>
      <w:proofErr w:type="spellStart"/>
      <w:r w:rsidRPr="0086032F">
        <w:t>wis</w:t>
      </w:r>
      <w:proofErr w:type="spellEnd"/>
      <w:r w:rsidRPr="0086032F">
        <w:t xml:space="preserve"> nisi </w:t>
      </w:r>
      <w:proofErr w:type="spellStart"/>
      <w:r w:rsidRPr="0086032F">
        <w:t>blaor</w:t>
      </w:r>
      <w:proofErr w:type="spellEnd"/>
      <w:r w:rsidRPr="0086032F">
        <w:t xml:space="preserve"> sim </w:t>
      </w:r>
      <w:proofErr w:type="spellStart"/>
      <w:r w:rsidRPr="0086032F">
        <w:t>quisisim</w:t>
      </w:r>
      <w:proofErr w:type="spellEnd"/>
      <w:r w:rsidRPr="0086032F">
        <w:t xml:space="preserve"> </w:t>
      </w:r>
      <w:proofErr w:type="spellStart"/>
      <w:r w:rsidRPr="0086032F">
        <w:t>quatuer</w:t>
      </w:r>
      <w:proofErr w:type="spellEnd"/>
      <w:r w:rsidRPr="0086032F">
        <w:t xml:space="preserve"> </w:t>
      </w:r>
      <w:proofErr w:type="spellStart"/>
      <w:r w:rsidRPr="0086032F">
        <w:t>iriure</w:t>
      </w:r>
      <w:proofErr w:type="spellEnd"/>
      <w:r w:rsidRPr="0086032F">
        <w:t xml:space="preserve"> </w:t>
      </w:r>
      <w:proofErr w:type="spellStart"/>
      <w:r w:rsidRPr="0086032F">
        <w:t>facip</w:t>
      </w:r>
      <w:proofErr w:type="spellEnd"/>
      <w:r w:rsidRPr="0086032F">
        <w:t xml:space="preserve"> </w:t>
      </w:r>
      <w:proofErr w:type="spellStart"/>
      <w:r w:rsidRPr="0086032F">
        <w:t>ent</w:t>
      </w:r>
      <w:proofErr w:type="spellEnd"/>
      <w:r w:rsidRPr="0086032F">
        <w:t xml:space="preserve"> </w:t>
      </w:r>
      <w:proofErr w:type="spellStart"/>
      <w:r w:rsidRPr="0086032F">
        <w:t>lum</w:t>
      </w:r>
      <w:proofErr w:type="spellEnd"/>
      <w:r w:rsidRPr="0086032F">
        <w:t xml:space="preserve"> </w:t>
      </w:r>
      <w:proofErr w:type="spellStart"/>
      <w:r w:rsidRPr="0086032F">
        <w:t>velit</w:t>
      </w:r>
      <w:proofErr w:type="spellEnd"/>
      <w:r w:rsidRPr="0086032F">
        <w:t xml:space="preserve"> </w:t>
      </w:r>
      <w:proofErr w:type="spellStart"/>
      <w:r w:rsidRPr="0086032F">
        <w:t>lan</w:t>
      </w:r>
      <w:proofErr w:type="spellEnd"/>
      <w:r w:rsidRPr="0086032F">
        <w:t xml:space="preserve"> </w:t>
      </w:r>
      <w:proofErr w:type="spellStart"/>
      <w:r w:rsidRPr="0086032F">
        <w:t>hendipsuscil</w:t>
      </w:r>
      <w:proofErr w:type="spellEnd"/>
      <w:r w:rsidRPr="0086032F">
        <w:t xml:space="preserve"> dui </w:t>
      </w:r>
      <w:proofErr w:type="spellStart"/>
      <w:r w:rsidRPr="0086032F">
        <w:t>blaore</w:t>
      </w:r>
      <w:proofErr w:type="spellEnd"/>
      <w:r w:rsidRPr="0086032F">
        <w:t xml:space="preserve"> tat</w:t>
      </w:r>
      <w:r w:rsidR="00AF723F" w:rsidRPr="0086032F">
        <w:t>.</w:t>
      </w:r>
    </w:p>
    <w:p w:rsidR="00973971" w:rsidRPr="004B7127" w:rsidRDefault="00973971" w:rsidP="00334537">
      <w:pPr>
        <w:pStyle w:val="Heading2"/>
        <w:rPr>
          <w:lang w:val="en-GB"/>
        </w:rPr>
      </w:pPr>
      <w:bookmarkStart w:id="6" w:name="_Toc245209884"/>
      <w:r w:rsidRPr="004B7127">
        <w:rPr>
          <w:lang w:val="en-GB"/>
        </w:rPr>
        <w:t>Level 2 Heading</w:t>
      </w:r>
      <w:bookmarkEnd w:id="6"/>
    </w:p>
    <w:p w:rsidR="00973971" w:rsidRPr="0086032F" w:rsidRDefault="001D7FB4" w:rsidP="0086032F">
      <w:proofErr w:type="spellStart"/>
      <w:r w:rsidRPr="0086032F">
        <w:lastRenderedPageBreak/>
        <w:t>Sandio</w:t>
      </w:r>
      <w:proofErr w:type="spellEnd"/>
      <w:r w:rsidRPr="0086032F">
        <w:t xml:space="preserve"> </w:t>
      </w:r>
      <w:proofErr w:type="spellStart"/>
      <w:r w:rsidRPr="0086032F">
        <w:t>erci</w:t>
      </w:r>
      <w:proofErr w:type="spellEnd"/>
      <w:r w:rsidRPr="0086032F">
        <w:t xml:space="preserve"> </w:t>
      </w:r>
      <w:proofErr w:type="spellStart"/>
      <w:r w:rsidRPr="0086032F">
        <w:t>ea</w:t>
      </w:r>
      <w:proofErr w:type="spellEnd"/>
      <w:r w:rsidRPr="0086032F">
        <w:t xml:space="preserve"> </w:t>
      </w:r>
      <w:proofErr w:type="spellStart"/>
      <w:r w:rsidRPr="0086032F">
        <w:t>autem</w:t>
      </w:r>
      <w:proofErr w:type="spellEnd"/>
      <w:r w:rsidRPr="0086032F">
        <w:t xml:space="preserve"> </w:t>
      </w:r>
      <w:proofErr w:type="spellStart"/>
      <w:r w:rsidRPr="0086032F">
        <w:t>velendipit</w:t>
      </w:r>
      <w:proofErr w:type="spellEnd"/>
      <w:r w:rsidRPr="0086032F">
        <w:t xml:space="preserve"> </w:t>
      </w:r>
      <w:proofErr w:type="spellStart"/>
      <w:r w:rsidRPr="0086032F">
        <w:t>nonsecte</w:t>
      </w:r>
      <w:proofErr w:type="spellEnd"/>
      <w:r w:rsidRPr="0086032F">
        <w:t xml:space="preserve"> tat </w:t>
      </w:r>
      <w:proofErr w:type="spellStart"/>
      <w:r w:rsidRPr="0086032F">
        <w:t>lut</w:t>
      </w:r>
      <w:proofErr w:type="spellEnd"/>
      <w:r w:rsidRPr="0086032F">
        <w:t xml:space="preserve"> </w:t>
      </w:r>
      <w:proofErr w:type="spellStart"/>
      <w:r w:rsidRPr="0086032F">
        <w:t>ilit</w:t>
      </w:r>
      <w:proofErr w:type="spellEnd"/>
      <w:r w:rsidRPr="0086032F">
        <w:t xml:space="preserve"> </w:t>
      </w:r>
      <w:proofErr w:type="spellStart"/>
      <w:r w:rsidRPr="0086032F">
        <w:t>num</w:t>
      </w:r>
      <w:proofErr w:type="spellEnd"/>
      <w:r w:rsidRPr="0086032F">
        <w:t xml:space="preserve"> </w:t>
      </w:r>
      <w:proofErr w:type="spellStart"/>
      <w:r w:rsidRPr="0086032F">
        <w:t>iriure</w:t>
      </w:r>
      <w:proofErr w:type="spellEnd"/>
      <w:r w:rsidRPr="0086032F">
        <w:t xml:space="preserve"> </w:t>
      </w:r>
      <w:proofErr w:type="spellStart"/>
      <w:r w:rsidRPr="0086032F">
        <w:t>dolore</w:t>
      </w:r>
      <w:proofErr w:type="spellEnd"/>
      <w:r w:rsidRPr="0086032F">
        <w:t xml:space="preserve"> magna </w:t>
      </w:r>
      <w:proofErr w:type="spellStart"/>
      <w:r w:rsidRPr="0086032F">
        <w:t>coreetue</w:t>
      </w:r>
      <w:proofErr w:type="spellEnd"/>
      <w:r w:rsidRPr="0086032F">
        <w:t xml:space="preserve"> </w:t>
      </w:r>
      <w:proofErr w:type="spellStart"/>
      <w:r w:rsidRPr="0086032F">
        <w:t>esequam</w:t>
      </w:r>
      <w:proofErr w:type="spellEnd"/>
      <w:r w:rsidRPr="0086032F">
        <w:t xml:space="preserve"> </w:t>
      </w:r>
      <w:proofErr w:type="spellStart"/>
      <w:r w:rsidRPr="0086032F">
        <w:t>consecte</w:t>
      </w:r>
      <w:proofErr w:type="spellEnd"/>
      <w:r w:rsidRPr="0086032F">
        <w:t xml:space="preserve"> </w:t>
      </w:r>
      <w:proofErr w:type="spellStart"/>
      <w:r w:rsidRPr="0086032F">
        <w:t>exeriustrud</w:t>
      </w:r>
      <w:proofErr w:type="spellEnd"/>
      <w:r w:rsidRPr="0086032F">
        <w:t xml:space="preserve"> </w:t>
      </w:r>
      <w:proofErr w:type="spellStart"/>
      <w:r w:rsidRPr="0086032F">
        <w:t>te</w:t>
      </w:r>
      <w:proofErr w:type="spellEnd"/>
      <w:r w:rsidRPr="0086032F">
        <w:t xml:space="preserve"> </w:t>
      </w:r>
      <w:proofErr w:type="spellStart"/>
      <w:r w:rsidRPr="0086032F">
        <w:t>tatet</w:t>
      </w:r>
      <w:proofErr w:type="spellEnd"/>
      <w:r w:rsidRPr="0086032F">
        <w:t xml:space="preserve">, </w:t>
      </w:r>
      <w:proofErr w:type="spellStart"/>
      <w:r w:rsidRPr="0086032F">
        <w:t>quis</w:t>
      </w:r>
      <w:proofErr w:type="spellEnd"/>
      <w:r w:rsidRPr="0086032F">
        <w:t xml:space="preserve"> dui </w:t>
      </w:r>
      <w:proofErr w:type="spellStart"/>
      <w:r w:rsidRPr="0086032F">
        <w:t>bla</w:t>
      </w:r>
      <w:proofErr w:type="spellEnd"/>
      <w:r w:rsidRPr="0086032F">
        <w:t xml:space="preserve"> </w:t>
      </w:r>
      <w:proofErr w:type="spellStart"/>
      <w:r w:rsidRPr="0086032F">
        <w:t>feum</w:t>
      </w:r>
      <w:proofErr w:type="spellEnd"/>
      <w:r w:rsidRPr="0086032F">
        <w:t xml:space="preserve"> </w:t>
      </w:r>
      <w:proofErr w:type="spellStart"/>
      <w:r w:rsidRPr="0086032F">
        <w:t>velismo</w:t>
      </w:r>
      <w:proofErr w:type="spellEnd"/>
      <w:r w:rsidRPr="0086032F">
        <w:t xml:space="preserve"> </w:t>
      </w:r>
      <w:proofErr w:type="spellStart"/>
      <w:r w:rsidRPr="0086032F">
        <w:t>lorpero</w:t>
      </w:r>
      <w:proofErr w:type="spellEnd"/>
      <w:r w:rsidRPr="0086032F">
        <w:t xml:space="preserve"> </w:t>
      </w:r>
      <w:proofErr w:type="spellStart"/>
      <w:r w:rsidRPr="0086032F">
        <w:t>odolessecte</w:t>
      </w:r>
      <w:proofErr w:type="spellEnd"/>
      <w:r w:rsidRPr="0086032F">
        <w:t xml:space="preserve"> </w:t>
      </w:r>
      <w:proofErr w:type="spellStart"/>
      <w:r w:rsidRPr="0086032F">
        <w:t>dolorercipit</w:t>
      </w:r>
      <w:proofErr w:type="spellEnd"/>
      <w:r w:rsidRPr="0086032F">
        <w:t xml:space="preserve"> </w:t>
      </w:r>
      <w:proofErr w:type="spellStart"/>
      <w:r w:rsidRPr="0086032F">
        <w:t>praessit</w:t>
      </w:r>
      <w:proofErr w:type="spellEnd"/>
      <w:r w:rsidRPr="0086032F">
        <w:t xml:space="preserve"> </w:t>
      </w:r>
      <w:proofErr w:type="spellStart"/>
      <w:r w:rsidRPr="0086032F">
        <w:t>acillan</w:t>
      </w:r>
      <w:proofErr w:type="spellEnd"/>
      <w:r w:rsidRPr="0086032F">
        <w:t xml:space="preserve"> </w:t>
      </w:r>
      <w:proofErr w:type="spellStart"/>
      <w:r w:rsidRPr="0086032F">
        <w:t>ut</w:t>
      </w:r>
      <w:proofErr w:type="spellEnd"/>
      <w:r w:rsidRPr="0086032F">
        <w:t xml:space="preserve"> </w:t>
      </w:r>
      <w:proofErr w:type="spellStart"/>
      <w:r w:rsidRPr="0086032F">
        <w:t>adigna</w:t>
      </w:r>
      <w:proofErr w:type="spellEnd"/>
      <w:r w:rsidRPr="0086032F">
        <w:t xml:space="preserve"> </w:t>
      </w:r>
      <w:proofErr w:type="spellStart"/>
      <w:r w:rsidRPr="0086032F">
        <w:t>alis</w:t>
      </w:r>
      <w:proofErr w:type="spellEnd"/>
      <w:r w:rsidRPr="0086032F">
        <w:t xml:space="preserve"> </w:t>
      </w:r>
      <w:proofErr w:type="spellStart"/>
      <w:r w:rsidRPr="0086032F">
        <w:t>eugait</w:t>
      </w:r>
      <w:proofErr w:type="spellEnd"/>
      <w:r w:rsidRPr="0086032F">
        <w:t xml:space="preserve"> prat, </w:t>
      </w:r>
      <w:proofErr w:type="spellStart"/>
      <w:r w:rsidRPr="0086032F">
        <w:t>quisisi</w:t>
      </w:r>
      <w:proofErr w:type="spellEnd"/>
      <w:r w:rsidRPr="0086032F">
        <w:t xml:space="preserve">. Lam, </w:t>
      </w:r>
      <w:proofErr w:type="spellStart"/>
      <w:r w:rsidRPr="0086032F">
        <w:t>quat</w:t>
      </w:r>
      <w:proofErr w:type="spellEnd"/>
      <w:r w:rsidRPr="0086032F">
        <w:t xml:space="preserve"> </w:t>
      </w:r>
      <w:proofErr w:type="spellStart"/>
      <w:r w:rsidRPr="0086032F">
        <w:t>illan</w:t>
      </w:r>
      <w:proofErr w:type="spellEnd"/>
      <w:r w:rsidRPr="0086032F">
        <w:t xml:space="preserve"> </w:t>
      </w:r>
      <w:proofErr w:type="spellStart"/>
      <w:r w:rsidRPr="0086032F">
        <w:t>henim</w:t>
      </w:r>
      <w:proofErr w:type="spellEnd"/>
      <w:r w:rsidRPr="0086032F">
        <w:t xml:space="preserve"> </w:t>
      </w:r>
      <w:proofErr w:type="spellStart"/>
      <w:r w:rsidRPr="0086032F">
        <w:t>zzril</w:t>
      </w:r>
      <w:proofErr w:type="spellEnd"/>
      <w:r w:rsidRPr="0086032F">
        <w:t xml:space="preserve"> ipsum non </w:t>
      </w:r>
      <w:proofErr w:type="spellStart"/>
      <w:r w:rsidRPr="0086032F">
        <w:t>vulluptatue</w:t>
      </w:r>
      <w:proofErr w:type="spellEnd"/>
      <w:r w:rsidRPr="0086032F">
        <w:t xml:space="preserve"> </w:t>
      </w:r>
      <w:proofErr w:type="spellStart"/>
      <w:r w:rsidRPr="0086032F">
        <w:t>feugueriusto</w:t>
      </w:r>
      <w:proofErr w:type="spellEnd"/>
      <w:r w:rsidRPr="0086032F">
        <w:t xml:space="preserve"> </w:t>
      </w:r>
      <w:proofErr w:type="spellStart"/>
      <w:r w:rsidRPr="0086032F">
        <w:t>odoloreet</w:t>
      </w:r>
      <w:proofErr w:type="spellEnd"/>
      <w:r w:rsidRPr="0086032F">
        <w:t xml:space="preserve">, </w:t>
      </w:r>
      <w:proofErr w:type="spellStart"/>
      <w:r w:rsidRPr="0086032F">
        <w:t>sisci</w:t>
      </w:r>
      <w:proofErr w:type="spellEnd"/>
      <w:r w:rsidRPr="0086032F">
        <w:t xml:space="preserve"> tem </w:t>
      </w:r>
      <w:proofErr w:type="spellStart"/>
      <w:r w:rsidRPr="0086032F">
        <w:t>iureet</w:t>
      </w:r>
      <w:proofErr w:type="spellEnd"/>
      <w:r w:rsidRPr="0086032F">
        <w:t xml:space="preserve">, </w:t>
      </w:r>
      <w:proofErr w:type="spellStart"/>
      <w:r w:rsidRPr="0086032F">
        <w:t>quisit</w:t>
      </w:r>
      <w:proofErr w:type="spellEnd"/>
      <w:r w:rsidRPr="0086032F">
        <w:t xml:space="preserve">, </w:t>
      </w:r>
      <w:proofErr w:type="spellStart"/>
      <w:r w:rsidRPr="0086032F">
        <w:t>velit</w:t>
      </w:r>
      <w:proofErr w:type="spellEnd"/>
      <w:r w:rsidRPr="0086032F">
        <w:t xml:space="preserve"> </w:t>
      </w:r>
      <w:proofErr w:type="spellStart"/>
      <w:r w:rsidRPr="0086032F">
        <w:t>luptatue</w:t>
      </w:r>
      <w:proofErr w:type="spellEnd"/>
      <w:r w:rsidRPr="0086032F">
        <w:t xml:space="preserve"> dolor </w:t>
      </w:r>
      <w:proofErr w:type="spellStart"/>
      <w:r w:rsidRPr="0086032F">
        <w:t>sustie</w:t>
      </w:r>
      <w:proofErr w:type="spellEnd"/>
      <w:r w:rsidRPr="0086032F">
        <w:t xml:space="preserve"> tis ad </w:t>
      </w:r>
      <w:proofErr w:type="spellStart"/>
      <w:r w:rsidRPr="0086032F">
        <w:t>elestrud</w:t>
      </w:r>
      <w:proofErr w:type="spellEnd"/>
      <w:r w:rsidRPr="0086032F">
        <w:t xml:space="preserve"> </w:t>
      </w:r>
      <w:proofErr w:type="spellStart"/>
      <w:r w:rsidRPr="0086032F">
        <w:t>tionsequate</w:t>
      </w:r>
      <w:proofErr w:type="spellEnd"/>
      <w:r w:rsidRPr="0086032F">
        <w:t xml:space="preserve"> </w:t>
      </w:r>
      <w:proofErr w:type="spellStart"/>
      <w:r w:rsidRPr="0086032F">
        <w:t>venim</w:t>
      </w:r>
      <w:proofErr w:type="spellEnd"/>
      <w:r w:rsidRPr="0086032F">
        <w:t xml:space="preserve"> quam. </w:t>
      </w:r>
      <w:proofErr w:type="spellStart"/>
      <w:r w:rsidRPr="0086032F">
        <w:t>Lenissim</w:t>
      </w:r>
      <w:proofErr w:type="spellEnd"/>
      <w:r w:rsidRPr="0086032F">
        <w:t xml:space="preserve"> </w:t>
      </w:r>
      <w:proofErr w:type="spellStart"/>
      <w:r w:rsidRPr="0086032F">
        <w:t>il</w:t>
      </w:r>
      <w:proofErr w:type="spellEnd"/>
      <w:r w:rsidRPr="0086032F">
        <w:t xml:space="preserve"> </w:t>
      </w:r>
      <w:proofErr w:type="spellStart"/>
      <w:r w:rsidRPr="0086032F">
        <w:t>ullum</w:t>
      </w:r>
      <w:proofErr w:type="spellEnd"/>
      <w:r w:rsidRPr="0086032F">
        <w:t xml:space="preserve"> </w:t>
      </w:r>
      <w:proofErr w:type="spellStart"/>
      <w:r w:rsidRPr="0086032F">
        <w:t>quipit</w:t>
      </w:r>
      <w:proofErr w:type="spellEnd"/>
      <w:r w:rsidRPr="0086032F">
        <w:t xml:space="preserve"> </w:t>
      </w:r>
      <w:proofErr w:type="spellStart"/>
      <w:r w:rsidRPr="0086032F">
        <w:t>wis</w:t>
      </w:r>
      <w:proofErr w:type="spellEnd"/>
      <w:r w:rsidRPr="0086032F">
        <w:t xml:space="preserve"> nisi </w:t>
      </w:r>
      <w:proofErr w:type="spellStart"/>
      <w:r w:rsidRPr="0086032F">
        <w:t>blaor</w:t>
      </w:r>
      <w:proofErr w:type="spellEnd"/>
      <w:r w:rsidRPr="0086032F">
        <w:t xml:space="preserve"> sim </w:t>
      </w:r>
      <w:proofErr w:type="spellStart"/>
      <w:r w:rsidRPr="0086032F">
        <w:t>quisisim</w:t>
      </w:r>
      <w:proofErr w:type="spellEnd"/>
      <w:r w:rsidRPr="0086032F">
        <w:t xml:space="preserve"> </w:t>
      </w:r>
      <w:proofErr w:type="spellStart"/>
      <w:r w:rsidRPr="0086032F">
        <w:t>quatuer</w:t>
      </w:r>
      <w:proofErr w:type="spellEnd"/>
      <w:r w:rsidRPr="0086032F">
        <w:t xml:space="preserve"> </w:t>
      </w:r>
      <w:proofErr w:type="spellStart"/>
      <w:r w:rsidRPr="0086032F">
        <w:t>iriure</w:t>
      </w:r>
      <w:proofErr w:type="spellEnd"/>
      <w:r w:rsidRPr="0086032F">
        <w:t xml:space="preserve"> </w:t>
      </w:r>
      <w:proofErr w:type="spellStart"/>
      <w:r w:rsidRPr="0086032F">
        <w:t>facip</w:t>
      </w:r>
      <w:proofErr w:type="spellEnd"/>
      <w:r w:rsidRPr="0086032F">
        <w:t xml:space="preserve"> </w:t>
      </w:r>
      <w:proofErr w:type="spellStart"/>
      <w:r w:rsidRPr="0086032F">
        <w:t>ent</w:t>
      </w:r>
      <w:proofErr w:type="spellEnd"/>
      <w:r w:rsidRPr="0086032F">
        <w:t xml:space="preserve"> </w:t>
      </w:r>
      <w:proofErr w:type="spellStart"/>
      <w:r w:rsidRPr="0086032F">
        <w:t>lum</w:t>
      </w:r>
      <w:proofErr w:type="spellEnd"/>
      <w:r w:rsidRPr="0086032F">
        <w:t xml:space="preserve"> </w:t>
      </w:r>
      <w:proofErr w:type="spellStart"/>
      <w:r w:rsidRPr="0086032F">
        <w:t>velit</w:t>
      </w:r>
      <w:proofErr w:type="spellEnd"/>
      <w:r w:rsidRPr="0086032F">
        <w:t xml:space="preserve"> </w:t>
      </w:r>
      <w:proofErr w:type="spellStart"/>
      <w:r w:rsidRPr="0086032F">
        <w:t>lan</w:t>
      </w:r>
      <w:proofErr w:type="spellEnd"/>
      <w:r w:rsidRPr="0086032F">
        <w:t xml:space="preserve"> </w:t>
      </w:r>
      <w:proofErr w:type="spellStart"/>
      <w:r w:rsidRPr="0086032F">
        <w:t>hendipsuscil</w:t>
      </w:r>
      <w:proofErr w:type="spellEnd"/>
      <w:r w:rsidRPr="0086032F">
        <w:t xml:space="preserve"> dui </w:t>
      </w:r>
      <w:proofErr w:type="spellStart"/>
      <w:r w:rsidRPr="0086032F">
        <w:t>blaore</w:t>
      </w:r>
      <w:proofErr w:type="spellEnd"/>
      <w:r w:rsidRPr="0086032F">
        <w:t xml:space="preserve"> tat</w:t>
      </w:r>
      <w:r w:rsidR="00973971" w:rsidRPr="0086032F">
        <w:t>.</w:t>
      </w:r>
    </w:p>
    <w:p w:rsidR="00990DDA" w:rsidRPr="004B7127" w:rsidRDefault="00990DDA" w:rsidP="00930F7A">
      <w:pPr>
        <w:pStyle w:val="AcuityHeadingList1"/>
      </w:pPr>
      <w:r w:rsidRPr="004B7127">
        <w:t>Numbering level 01</w:t>
      </w:r>
    </w:p>
    <w:p w:rsidR="00990DDA" w:rsidRPr="004B7127" w:rsidRDefault="00990DDA" w:rsidP="00930F7A">
      <w:pPr>
        <w:pStyle w:val="AcuityHeadingList2"/>
      </w:pPr>
      <w:r w:rsidRPr="004B7127">
        <w:t>Number</w:t>
      </w:r>
      <w:r w:rsidR="003855F6" w:rsidRPr="004B7127">
        <w:t>ing</w:t>
      </w:r>
      <w:r w:rsidRPr="004B7127">
        <w:t xml:space="preserve"> level 02</w:t>
      </w:r>
    </w:p>
    <w:p w:rsidR="00990DDA" w:rsidRDefault="003855F6" w:rsidP="00930F7A">
      <w:pPr>
        <w:pStyle w:val="AcuityHeadingList3"/>
      </w:pPr>
      <w:r w:rsidRPr="004B7127">
        <w:t>Numbering level 03</w:t>
      </w:r>
    </w:p>
    <w:p w:rsidR="00E6029B" w:rsidRPr="00C038D3" w:rsidRDefault="00E6029B" w:rsidP="0086032F">
      <w:pPr>
        <w:pStyle w:val="TableSpaceBefore"/>
      </w:pPr>
      <w:r w:rsidRPr="00C038D3">
        <w:t>TABLE #</w:t>
      </w:r>
    </w:p>
    <w:p w:rsidR="00E6029B" w:rsidRPr="004B7127" w:rsidRDefault="00E6029B" w:rsidP="00E6029B">
      <w:pPr>
        <w:pStyle w:val="TABLEHeading1"/>
        <w:rPr>
          <w:lang w:val="en-GB"/>
        </w:rPr>
      </w:pPr>
      <w:r w:rsidRPr="004B7127">
        <w:rPr>
          <w:lang w:val="en-GB"/>
        </w:rPr>
        <w:t>Table Title Goes Here</w:t>
      </w:r>
      <w:r w:rsidR="00997393">
        <w:rPr>
          <w:lang w:val="en-GB"/>
        </w:rPr>
        <w:t xml:space="preserve"> </w:t>
      </w:r>
      <w:r w:rsidR="00997393" w:rsidRPr="00997393">
        <w:rPr>
          <w:color w:val="C00000"/>
          <w:lang w:val="en-GB"/>
        </w:rPr>
        <w:t>[Table option 1]</w:t>
      </w:r>
    </w:p>
    <w:tbl>
      <w:tblPr>
        <w:tblW w:w="0" w:type="auto"/>
        <w:tblBorders>
          <w:top w:val="single" w:sz="2" w:space="0" w:color="BFBFBF" w:themeColor="text2" w:themeTint="66"/>
          <w:left w:val="single" w:sz="2" w:space="0" w:color="BFBFBF" w:themeColor="text2" w:themeTint="66"/>
          <w:bottom w:val="single" w:sz="2" w:space="0" w:color="BFBFBF" w:themeColor="text2" w:themeTint="66"/>
          <w:right w:val="single" w:sz="2" w:space="0" w:color="BFBFBF" w:themeColor="text2" w:themeTint="66"/>
          <w:insideH w:val="single" w:sz="2" w:space="0" w:color="BFBFBF" w:themeColor="text2" w:themeTint="66"/>
          <w:insideV w:val="single" w:sz="2" w:space="0" w:color="BFBFBF" w:themeColor="text2" w:themeTint="66"/>
        </w:tblBorders>
        <w:tblCellMar>
          <w:left w:w="0" w:type="dxa"/>
          <w:right w:w="0" w:type="dxa"/>
        </w:tblCellMar>
        <w:tblLook w:val="0000" w:firstRow="0" w:lastRow="0" w:firstColumn="0" w:lastColumn="0" w:noHBand="0" w:noVBand="0"/>
      </w:tblPr>
      <w:tblGrid>
        <w:gridCol w:w="4394"/>
        <w:gridCol w:w="842"/>
        <w:gridCol w:w="991"/>
        <w:gridCol w:w="841"/>
        <w:gridCol w:w="735"/>
        <w:gridCol w:w="735"/>
        <w:gridCol w:w="1150"/>
      </w:tblGrid>
      <w:tr w:rsidR="00E6029B" w:rsidRPr="004B7127" w:rsidTr="00997393">
        <w:trPr>
          <w:trHeight w:val="288"/>
        </w:trPr>
        <w:tc>
          <w:tcPr>
            <w:tcW w:w="4394"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rPr>
                <w:color w:val="FFFFFF"/>
                <w:lang w:val="en-GB"/>
              </w:rPr>
            </w:pPr>
            <w:r w:rsidRPr="00997393">
              <w:rPr>
                <w:color w:val="FFFFFF"/>
                <w:lang w:val="en-GB"/>
              </w:rPr>
              <w:t>Header</w:t>
            </w:r>
          </w:p>
        </w:tc>
        <w:tc>
          <w:tcPr>
            <w:tcW w:w="842"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991"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841"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690"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691"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1150"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Text1</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2</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3</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4</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5</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6</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7</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8</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Text9</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r>
    </w:tbl>
    <w:p w:rsidR="00997393" w:rsidRPr="00C038D3" w:rsidRDefault="00997393" w:rsidP="00997393">
      <w:pPr>
        <w:pStyle w:val="TableSpaceBefore"/>
      </w:pPr>
      <w:r w:rsidRPr="00C038D3">
        <w:t>TABLE #</w:t>
      </w:r>
    </w:p>
    <w:p w:rsidR="00997393" w:rsidRPr="004B7127" w:rsidRDefault="00997393" w:rsidP="00997393">
      <w:pPr>
        <w:pStyle w:val="TABLEHeading1"/>
        <w:rPr>
          <w:lang w:val="en-GB"/>
        </w:rPr>
      </w:pPr>
      <w:r w:rsidRPr="004B7127">
        <w:rPr>
          <w:lang w:val="en-GB"/>
        </w:rPr>
        <w:t>Table Title Goes Here</w:t>
      </w:r>
      <w:r>
        <w:rPr>
          <w:lang w:val="en-GB"/>
        </w:rPr>
        <w:t xml:space="preserve"> </w:t>
      </w:r>
      <w:r w:rsidRPr="00997393">
        <w:rPr>
          <w:color w:val="C00000"/>
          <w:lang w:val="en-GB"/>
        </w:rPr>
        <w:t xml:space="preserve">[Table option </w:t>
      </w:r>
      <w:r>
        <w:rPr>
          <w:color w:val="C00000"/>
          <w:lang w:val="en-GB"/>
        </w:rPr>
        <w:t>2</w:t>
      </w:r>
      <w:r w:rsidRPr="00997393">
        <w:rPr>
          <w:color w:val="C00000"/>
          <w:lang w:val="en-GB"/>
        </w:rPr>
        <w:t>]</w:t>
      </w:r>
    </w:p>
    <w:tbl>
      <w:tblPr>
        <w:tblW w:w="5000" w:type="pct"/>
        <w:tblCellMar>
          <w:left w:w="0" w:type="dxa"/>
          <w:right w:w="0" w:type="dxa"/>
        </w:tblCellMar>
        <w:tblLook w:val="0000" w:firstRow="0" w:lastRow="0" w:firstColumn="0" w:lastColumn="0" w:noHBand="0" w:noVBand="0"/>
      </w:tblPr>
      <w:tblGrid>
        <w:gridCol w:w="4463"/>
        <w:gridCol w:w="855"/>
        <w:gridCol w:w="1006"/>
        <w:gridCol w:w="854"/>
        <w:gridCol w:w="701"/>
        <w:gridCol w:w="702"/>
        <w:gridCol w:w="1168"/>
      </w:tblGrid>
      <w:tr w:rsidR="00997393" w:rsidRPr="004B7127" w:rsidTr="002D63AE">
        <w:trPr>
          <w:trHeight w:val="288"/>
        </w:trPr>
        <w:tc>
          <w:tcPr>
            <w:tcW w:w="4463"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rPr>
                <w:color w:val="FFFFFF"/>
                <w:sz w:val="16"/>
                <w:lang w:val="en-GB"/>
              </w:rPr>
            </w:pPr>
            <w:r w:rsidRPr="002D63AE">
              <w:rPr>
                <w:color w:val="FFFFFF"/>
                <w:sz w:val="16"/>
                <w:lang w:val="en-GB"/>
              </w:rPr>
              <w:t>Header</w:t>
            </w:r>
          </w:p>
        </w:tc>
        <w:tc>
          <w:tcPr>
            <w:tcW w:w="855"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1006"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854"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701"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702"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1168"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r>
      <w:tr w:rsidR="002D63AE" w:rsidRPr="004B7127" w:rsidTr="002D63AE">
        <w:trPr>
          <w:trHeight w:val="20"/>
        </w:trPr>
        <w:tc>
          <w:tcPr>
            <w:tcW w:w="4463" w:type="dxa"/>
            <w:tcBorders>
              <w:bottom w:val="single" w:sz="8" w:space="0" w:color="212121" w:themeColor="text1"/>
            </w:tcBorders>
            <w:shd w:val="clear" w:color="auto" w:fill="auto"/>
            <w:tcMar>
              <w:top w:w="29" w:type="dxa"/>
              <w:left w:w="72" w:type="dxa"/>
              <w:bottom w:w="29" w:type="dxa"/>
              <w:right w:w="72" w:type="dxa"/>
            </w:tcMar>
            <w:vAlign w:val="center"/>
          </w:tcPr>
          <w:p w:rsidR="002D63AE" w:rsidRPr="002D63AE" w:rsidRDefault="002D63AE" w:rsidP="002D63AE">
            <w:pPr>
              <w:pStyle w:val="TableDataItem"/>
              <w:rPr>
                <w:b/>
                <w:color w:val="212121" w:themeColor="text1"/>
                <w:lang w:val="en-GB"/>
              </w:rPr>
            </w:pPr>
            <w:r w:rsidRPr="002D63AE">
              <w:rPr>
                <w:b/>
                <w:color w:val="212121" w:themeColor="text1"/>
                <w:lang w:val="en-GB"/>
              </w:rPr>
              <w:t>Text1</w:t>
            </w:r>
          </w:p>
        </w:tc>
        <w:tc>
          <w:tcPr>
            <w:tcW w:w="855" w:type="dxa"/>
            <w:tcBorders>
              <w:bottom w:val="single" w:sz="8" w:space="0" w:color="212121" w:themeColor="text1"/>
            </w:tcBorders>
            <w:shd w:val="clear" w:color="auto" w:fill="auto"/>
            <w:tcMar>
              <w:top w:w="29" w:type="dxa"/>
              <w:left w:w="72" w:type="dxa"/>
              <w:bottom w:w="29" w:type="dxa"/>
              <w:right w:w="72" w:type="dxa"/>
            </w:tcMar>
            <w:vAlign w:val="center"/>
          </w:tcPr>
          <w:p w:rsidR="002D63AE" w:rsidRPr="002D63AE" w:rsidRDefault="002D63AE" w:rsidP="002D63AE">
            <w:pPr>
              <w:pStyle w:val="TableDataItemRight"/>
              <w:jc w:val="center"/>
              <w:rPr>
                <w:b/>
                <w:color w:val="212121" w:themeColor="text1"/>
                <w:lang w:val="en-GB"/>
              </w:rPr>
            </w:pPr>
            <w:r>
              <w:rPr>
                <w:b/>
                <w:color w:val="212121" w:themeColor="text1"/>
                <w:lang w:val="en-GB"/>
              </w:rPr>
              <w:t>#</w:t>
            </w:r>
          </w:p>
        </w:tc>
        <w:tc>
          <w:tcPr>
            <w:tcW w:w="1006"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854"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701"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702"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1168"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r>
      <w:tr w:rsidR="002D63AE" w:rsidRPr="004B7127" w:rsidTr="002D63AE">
        <w:trPr>
          <w:trHeight w:val="20"/>
        </w:trPr>
        <w:tc>
          <w:tcPr>
            <w:tcW w:w="4463"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2</w:t>
            </w:r>
          </w:p>
        </w:tc>
        <w:tc>
          <w:tcPr>
            <w:tcW w:w="855"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1006"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854"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3B6C2C">
            <w:pPr>
              <w:pStyle w:val="TableDataItemRight"/>
              <w:jc w:val="center"/>
              <w:rPr>
                <w:lang w:val="en-GB"/>
              </w:rPr>
            </w:pPr>
            <w:r w:rsidRPr="004B7127">
              <w:rPr>
                <w:lang w:val="en-GB"/>
              </w:rPr>
              <w:t>2</w:t>
            </w:r>
          </w:p>
        </w:tc>
        <w:tc>
          <w:tcPr>
            <w:tcW w:w="701"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702"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1168"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3</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r>
      <w:tr w:rsidR="002D63AE" w:rsidRPr="004B7127" w:rsidTr="00181781">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
              <w:rPr>
                <w:color w:val="212121" w:themeColor="text1"/>
                <w:lang w:val="en-GB"/>
              </w:rPr>
            </w:pPr>
            <w:r w:rsidRPr="00181781">
              <w:rPr>
                <w:color w:val="212121" w:themeColor="text1"/>
                <w:lang w:val="en-GB"/>
              </w:rPr>
              <w:t>Text 4</w:t>
            </w:r>
          </w:p>
        </w:tc>
        <w:tc>
          <w:tcPr>
            <w:tcW w:w="855"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100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854"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701"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702"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1168"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5</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r>
      <w:tr w:rsidR="003B6C2C" w:rsidRPr="004B7127" w:rsidTr="003B6C2C">
        <w:trPr>
          <w:trHeight w:val="20"/>
        </w:trPr>
        <w:tc>
          <w:tcPr>
            <w:tcW w:w="4463"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6</w:t>
            </w:r>
          </w:p>
        </w:tc>
        <w:tc>
          <w:tcPr>
            <w:tcW w:w="855"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1006"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854"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701"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702"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1168"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7</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8</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Text9</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r>
    </w:tbl>
    <w:p w:rsidR="00C43900" w:rsidRPr="00E273EE" w:rsidRDefault="00C43900" w:rsidP="00E273EE"/>
    <w:p w:rsidR="006177A4" w:rsidRDefault="006177A4">
      <w:pPr>
        <w:spacing w:before="0" w:after="0" w:line="240" w:lineRule="auto"/>
        <w:jc w:val="left"/>
        <w:rPr>
          <w:rFonts w:eastAsia="Times New Roman"/>
          <w:lang w:val="en-GB"/>
        </w:rPr>
      </w:pPr>
      <w:r>
        <w:rPr>
          <w:lang w:val="en-GB"/>
        </w:rPr>
        <w:br w:type="page"/>
      </w:r>
    </w:p>
    <w:p w:rsidR="00E66544" w:rsidRPr="00C038D3" w:rsidRDefault="00E66544" w:rsidP="00E66544">
      <w:pPr>
        <w:pStyle w:val="TableSpaceBefore"/>
      </w:pPr>
      <w:r w:rsidRPr="00C038D3">
        <w:lastRenderedPageBreak/>
        <w:t>TABLE #</w:t>
      </w:r>
    </w:p>
    <w:p w:rsidR="00E66544" w:rsidRPr="004B7127" w:rsidRDefault="00E66544" w:rsidP="00E66544">
      <w:pPr>
        <w:pStyle w:val="TABLEHeading1"/>
        <w:rPr>
          <w:lang w:val="en-GB"/>
        </w:rPr>
      </w:pPr>
      <w:r w:rsidRPr="004B7127">
        <w:rPr>
          <w:lang w:val="en-GB"/>
        </w:rPr>
        <w:t>Table Title Goes Here</w:t>
      </w:r>
      <w:r>
        <w:rPr>
          <w:lang w:val="en-GB"/>
        </w:rPr>
        <w:t xml:space="preserve"> </w:t>
      </w:r>
      <w:r w:rsidRPr="00997393">
        <w:rPr>
          <w:color w:val="C00000"/>
          <w:lang w:val="en-GB"/>
        </w:rPr>
        <w:t xml:space="preserve">[Table option </w:t>
      </w:r>
      <w:r>
        <w:rPr>
          <w:color w:val="C00000"/>
          <w:lang w:val="en-GB"/>
        </w:rPr>
        <w:t>2</w:t>
      </w:r>
      <w:r w:rsidRPr="00997393">
        <w:rPr>
          <w:color w:val="C00000"/>
          <w:lang w:val="en-GB"/>
        </w:rPr>
        <w:t>]</w:t>
      </w:r>
    </w:p>
    <w:tbl>
      <w:tblPr>
        <w:tblW w:w="5000" w:type="pct"/>
        <w:tblCellMar>
          <w:left w:w="0" w:type="dxa"/>
          <w:right w:w="0" w:type="dxa"/>
        </w:tblCellMar>
        <w:tblLook w:val="0000" w:firstRow="0" w:lastRow="0" w:firstColumn="0" w:lastColumn="0" w:noHBand="0" w:noVBand="0"/>
      </w:tblPr>
      <w:tblGrid>
        <w:gridCol w:w="4272"/>
        <w:gridCol w:w="912"/>
        <w:gridCol w:w="913"/>
        <w:gridCol w:w="913"/>
        <w:gridCol w:w="913"/>
        <w:gridCol w:w="913"/>
        <w:gridCol w:w="913"/>
      </w:tblGrid>
      <w:tr w:rsidR="00E66544" w:rsidRPr="004B7127" w:rsidTr="00E66544">
        <w:trPr>
          <w:trHeight w:val="20"/>
        </w:trPr>
        <w:tc>
          <w:tcPr>
            <w:tcW w:w="4272" w:type="dxa"/>
            <w:tcBorders>
              <w:bottom w:val="single" w:sz="8" w:space="0" w:color="212121" w:themeColor="text1"/>
            </w:tcBorders>
            <w:shd w:val="clear" w:color="auto" w:fill="auto"/>
            <w:tcMar>
              <w:top w:w="29" w:type="dxa"/>
              <w:left w:w="72" w:type="dxa"/>
              <w:bottom w:w="29" w:type="dxa"/>
              <w:right w:w="72" w:type="dxa"/>
            </w:tcMar>
            <w:vAlign w:val="center"/>
          </w:tcPr>
          <w:p w:rsidR="00E66544" w:rsidRPr="002D63AE" w:rsidRDefault="00E66544" w:rsidP="00E66544">
            <w:pPr>
              <w:pStyle w:val="TableColumnHeadingLeftAlign"/>
              <w:rPr>
                <w:lang w:val="en-GB"/>
              </w:rPr>
            </w:pPr>
            <w:r w:rsidRPr="00E66544">
              <w:rPr>
                <w:lang w:val="en-GB"/>
              </w:rPr>
              <w:t>Text1</w:t>
            </w:r>
          </w:p>
        </w:tc>
        <w:tc>
          <w:tcPr>
            <w:tcW w:w="912"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r>
      <w:tr w:rsidR="006177A4" w:rsidRPr="004B7127" w:rsidTr="00E66544">
        <w:trPr>
          <w:trHeight w:val="20"/>
        </w:trPr>
        <w:tc>
          <w:tcPr>
            <w:tcW w:w="4272"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2</w:t>
            </w:r>
          </w:p>
        </w:tc>
        <w:tc>
          <w:tcPr>
            <w:tcW w:w="912"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3</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
              <w:rPr>
                <w:color w:val="212121" w:themeColor="text1"/>
                <w:lang w:val="en-GB"/>
              </w:rPr>
            </w:pPr>
            <w:r w:rsidRPr="00181781">
              <w:rPr>
                <w:color w:val="212121" w:themeColor="text1"/>
                <w:lang w:val="en-GB"/>
              </w:rPr>
              <w:t>Text 4</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5</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r>
      <w:tr w:rsidR="00E66544"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6</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7</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8</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Text9</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r>
    </w:tbl>
    <w:p w:rsidR="00C43900" w:rsidRPr="00E273EE" w:rsidRDefault="00C43900" w:rsidP="00E273EE">
      <w:pPr>
        <w:sectPr w:rsidR="00C43900" w:rsidRPr="00E273EE" w:rsidSect="00106393">
          <w:headerReference w:type="first" r:id="rId17"/>
          <w:footerReference w:type="first" r:id="rId18"/>
          <w:pgSz w:w="11909" w:h="16834" w:code="9"/>
          <w:pgMar w:top="1080" w:right="1080" w:bottom="1080" w:left="1080" w:header="720" w:footer="720" w:gutter="0"/>
          <w:cols w:space="720"/>
          <w:docGrid w:linePitch="360"/>
        </w:sectPr>
      </w:pP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lastRenderedPageBreak/>
        <w:t>NOTWITHSTANDING ANYTHING CONTAINED IN THIS DOCUMENT TO THE CONTRARY, ACUITY KNOWLEDGE PARTNERS IS NOT AGREEING TO ANY LEGAL OR CONTRACTUAL TERMS, CONDITIONS, OR OBLIGATIONS IN CONNECTION (AS APPLICABLE). ACUITY KNOWLEDGE PARTNERS EXPRESSLY RESERVES THE RIGHT TO FULLY AND FREELY NEGOTIATE ALL RELEVANT LEGAL TERMS (AS APPLICABLE).</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 xml:space="preserve">ALL INFORMATION CONTAINED HEREIN IS PROTECTED BY LAW AND NONE OF SUCH INFORMATION MAY BE COPIED OR OTHERWISE REPRODUCED, REPACKAGED, FURTHER TRANSMITTED, TRANSFERRED, DISSEMINATED, REDISTRIBUTED OR RESOLD, OR STORED FOR SUBSEQUENT USE FOR ANY PURPOSE WHATSOEVER, IN WHOLE OR IN PART, IN ANY FORM OR MANNER OR BY ANY MEANS WHATSOEVER, BY ANY PERSON WITHOUT ACUITY KNOWLEDGE PARTNERS PRIOR WRITTEN CONSENT. </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 xml:space="preserve">ALL INFORMATION CONTAINED HEREIN IS BELIEVED TO BE ACCURATE AND RELIABLE. BECAUSE OF THE POSSIBILITY OF HUMAN OR MECHANICAL ERROR AS WELL AS OTHER FACTORS, HOWEVER, ALL INFORMATION CONTAINED HEREIN IS PROVIDED “AS IS” WITHOUT WARRANTY OF ANY KIND. </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TO THE EXTENT PERMITTED BY LAW, ACUITY KNOWLEDGE PARTNERS AND ITS DIRECTORS, OFFICERS, EMPLOYEES, AGENTS, REPRESENTATIVES, LICENSORS AND SUPPLIERS DISCLAIM LIABILITY TO ANY PERSON OR ENTITY FOR ANY INDIRECT, SPECIAL, CONSEQUENTIAL, OR INCIDENTAL LOSSES OR DAMAGES WHATSOEVER ARISING FROM OR IN CONNECTION WITH THE INFORMATION CONTAINED HEREIN OR THE USE OF OR INABILITY TO USE ANY SUCH INFORMATION, EVEN IF ACUITY KNOWLEDGE PARTNERS OR ANY OF ITS DIRECTORS, OFFICERS, EMPLOYEES, AGENTS, REPRESENTATIVES, LICENSORS OR SUPPLIERS IS ADVISED IN ADVANCE OF THE POSSIBILITY OF SUCH LOSSES OR DAMAGES.</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TO THE EXTENT PERMITTED BY LAW, ACUITY KNOWLEDGE PARTNERS AND ITS DIRECTORS, OFFICERS, EMPLOYEES, AGENTS, REPRESENTATIVES, LICENSORS AND SUPPLIERS DISCLAIM LIABILITY FOR ANY DIRECT OR COMPENSATORY LOSSES OR DAMAGES CAUSED TO ANY PERSON OR ENTITY, INCLUDING BUT NOT LIMITED TO BY ANY NEGLIGENCE (BUT EXCLUDING FRAUD OR ANY OTHER TYPE OF LIABILITY THAT, FOR THE AVOIDANCE OF DOUBT, BY LAW CANNOT BE EXCLUDED) ON THE PART OF, OR ANY CONTINGENCY WITHIN OR BEYOND THE CONTROL OF, ACUITY KNOWLEDGE PARTNERS OR ANY OF ITS DIRECTORS, OFFICERS, EMPLOYEES, AGENTS, REPRESENTATIVES, LICENSORS OR SUPPLIERS, ARISING FROM OR IN CONNECTION WITH THE INFORMATION CONTAINED HEREIN OR THE USE OF OR INABILITY TO USE ANY SUCH INFORMATION.</w:t>
      </w:r>
    </w:p>
    <w:p w:rsidR="00DE4B97" w:rsidRPr="000A3A23" w:rsidRDefault="003B6C2C" w:rsidP="003B6C2C">
      <w:pPr>
        <w:spacing w:before="80" w:after="80" w:line="288" w:lineRule="auto"/>
        <w:rPr>
          <w:color w:val="616161" w:themeColor="text2"/>
          <w:sz w:val="14"/>
          <w:szCs w:val="12"/>
          <w:lang w:val="en-GB"/>
        </w:rPr>
      </w:pPr>
      <w:r w:rsidRPr="003B6C2C">
        <w:rPr>
          <w:color w:val="616161" w:themeColor="text2"/>
          <w:sz w:val="14"/>
          <w:szCs w:val="12"/>
        </w:rPr>
        <w:t>WITH RESPECT TO THE INFORMATION PROVIDED HEREIN, ACUITY KNOWLEDGE PARTNERS HEREBY DISCLAIMS ANY WARRANTY, EXPRESS OR IMPLIED IN RELATION TO FITNESS FOR ANY PARTICULAR PURPOSE</w:t>
      </w:r>
      <w:r w:rsidR="007749DD" w:rsidRPr="000A3A23">
        <w:rPr>
          <w:color w:val="616161" w:themeColor="text2"/>
          <w:sz w:val="14"/>
          <w:szCs w:val="12"/>
        </w:rPr>
        <w:t>.</w:t>
      </w:r>
    </w:p>
    <w:sectPr w:rsidR="00DE4B97" w:rsidRPr="000A3A23" w:rsidSect="00A455D7">
      <w:headerReference w:type="first" r:id="rId19"/>
      <w:footerReference w:type="first" r:id="rId20"/>
      <w:pgSz w:w="11909" w:h="16834" w:code="9"/>
      <w:pgMar w:top="1080" w:right="1080" w:bottom="1080" w:left="108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3D2" w:rsidRDefault="00C663D2" w:rsidP="00013ACD">
      <w:pPr>
        <w:spacing w:after="0" w:line="240" w:lineRule="auto"/>
      </w:pPr>
      <w:r>
        <w:separator/>
      </w:r>
    </w:p>
  </w:endnote>
  <w:endnote w:type="continuationSeparator" w:id="0">
    <w:p w:rsidR="00C663D2" w:rsidRDefault="00C663D2" w:rsidP="0001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Georgia"/>
    <w:panose1 w:val="00000000000000000000"/>
    <w:charset w:val="00"/>
    <w:family w:val="roman"/>
    <w:notTrueType/>
    <w:pitch w:val="variable"/>
    <w:sig w:usb0="00000001" w:usb1="00000001" w:usb2="00000000" w:usb3="00000000" w:csb0="00000093" w:csb1="00000000"/>
  </w:font>
  <w:font w:name="Bliss Pro ExtraLight">
    <w:altName w:val="Arial"/>
    <w:panose1 w:val="00000000000000000000"/>
    <w:charset w:val="00"/>
    <w:family w:val="modern"/>
    <w:notTrueType/>
    <w:pitch w:val="variable"/>
    <w:sig w:usb0="00000001"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Bliss Pro Light">
    <w:altName w:val="Arial"/>
    <w:panose1 w:val="00000000000000000000"/>
    <w:charset w:val="00"/>
    <w:family w:val="modern"/>
    <w:notTrueType/>
    <w:pitch w:val="variable"/>
    <w:sig w:usb0="00000001" w:usb1="5000205B" w:usb2="00000000" w:usb3="00000000" w:csb0="0000009F" w:csb1="00000000"/>
  </w:font>
  <w:font w:name="Bliss Pro Regular">
    <w:altName w:val="Arial"/>
    <w:panose1 w:val="00000000000000000000"/>
    <w:charset w:val="00"/>
    <w:family w:val="modern"/>
    <w:notTrueType/>
    <w:pitch w:val="variable"/>
    <w:sig w:usb0="00000001" w:usb1="5000205B" w:usb2="00000000" w:usb3="00000000" w:csb0="0000009F" w:csb1="00000000"/>
  </w:font>
  <w:font w:name="Bliss Pro Heavy">
    <w:altName w:val="Arial"/>
    <w:panose1 w:val="00000000000000000000"/>
    <w:charset w:val="00"/>
    <w:family w:val="modern"/>
    <w:notTrueType/>
    <w:pitch w:val="variable"/>
    <w:sig w:usb0="00000001" w:usb1="5000205B" w:usb2="00000000" w:usb3="00000000" w:csb0="0000009F" w:csb1="00000000"/>
  </w:font>
  <w:font w:name="Bliss Pro Medium">
    <w:altName w:val="Franklin Gothic Medium Cond"/>
    <w:panose1 w:val="00000000000000000000"/>
    <w:charset w:val="00"/>
    <w:family w:val="modern"/>
    <w:notTrueType/>
    <w:pitch w:val="variable"/>
    <w:sig w:usb0="00000001"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rsidP="00316C0A">
    <w:pPr>
      <w:pStyle w:val="Footer"/>
      <w:spacing w:after="0" w:line="240" w:lineRule="auto"/>
    </w:pPr>
  </w:p>
  <w:p w:rsidR="00CB245E" w:rsidRDefault="00CB245E" w:rsidP="00895353">
    <w:pPr>
      <w:pStyle w:val="Footer"/>
      <w:tabs>
        <w:tab w:val="clear" w:pos="4680"/>
        <w:tab w:val="clear" w:pos="9360"/>
        <w:tab w:val="left" w:pos="6751"/>
      </w:tabs>
    </w:pPr>
    <w:r>
      <w:rPr>
        <w:noProof/>
      </w:rPr>
      <mc:AlternateContent>
        <mc:Choice Requires="wps">
          <w:drawing>
            <wp:anchor distT="0" distB="0" distL="114300" distR="114300" simplePos="0" relativeHeight="251663360" behindDoc="0" locked="0" layoutInCell="1" allowOverlap="1">
              <wp:simplePos x="0" y="0"/>
              <wp:positionH relativeFrom="column">
                <wp:posOffset>-338455</wp:posOffset>
              </wp:positionH>
              <wp:positionV relativeFrom="page">
                <wp:posOffset>10255885</wp:posOffset>
              </wp:positionV>
              <wp:extent cx="311150" cy="118872"/>
              <wp:effectExtent l="0" t="0" r="12700" b="14605"/>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18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E" w:rsidRPr="003B6C2C" w:rsidRDefault="00CB245E" w:rsidP="003B6C2C">
                          <w:pPr>
                            <w:pStyle w:val="FOLIO"/>
                            <w:tabs>
                              <w:tab w:val="clear" w:pos="10800"/>
                              <w:tab w:val="right" w:pos="11160"/>
                            </w:tabs>
                            <w:spacing w:before="0"/>
                          </w:pPr>
                          <w:r w:rsidRPr="003B6C2C">
                            <w:fldChar w:fldCharType="begin"/>
                          </w:r>
                          <w:r w:rsidRPr="003B6C2C">
                            <w:instrText xml:space="preserve"> PAGE  \* Arabic  \* MERGEFORMAT </w:instrText>
                          </w:r>
                          <w:r w:rsidRPr="003B6C2C">
                            <w:fldChar w:fldCharType="separate"/>
                          </w:r>
                          <w:r w:rsidR="00877EE8">
                            <w:rPr>
                              <w:noProof/>
                            </w:rPr>
                            <w:t>14</w:t>
                          </w:r>
                          <w:r w:rsidRPr="003B6C2C">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26.65pt;margin-top:807.55pt;width:24.5pt;height: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" filled="f" stroked="f">
              <v:textbox inset="0,0,0,0">
                <w:txbxContent>
                  <w:p w:rsidR="00CB245E" w:rsidRPr="003B6C2C" w:rsidRDefault="00CB245E" w:rsidP="003B6C2C">
                    <w:pPr>
                      <w:pStyle w:val="FOLIO"/>
                      <w:tabs>
                        <w:tab w:val="clear" w:pos="10800"/>
                        <w:tab w:val="right" w:pos="11160"/>
                      </w:tabs>
                      <w:spacing w:before="0"/>
                    </w:pPr>
                    <w:r w:rsidRPr="003B6C2C">
                      <w:fldChar w:fldCharType="begin"/>
                    </w:r>
                    <w:r w:rsidRPr="003B6C2C">
                      <w:instrText xml:space="preserve"> PAGE  \* Arabic  \* MERGEFORMAT </w:instrText>
                    </w:r>
                    <w:r w:rsidRPr="003B6C2C">
                      <w:fldChar w:fldCharType="separate"/>
                    </w:r>
                    <w:r w:rsidR="00877EE8">
                      <w:rPr>
                        <w:noProof/>
                      </w:rPr>
                      <w:t>14</w:t>
                    </w:r>
                    <w:r w:rsidRPr="003B6C2C">
                      <w:fldChar w:fldCharType="end"/>
                    </w:r>
                  </w:p>
                </w:txbxContent>
              </v:textbox>
              <w10:wrap anchory="page"/>
            </v:shape>
          </w:pict>
        </mc:Fallback>
      </mc:AlternateContent>
    </w:r>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ge">
                <wp:posOffset>10165976</wp:posOffset>
              </wp:positionV>
              <wp:extent cx="6876288" cy="54864"/>
              <wp:effectExtent l="0" t="0" r="1270" b="254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19277" id="Rectangle 19" o:spid="_x0000_s1026" style="position:absolute;margin-left:0;margin-top:800.45pt;width:541.45pt;height:4.3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" fillcolor="#3949ab [3204]" stroked="f" strokeweight="1pt">
              <v:fill color2="#ff7043 [3206]" angle="90" colors="0 #3949ab;14418f #3949ab" focus="100%" type="gradient"/>
              <w10:wrap anchorx="margin" anchory="page"/>
              <w10:anchorlock/>
            </v:rect>
          </w:pict>
        </mc:Fallback>
      </mc:AlternateContent>
    </w:r>
    <w:r>
      <w:rPr>
        <w:noProof/>
      </w:rPr>
      <mc:AlternateContent>
        <mc:Choice Requires="wps">
          <w:drawing>
            <wp:anchor distT="0" distB="0" distL="114300" distR="114300" simplePos="0" relativeHeight="251664384" behindDoc="0" locked="1" layoutInCell="1" allowOverlap="1">
              <wp:simplePos x="0" y="0"/>
              <wp:positionH relativeFrom="column">
                <wp:posOffset>-121920</wp:posOffset>
              </wp:positionH>
              <wp:positionV relativeFrom="page">
                <wp:posOffset>10255885</wp:posOffset>
              </wp:positionV>
              <wp:extent cx="1669415" cy="122555"/>
              <wp:effectExtent l="0" t="0" r="6985" b="10795"/>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E" w:rsidRPr="00EF5559" w:rsidRDefault="00CB245E" w:rsidP="003B6C2C">
                          <w:pPr>
                            <w:pStyle w:val="FOLIO"/>
                            <w:tabs>
                              <w:tab w:val="clear" w:pos="10800"/>
                              <w:tab w:val="right" w:pos="11160"/>
                            </w:tabs>
                            <w:spacing w:before="0"/>
                          </w:pPr>
                          <w:r>
                            <w:t>17</w:t>
                          </w:r>
                          <w:r w:rsidRPr="00EF5559">
                            <w:t xml:space="preserve"> </w:t>
                          </w:r>
                          <w:r>
                            <w:t xml:space="preserve">june </w:t>
                          </w:r>
                          <w:r w:rsidRPr="00EF5559">
                            <w:t>20</w:t>
                          </w:r>
                          <w: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9.6pt;margin-top:807.55pt;width:131.45pt;height: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" filled="f" stroked="f">
              <v:textbox inset="0,0,0,0">
                <w:txbxContent>
                  <w:p w:rsidR="00CB245E" w:rsidRPr="00EF5559" w:rsidRDefault="00CB245E" w:rsidP="003B6C2C">
                    <w:pPr>
                      <w:pStyle w:val="FOLIO"/>
                      <w:tabs>
                        <w:tab w:val="clear" w:pos="10800"/>
                        <w:tab w:val="right" w:pos="11160"/>
                      </w:tabs>
                      <w:spacing w:before="0"/>
                    </w:pPr>
                    <w:r>
                      <w:t>17</w:t>
                    </w:r>
                    <w:r w:rsidRPr="00EF5559">
                      <w:t xml:space="preserve"> </w:t>
                    </w:r>
                    <w:r>
                      <w:t xml:space="preserve">june </w:t>
                    </w:r>
                    <w:r w:rsidRPr="00EF5559">
                      <w:t>20</w:t>
                    </w:r>
                    <w:r>
                      <w:t>17</w:t>
                    </w:r>
                  </w:p>
                </w:txbxContent>
              </v:textbox>
              <w10:wrap anchory="page"/>
              <w10:anchorlock/>
            </v:shape>
          </w:pict>
        </mc:Fallback>
      </mc:AlternateContent>
    </w:r>
    <w:r>
      <w:rPr>
        <w:noProof/>
      </w:rPr>
      <mc:AlternateContent>
        <mc:Choice Requires="wps">
          <w:drawing>
            <wp:anchor distT="0" distB="0" distL="114300" distR="114300" simplePos="0" relativeHeight="251654144" behindDoc="0" locked="1" layoutInCell="1" allowOverlap="1">
              <wp:simplePos x="0" y="0"/>
              <wp:positionH relativeFrom="column">
                <wp:posOffset>2394585</wp:posOffset>
              </wp:positionH>
              <wp:positionV relativeFrom="page">
                <wp:posOffset>10260330</wp:posOffset>
              </wp:positionV>
              <wp:extent cx="4134485" cy="137160"/>
              <wp:effectExtent l="0" t="0" r="18415" b="1524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E" w:rsidRPr="00EF5559" w:rsidRDefault="00CB245E" w:rsidP="003B6C2C">
                          <w:pPr>
                            <w:pStyle w:val="FOLIO"/>
                            <w:tabs>
                              <w:tab w:val="clear" w:pos="10800"/>
                              <w:tab w:val="right" w:pos="11160"/>
                            </w:tabs>
                            <w:spacing w:before="0" w:line="240" w:lineRule="auto"/>
                            <w:jc w:val="right"/>
                          </w:pPr>
                          <w:r w:rsidRPr="00EF5559">
                            <w:t>T</w:t>
                          </w:r>
                          <w:r>
                            <w:t xml:space="preserve">ITLE OF DOCUMENT </w:t>
                          </w:r>
                          <w:r w:rsidRPr="00EF5559">
                            <w:t xml:space="preserve">GOES </w:t>
                          </w:r>
                          <w:r w:rsidRPr="00EF5559">
                            <w:rPr>
                              <w:noProof/>
                            </w:rPr>
                            <w:t>HERE</w:t>
                          </w:r>
                          <w:r>
                            <w:rPr>
                              <w:noProof/>
                            </w:rPr>
                            <w:t xml:space="preserve">  /  </w:t>
                          </w:r>
                          <w:r w:rsidRPr="00BD6250">
                            <w:rPr>
                              <w:rFonts w:ascii="Bliss Pro Heavy" w:hAnsi="Bliss Pro Heavy"/>
                              <w:noProof/>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88.55pt;margin-top:807.9pt;width:325.55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" filled="f" stroked="f">
              <v:textbox inset="0,0,0,0">
                <w:txbxContent>
                  <w:p w:rsidR="00CB245E" w:rsidRPr="00EF5559" w:rsidRDefault="00CB245E" w:rsidP="003B6C2C">
                    <w:pPr>
                      <w:pStyle w:val="FOLIO"/>
                      <w:tabs>
                        <w:tab w:val="clear" w:pos="10800"/>
                        <w:tab w:val="right" w:pos="11160"/>
                      </w:tabs>
                      <w:spacing w:before="0" w:line="240" w:lineRule="auto"/>
                      <w:jc w:val="right"/>
                    </w:pPr>
                    <w:r w:rsidRPr="00EF5559">
                      <w:t>T</w:t>
                    </w:r>
                    <w:r>
                      <w:t xml:space="preserve">ITLE OF DOCUMENT </w:t>
                    </w:r>
                    <w:r w:rsidRPr="00EF5559">
                      <w:t xml:space="preserve">GOES </w:t>
                    </w:r>
                    <w:r w:rsidRPr="00EF5559">
                      <w:rPr>
                        <w:noProof/>
                      </w:rPr>
                      <w:t>HERE</w:t>
                    </w:r>
                    <w:r>
                      <w:rPr>
                        <w:noProof/>
                      </w:rPr>
                      <w:t xml:space="preserve">  /  </w:t>
                    </w:r>
                    <w:r w:rsidRPr="00BD6250">
                      <w:rPr>
                        <w:rFonts w:ascii="Bliss Pro Heavy" w:hAnsi="Bliss Pro Heavy"/>
                        <w:noProof/>
                      </w:rPr>
                      <w:t>CONFIDENTIAL</w:t>
                    </w:r>
                  </w:p>
                </w:txbxContent>
              </v:textbox>
              <w10:wrap anchory="page"/>
              <w10:anchorlock/>
            </v:shape>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pPr>
      <w:pStyle w:val="Footer"/>
    </w:pPr>
    <w:r>
      <w:rPr>
        <w:noProof/>
      </w:rPr>
      <mc:AlternateContent>
        <mc:Choice Requires="wps">
          <w:drawing>
            <wp:anchor distT="0" distB="0" distL="114300" distR="114300" simplePos="0" relativeHeight="251652096" behindDoc="0" locked="1" layoutInCell="1" allowOverlap="1">
              <wp:simplePos x="0" y="0"/>
              <wp:positionH relativeFrom="margin">
                <wp:align>center</wp:align>
              </wp:positionH>
              <wp:positionV relativeFrom="page">
                <wp:posOffset>10168255</wp:posOffset>
              </wp:positionV>
              <wp:extent cx="6876288" cy="54864"/>
              <wp:effectExtent l="0" t="0" r="1270" b="254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DC2B" id="Rectangle 13" o:spid="_x0000_s1026" style="position:absolute;margin-left:0;margin-top:800.65pt;width:541.45pt;height:4.3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" fillcolor="#3949ab [3204]" stroked="f" strokeweight="1pt">
              <v:fill color2="#ff7043 [3206]" angle="90" colors="0 #3949ab;14418f #3949ab" focus="100%" type="gradient"/>
              <w10:wrap anchorx="margin"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tblpY="11881"/>
      <w:tblOverlap w:val="never"/>
      <w:tblW w:w="0" w:type="auto"/>
      <w:tblBorders>
        <w:top w:val="single" w:sz="2" w:space="0" w:color="000000"/>
      </w:tblBorders>
      <w:tblCellMar>
        <w:left w:w="0" w:type="dxa"/>
        <w:right w:w="0" w:type="dxa"/>
      </w:tblCellMar>
      <w:tblLook w:val="0400" w:firstRow="0" w:lastRow="0" w:firstColumn="0" w:lastColumn="0" w:noHBand="0" w:noVBand="1"/>
    </w:tblPr>
    <w:tblGrid>
      <w:gridCol w:w="9749"/>
    </w:tblGrid>
    <w:tr w:rsidR="00CB245E" w:rsidTr="00922E89">
      <w:trPr>
        <w:cantSplit/>
      </w:trPr>
      <w:tc>
        <w:tcPr>
          <w:tcW w:w="10080" w:type="dxa"/>
          <w:tcBorders>
            <w:top w:val="nil"/>
          </w:tcBorders>
          <w:vAlign w:val="bottom"/>
        </w:tcPr>
        <w:p w:rsidR="00CB245E" w:rsidRPr="00C24B1B" w:rsidRDefault="00CB245E" w:rsidP="00922E89">
          <w:pPr>
            <w:pStyle w:val="BodyText"/>
            <w:spacing w:line="200" w:lineRule="exact"/>
            <w:rPr>
              <w:sz w:val="14"/>
            </w:rPr>
          </w:pPr>
        </w:p>
      </w:tc>
    </w:tr>
  </w:tbl>
  <w:p w:rsidR="00CB245E" w:rsidRDefault="00CB245E" w:rsidP="005D284E">
    <w:pPr>
      <w:pStyle w:val="Footer"/>
    </w:pPr>
    <w:r>
      <w:rPr>
        <w:noProof/>
      </w:rPr>
      <mc:AlternateContent>
        <mc:Choice Requires="wpg">
          <w:drawing>
            <wp:anchor distT="0" distB="0" distL="114300" distR="114300" simplePos="0" relativeHeight="251657216" behindDoc="0" locked="0" layoutInCell="1" allowOverlap="1">
              <wp:simplePos x="0" y="0"/>
              <wp:positionH relativeFrom="column">
                <wp:posOffset>-338455</wp:posOffset>
              </wp:positionH>
              <wp:positionV relativeFrom="paragraph">
                <wp:posOffset>318770</wp:posOffset>
              </wp:positionV>
              <wp:extent cx="1885950" cy="94615"/>
              <wp:effectExtent l="4445" t="4445" r="0" b="0"/>
              <wp:wrapNone/>
              <wp:docPr id="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0" cy="94615"/>
                        <a:chOff x="547" y="15148"/>
                        <a:chExt cx="2970" cy="149"/>
                      </a:xfrm>
                    </wpg:grpSpPr>
                    <wps:wsp>
                      <wps:cNvPr id="4" name="Text Box 42"/>
                      <wps:cNvSpPr txBox="1">
                        <a:spLocks noChangeArrowheads="1"/>
                      </wps:cNvSpPr>
                      <wps:spPr bwMode="auto">
                        <a:xfrm>
                          <a:off x="547" y="15148"/>
                          <a:ext cx="490"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E" w:rsidRPr="00EF5559" w:rsidRDefault="00CB245E" w:rsidP="005D284E">
                            <w:pPr>
                              <w:rPr>
                                <w:rFonts w:ascii="Bliss Pro Regular" w:hAnsi="Bliss Pro Regular"/>
                              </w:rPr>
                            </w:pPr>
                            <w:r w:rsidRPr="00EF5559">
                              <w:rPr>
                                <w:rFonts w:ascii="Bliss Pro Regular" w:hAnsi="Bliss Pro Regular" w:cs="Bliss Pro Regular"/>
                                <w:caps/>
                                <w:color w:val="828183"/>
                                <w:spacing w:val="5"/>
                                <w:sz w:val="14"/>
                                <w:szCs w:val="14"/>
                              </w:rPr>
                              <w:fldChar w:fldCharType="begin"/>
                            </w:r>
                            <w:r w:rsidRPr="00EF5559">
                              <w:rPr>
                                <w:rFonts w:ascii="Bliss Pro Regular" w:hAnsi="Bliss Pro Regular" w:cs="Bliss Pro Regular"/>
                                <w:caps/>
                                <w:color w:val="828183"/>
                                <w:spacing w:val="5"/>
                                <w:sz w:val="14"/>
                                <w:szCs w:val="14"/>
                              </w:rPr>
                              <w:instrText xml:space="preserve"> PAGE  \* Arabic  \* MERGEFORMAT </w:instrText>
                            </w:r>
                            <w:r w:rsidRPr="00EF5559">
                              <w:rPr>
                                <w:rFonts w:ascii="Bliss Pro Regular" w:hAnsi="Bliss Pro Regular" w:cs="Bliss Pro Regular"/>
                                <w:caps/>
                                <w:color w:val="828183"/>
                                <w:spacing w:val="5"/>
                                <w:sz w:val="14"/>
                                <w:szCs w:val="14"/>
                              </w:rPr>
                              <w:fldChar w:fldCharType="separate"/>
                            </w:r>
                            <w:r>
                              <w:rPr>
                                <w:rFonts w:ascii="Bliss Pro Regular" w:hAnsi="Bliss Pro Regular" w:cs="Bliss Pro Regular"/>
                                <w:caps/>
                                <w:noProof/>
                                <w:color w:val="828183"/>
                                <w:spacing w:val="5"/>
                                <w:sz w:val="14"/>
                                <w:szCs w:val="14"/>
                              </w:rPr>
                              <w:t>2</w:t>
                            </w:r>
                            <w:r w:rsidRPr="00EF5559">
                              <w:rPr>
                                <w:rFonts w:ascii="Bliss Pro Regular" w:hAnsi="Bliss Pro Regular" w:cs="Bliss Pro Regular"/>
                                <w:caps/>
                                <w:color w:val="828183"/>
                                <w:spacing w:val="5"/>
                                <w:sz w:val="14"/>
                                <w:szCs w:val="14"/>
                              </w:rPr>
                              <w:fldChar w:fldCharType="end"/>
                            </w:r>
                          </w:p>
                        </w:txbxContent>
                      </wps:txbx>
                      <wps:bodyPr rot="0" vert="horz" wrap="square" lIns="0" tIns="0" rIns="0" bIns="0" anchor="t" anchorCtr="0" upright="1">
                        <a:noAutofit/>
                      </wps:bodyPr>
                    </wps:wsp>
                    <wps:wsp>
                      <wps:cNvPr id="5" name="Text Box 43"/>
                      <wps:cNvSpPr txBox="1">
                        <a:spLocks noChangeArrowheads="1"/>
                      </wps:cNvSpPr>
                      <wps:spPr bwMode="auto">
                        <a:xfrm>
                          <a:off x="888" y="15148"/>
                          <a:ext cx="262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E" w:rsidRPr="00EF5559" w:rsidRDefault="00CB245E" w:rsidP="005D284E">
                            <w:pPr>
                              <w:pStyle w:val="FOLIO"/>
                              <w:tabs>
                                <w:tab w:val="clear" w:pos="10800"/>
                                <w:tab w:val="right" w:pos="11160"/>
                              </w:tabs>
                            </w:pPr>
                            <w:r w:rsidRPr="00EF5559">
                              <w:t>30 november 2009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0" style="position:absolute;left:0;text-align:left;margin-left:-26.65pt;margin-top:25.1pt;width:148.5pt;height:7.45pt;z-index:251657216" coordorigin="547,15148" coordsize="297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">
              <v:shapetype id="_x0000_t202" coordsize="21600,21600" o:spt="202" path="m,l,21600r21600,l21600,xe">
                <v:stroke joinstyle="miter"/>
                <v:path gradientshapeok="t" o:connecttype="rect"/>
              </v:shapetype>
              <v:shape id="Text Box 42" o:spid="_x0000_s1031" type="#_x0000_t202" style="position:absolute;left:547;top:15148;width:49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CB245E" w:rsidRPr="00EF5559" w:rsidRDefault="00CB245E" w:rsidP="005D284E">
                      <w:pPr>
                        <w:rPr>
                          <w:rFonts w:ascii="Bliss Pro Regular" w:hAnsi="Bliss Pro Regular"/>
                        </w:rPr>
                      </w:pPr>
                      <w:r w:rsidRPr="00EF5559">
                        <w:rPr>
                          <w:rFonts w:ascii="Bliss Pro Regular" w:hAnsi="Bliss Pro Regular" w:cs="Bliss Pro Regular"/>
                          <w:caps/>
                          <w:color w:val="828183"/>
                          <w:spacing w:val="5"/>
                          <w:sz w:val="14"/>
                          <w:szCs w:val="14"/>
                        </w:rPr>
                        <w:fldChar w:fldCharType="begin"/>
                      </w:r>
                      <w:r w:rsidRPr="00EF5559">
                        <w:rPr>
                          <w:rFonts w:ascii="Bliss Pro Regular" w:hAnsi="Bliss Pro Regular" w:cs="Bliss Pro Regular"/>
                          <w:caps/>
                          <w:color w:val="828183"/>
                          <w:spacing w:val="5"/>
                          <w:sz w:val="14"/>
                          <w:szCs w:val="14"/>
                        </w:rPr>
                        <w:instrText xml:space="preserve"> PAGE  \* Arabic  \* MERGEFORMAT </w:instrText>
                      </w:r>
                      <w:r w:rsidRPr="00EF5559">
                        <w:rPr>
                          <w:rFonts w:ascii="Bliss Pro Regular" w:hAnsi="Bliss Pro Regular" w:cs="Bliss Pro Regular"/>
                          <w:caps/>
                          <w:color w:val="828183"/>
                          <w:spacing w:val="5"/>
                          <w:sz w:val="14"/>
                          <w:szCs w:val="14"/>
                        </w:rPr>
                        <w:fldChar w:fldCharType="separate"/>
                      </w:r>
                      <w:r>
                        <w:rPr>
                          <w:rFonts w:ascii="Bliss Pro Regular" w:hAnsi="Bliss Pro Regular" w:cs="Bliss Pro Regular"/>
                          <w:caps/>
                          <w:noProof/>
                          <w:color w:val="828183"/>
                          <w:spacing w:val="5"/>
                          <w:sz w:val="14"/>
                          <w:szCs w:val="14"/>
                        </w:rPr>
                        <w:t>2</w:t>
                      </w:r>
                      <w:r w:rsidRPr="00EF5559">
                        <w:rPr>
                          <w:rFonts w:ascii="Bliss Pro Regular" w:hAnsi="Bliss Pro Regular" w:cs="Bliss Pro Regular"/>
                          <w:caps/>
                          <w:color w:val="828183"/>
                          <w:spacing w:val="5"/>
                          <w:sz w:val="14"/>
                          <w:szCs w:val="14"/>
                        </w:rPr>
                        <w:fldChar w:fldCharType="end"/>
                      </w:r>
                    </w:p>
                  </w:txbxContent>
                </v:textbox>
              </v:shape>
              <v:shape id="Text Box 43" o:spid="_x0000_s1032" type="#_x0000_t202" style="position:absolute;left:888;top:15148;width:262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CB245E" w:rsidRPr="00EF5559" w:rsidRDefault="00CB245E" w:rsidP="005D284E">
                      <w:pPr>
                        <w:pStyle w:val="FOLIO"/>
                        <w:tabs>
                          <w:tab w:val="clear" w:pos="10800"/>
                          <w:tab w:val="right" w:pos="11160"/>
                        </w:tabs>
                      </w:pPr>
                      <w:r w:rsidRPr="00EF5559">
                        <w:t>30 november 2009</w:t>
                      </w:r>
                    </w:p>
                  </w:txbxContent>
                </v:textbox>
              </v:shap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-347345</wp:posOffset>
              </wp:positionH>
              <wp:positionV relativeFrom="page">
                <wp:posOffset>9532620</wp:posOffset>
              </wp:positionV>
              <wp:extent cx="7086600" cy="54610"/>
              <wp:effectExtent l="0" t="0" r="4445" b="4445"/>
              <wp:wrapNone/>
              <wp:docPr id="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54610"/>
                      </a:xfrm>
                      <a:prstGeom prst="rect">
                        <a:avLst/>
                      </a:prstGeom>
                      <a:solidFill>
                        <a:srgbClr val="009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A6A69" id="Rectangle 40" o:spid="_x0000_s1026" style="position:absolute;margin-left:-27.35pt;margin-top:750.6pt;width:558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" fillcolor="#009bff" stroked="f">
              <w10:wrap anchory="page"/>
            </v:rect>
          </w:pict>
        </mc:Fallback>
      </mc:AlternateContent>
    </w:r>
    <w:r>
      <w:rPr>
        <w:noProof/>
      </w:rPr>
      <mc:AlternateContent>
        <mc:Choice Requires="wps">
          <w:drawing>
            <wp:anchor distT="0" distB="0" distL="114300" distR="114300" simplePos="0" relativeHeight="251658240" behindDoc="0" locked="1" layoutInCell="1" allowOverlap="1">
              <wp:simplePos x="0" y="0"/>
              <wp:positionH relativeFrom="column">
                <wp:posOffset>2613660</wp:posOffset>
              </wp:positionH>
              <wp:positionV relativeFrom="page">
                <wp:posOffset>9618980</wp:posOffset>
              </wp:positionV>
              <wp:extent cx="4134485" cy="94615"/>
              <wp:effectExtent l="3810" t="0" r="0" b="1905"/>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45E" w:rsidRPr="00EF5559" w:rsidRDefault="00CB245E" w:rsidP="005D284E">
                          <w:pPr>
                            <w:pStyle w:val="FOLIO"/>
                            <w:tabs>
                              <w:tab w:val="clear" w:pos="10800"/>
                              <w:tab w:val="right" w:pos="11160"/>
                            </w:tabs>
                            <w:jc w:val="right"/>
                          </w:pPr>
                          <w:r w:rsidRPr="00EF5559">
                            <w:t>T</w:t>
                          </w:r>
                          <w:r>
                            <w:t xml:space="preserve">ITLE OF DOCUMENT </w:t>
                          </w:r>
                          <w:r w:rsidRPr="00EF5559">
                            <w:t>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3" type="#_x0000_t202" style="position:absolute;left:0;text-align:left;margin-left:205.8pt;margin-top:757.4pt;width:325.55pt;height: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" filled="f" stroked="f">
              <v:textbox inset="0,0,0,0">
                <w:txbxContent>
                  <w:p w:rsidR="00CB245E" w:rsidRPr="00EF5559" w:rsidRDefault="00CB245E" w:rsidP="005D284E">
                    <w:pPr>
                      <w:pStyle w:val="FOLIO"/>
                      <w:tabs>
                        <w:tab w:val="clear" w:pos="10800"/>
                        <w:tab w:val="right" w:pos="11160"/>
                      </w:tabs>
                      <w:jc w:val="right"/>
                    </w:pPr>
                    <w:r w:rsidRPr="00EF5559">
                      <w:t>T</w:t>
                    </w:r>
                    <w:r>
                      <w:t xml:space="preserve">ITLE OF DOCUMENT </w:t>
                    </w:r>
                    <w:r w:rsidRPr="00EF5559">
                      <w:t>GOES HERE</w:t>
                    </w:r>
                  </w:p>
                </w:txbxContent>
              </v:textbox>
              <w10:wrap anchory="page"/>
              <w10:anchorlock/>
            </v:shape>
          </w:pict>
        </mc:Fallback>
      </mc:AlternateContent>
    </w:r>
  </w:p>
  <w:p w:rsidR="00CB245E" w:rsidRDefault="00CB245E" w:rsidP="005D28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shd w:val="clear" w:color="auto" w:fill="C1E7FF"/>
      <w:tblCellMar>
        <w:top w:w="187" w:type="dxa"/>
        <w:left w:w="187" w:type="dxa"/>
        <w:bottom w:w="187" w:type="dxa"/>
        <w:right w:w="187" w:type="dxa"/>
      </w:tblCellMar>
      <w:tblLook w:val="0000" w:firstRow="0" w:lastRow="0" w:firstColumn="0" w:lastColumn="0" w:noHBand="0" w:noVBand="0"/>
    </w:tblPr>
    <w:tblGrid>
      <w:gridCol w:w="9749"/>
    </w:tblGrid>
    <w:tr w:rsidR="00CB245E" w:rsidRPr="00432FFF" w:rsidTr="002B1E6C">
      <w:trPr>
        <w:trHeight w:val="2448"/>
        <w:jc w:val="center"/>
      </w:trPr>
      <w:tc>
        <w:tcPr>
          <w:tcW w:w="10814" w:type="dxa"/>
          <w:shd w:val="clear" w:color="auto" w:fill="F5F5F5" w:themeFill="background1"/>
        </w:tcPr>
        <w:p w:rsidR="00CB245E" w:rsidRPr="000A3A23" w:rsidRDefault="00CB245E" w:rsidP="00A24E6B">
          <w:pPr>
            <w:pStyle w:val="HighlightBoxHeading"/>
          </w:pPr>
          <w:r w:rsidRPr="000A3A23">
            <w:t>About Acuity Knowledge Partners</w:t>
          </w:r>
        </w:p>
        <w:p w:rsidR="00CB245E" w:rsidRPr="003B6C2C" w:rsidRDefault="00CB245E" w:rsidP="003B6C2C">
          <w:pPr>
            <w:pStyle w:val="HighlightBoxHeading"/>
            <w:spacing w:before="60" w:after="60" w:line="288" w:lineRule="auto"/>
            <w:rPr>
              <w:color w:val="212121" w:themeColor="text1"/>
              <w:sz w:val="16"/>
              <w:szCs w:val="16"/>
            </w:rPr>
          </w:pPr>
          <w:r w:rsidRPr="003B6C2C">
            <w:rPr>
              <w:color w:val="212121" w:themeColor="text1"/>
              <w:sz w:val="16"/>
              <w:szCs w:val="16"/>
            </w:rPr>
            <w:t>Acuity Knowledge Partners, formerly part of Moody’s Corporation, is a leading provider of bespoke research, analytics, staffing and technology solutions to the financial services sector.</w:t>
          </w:r>
        </w:p>
        <w:p w:rsidR="00CB245E" w:rsidRPr="003B6C2C" w:rsidRDefault="00CB245E" w:rsidP="003B6C2C">
          <w:pPr>
            <w:pStyle w:val="HighlightBoxHeading"/>
            <w:spacing w:before="60" w:after="60" w:line="288" w:lineRule="auto"/>
            <w:rPr>
              <w:color w:val="212121" w:themeColor="text1"/>
              <w:sz w:val="16"/>
              <w:szCs w:val="16"/>
            </w:rPr>
          </w:pPr>
          <w:r w:rsidRPr="003B6C2C">
            <w:rPr>
              <w:color w:val="212121" w:themeColor="text1"/>
              <w:sz w:val="16"/>
              <w:szCs w:val="16"/>
            </w:rPr>
            <w:t xml:space="preserve">Headquartered in London, Acuity Knowledge Partners has nearly two decades of transformation experience in servicing over 300 clients with a specialist workforce of over 2,500 analysts and delivery experts across its global delivery network. </w:t>
          </w:r>
        </w:p>
        <w:p w:rsidR="00CB245E" w:rsidRPr="000A3A23" w:rsidRDefault="00CB245E" w:rsidP="003B6C2C">
          <w:pPr>
            <w:pStyle w:val="HighlightBoxHeading"/>
            <w:spacing w:before="60" w:after="60" w:line="288" w:lineRule="auto"/>
            <w:rPr>
              <w:color w:val="212121" w:themeColor="text1"/>
              <w:sz w:val="16"/>
              <w:szCs w:val="16"/>
            </w:rPr>
          </w:pPr>
          <w:r w:rsidRPr="003B6C2C">
            <w:rPr>
              <w:color w:val="212121" w:themeColor="text1"/>
              <w:sz w:val="16"/>
              <w:szCs w:val="16"/>
            </w:rPr>
            <w:t xml:space="preserve">We provide our clients with unique assistance not only to innovate, implement transformation </w:t>
          </w:r>
          <w:proofErr w:type="spellStart"/>
          <w:r w:rsidRPr="003B6C2C">
            <w:rPr>
              <w:color w:val="212121" w:themeColor="text1"/>
              <w:sz w:val="16"/>
              <w:szCs w:val="16"/>
            </w:rPr>
            <w:t>programmes</w:t>
          </w:r>
          <w:proofErr w:type="spellEnd"/>
          <w:r w:rsidRPr="003B6C2C">
            <w:rPr>
              <w:color w:val="212121" w:themeColor="text1"/>
              <w:sz w:val="16"/>
              <w:szCs w:val="16"/>
            </w:rPr>
            <w:t xml:space="preserve"> and increase operational efficiency, but also to manage costs and improve their top lines.</w:t>
          </w:r>
        </w:p>
        <w:p w:rsidR="00CB245E" w:rsidRPr="000A3A23" w:rsidRDefault="00CB245E" w:rsidP="00A24E6B">
          <w:pPr>
            <w:pStyle w:val="HighlightBoxHeading"/>
            <w:spacing w:before="60" w:after="60" w:line="288" w:lineRule="auto"/>
            <w:rPr>
              <w:b/>
              <w:color w:val="212121" w:themeColor="text1"/>
              <w:sz w:val="16"/>
              <w:szCs w:val="16"/>
            </w:rPr>
          </w:pPr>
          <w:r w:rsidRPr="000A3A23">
            <w:rPr>
              <w:b/>
              <w:color w:val="212121" w:themeColor="text1"/>
              <w:sz w:val="16"/>
              <w:szCs w:val="16"/>
            </w:rPr>
            <w:t>Our expertise includes the following:</w:t>
          </w:r>
        </w:p>
        <w:p w:rsidR="00CB245E" w:rsidRPr="005A64C2" w:rsidRDefault="00CB245E" w:rsidP="003B6C2C">
          <w:pPr>
            <w:pStyle w:val="AcuityBulletsLevel1"/>
            <w:spacing w:before="40" w:after="40"/>
            <w:rPr>
              <w:sz w:val="16"/>
            </w:rPr>
          </w:pPr>
          <w:r w:rsidRPr="005A64C2">
            <w:rPr>
              <w:sz w:val="16"/>
            </w:rPr>
            <w:t>Investment Banking: origination and trading support</w:t>
          </w:r>
        </w:p>
        <w:p w:rsidR="00CB245E" w:rsidRPr="005A64C2" w:rsidRDefault="00CB245E" w:rsidP="003B6C2C">
          <w:pPr>
            <w:pStyle w:val="AcuityBulletsLevel1"/>
            <w:spacing w:before="40" w:after="40"/>
            <w:rPr>
              <w:sz w:val="16"/>
            </w:rPr>
          </w:pPr>
          <w:r w:rsidRPr="005A64C2">
            <w:rPr>
              <w:sz w:val="16"/>
            </w:rPr>
            <w:t>Investment Research support: covering all asset classes in terms of ideation, data science, and research support across the buy side and sell side</w:t>
          </w:r>
        </w:p>
        <w:p w:rsidR="00CB245E" w:rsidRPr="005A64C2" w:rsidRDefault="00CB245E" w:rsidP="003B6C2C">
          <w:pPr>
            <w:pStyle w:val="AcuityBulletsLevel1"/>
            <w:spacing w:before="40" w:after="40"/>
            <w:rPr>
              <w:sz w:val="16"/>
            </w:rPr>
          </w:pPr>
          <w:r w:rsidRPr="005A64C2">
            <w:rPr>
              <w:sz w:val="16"/>
            </w:rPr>
            <w:t xml:space="preserve">Commercial Lending support: across origination, credit assessment, underwriting, and covenant and portfolio risk for all </w:t>
          </w:r>
          <w:r>
            <w:rPr>
              <w:sz w:val="16"/>
            </w:rPr>
            <w:br/>
          </w:r>
          <w:r w:rsidRPr="005A64C2">
            <w:rPr>
              <w:sz w:val="16"/>
            </w:rPr>
            <w:t>lending types</w:t>
          </w:r>
        </w:p>
        <w:p w:rsidR="00CB245E" w:rsidRPr="005A64C2" w:rsidRDefault="00CB245E" w:rsidP="003B6C2C">
          <w:pPr>
            <w:pStyle w:val="AcuityBulletsLevel1"/>
            <w:spacing w:before="40" w:after="40"/>
            <w:rPr>
              <w:sz w:val="16"/>
            </w:rPr>
          </w:pPr>
          <w:r w:rsidRPr="005A64C2">
            <w:rPr>
              <w:sz w:val="16"/>
            </w:rPr>
            <w:t>Private Equity: origination, valuation and portfolio monitoring support</w:t>
          </w:r>
        </w:p>
        <w:p w:rsidR="00CB245E" w:rsidRPr="005A64C2" w:rsidRDefault="00CB245E" w:rsidP="003B6C2C">
          <w:pPr>
            <w:pStyle w:val="AcuityBulletsLevel1"/>
            <w:spacing w:before="40" w:after="40"/>
            <w:rPr>
              <w:sz w:val="16"/>
            </w:rPr>
          </w:pPr>
          <w:r w:rsidRPr="005A64C2">
            <w:rPr>
              <w:sz w:val="16"/>
            </w:rPr>
            <w:t>Asset Management services support: across marketing, investment research, portfolio management/optimisation, risk and compliance</w:t>
          </w:r>
        </w:p>
        <w:p w:rsidR="00CB245E" w:rsidRPr="005A64C2" w:rsidRDefault="00CB245E" w:rsidP="003B6C2C">
          <w:pPr>
            <w:pStyle w:val="AcuityBulletsLevel1"/>
            <w:spacing w:before="40" w:after="40"/>
            <w:rPr>
              <w:sz w:val="16"/>
            </w:rPr>
          </w:pPr>
          <w:r w:rsidRPr="005A64C2">
            <w:rPr>
              <w:sz w:val="16"/>
            </w:rPr>
            <w:t xml:space="preserve">Corporate and Consulting services: market and strategic research; survey work; treasury and counterparty risk support; and CEO office support, including M&amp;A, FP&amp;A and investor relations support </w:t>
          </w:r>
        </w:p>
        <w:p w:rsidR="00CB245E" w:rsidRPr="005A64C2" w:rsidRDefault="00CB245E" w:rsidP="003B6C2C">
          <w:pPr>
            <w:pStyle w:val="AcuityBulletsLevel1"/>
            <w:spacing w:before="40" w:after="40"/>
            <w:rPr>
              <w:sz w:val="16"/>
            </w:rPr>
          </w:pPr>
          <w:r w:rsidRPr="005A64C2">
            <w:rPr>
              <w:sz w:val="16"/>
            </w:rPr>
            <w:t>Compliance support: AML analytics, KYC, counterparty credit risk modelling and servicing across banks, asset managers and corporates</w:t>
          </w:r>
        </w:p>
        <w:p w:rsidR="00CB245E" w:rsidRPr="005A64C2" w:rsidRDefault="00CB245E" w:rsidP="003B6C2C">
          <w:pPr>
            <w:pStyle w:val="AcuityBulletsLevel1"/>
            <w:spacing w:before="40" w:after="40"/>
            <w:rPr>
              <w:color w:val="212121" w:themeColor="text1"/>
              <w:sz w:val="16"/>
              <w:szCs w:val="16"/>
            </w:rPr>
          </w:pPr>
          <w:r w:rsidRPr="005A64C2">
            <w:rPr>
              <w:sz w:val="16"/>
            </w:rPr>
            <w:t xml:space="preserve">Data Science: web scraping, data structuring, analytics and visualisation </w:t>
          </w:r>
          <w:r w:rsidRPr="005A64C2">
            <w:rPr>
              <w:color w:val="212121" w:themeColor="text1"/>
              <w:sz w:val="16"/>
              <w:szCs w:val="16"/>
            </w:rPr>
            <w:t>These services are supported by our proprietary suite of Business Excellence and Automation Tools (BEAT) that offer domain-specific contextual technology.</w:t>
          </w:r>
        </w:p>
        <w:p w:rsidR="00CB245E" w:rsidRPr="005A64C2" w:rsidRDefault="00CB245E" w:rsidP="005A64C2">
          <w:pPr>
            <w:pStyle w:val="HighlightBoxHeading"/>
            <w:spacing w:before="60" w:after="60" w:line="288" w:lineRule="auto"/>
            <w:rPr>
              <w:color w:val="212121" w:themeColor="text1"/>
              <w:sz w:val="16"/>
              <w:szCs w:val="16"/>
            </w:rPr>
          </w:pPr>
          <w:r w:rsidRPr="005A64C2">
            <w:rPr>
              <w:color w:val="212121" w:themeColor="text1"/>
              <w:sz w:val="16"/>
              <w:szCs w:val="16"/>
            </w:rPr>
            <w:t>These services are supported by our proprietary suite of Business Excellence and Automation Tools (BEAT) that offer domain-specific contextual technology.</w:t>
          </w:r>
        </w:p>
        <w:p w:rsidR="00CB245E" w:rsidRPr="000A3A23" w:rsidRDefault="00CB245E" w:rsidP="005A64C2">
          <w:pPr>
            <w:pStyle w:val="HighlightBoxHeading"/>
            <w:spacing w:before="60" w:after="60" w:line="288" w:lineRule="auto"/>
            <w:rPr>
              <w:color w:val="212121" w:themeColor="text1"/>
              <w:sz w:val="16"/>
              <w:szCs w:val="16"/>
            </w:rPr>
          </w:pPr>
          <w:r w:rsidRPr="005A64C2">
            <w:rPr>
              <w:color w:val="212121" w:themeColor="text1"/>
              <w:sz w:val="16"/>
              <w:szCs w:val="16"/>
            </w:rPr>
            <w:t xml:space="preserve">Acuity Knowledge Partners is assisted by </w:t>
          </w:r>
          <w:proofErr w:type="spellStart"/>
          <w:r w:rsidRPr="005A64C2">
            <w:rPr>
              <w:color w:val="212121" w:themeColor="text1"/>
              <w:sz w:val="16"/>
              <w:szCs w:val="16"/>
            </w:rPr>
            <w:t>Equistone</w:t>
          </w:r>
          <w:proofErr w:type="spellEnd"/>
          <w:r w:rsidRPr="005A64C2">
            <w:rPr>
              <w:color w:val="212121" w:themeColor="text1"/>
              <w:sz w:val="16"/>
              <w:szCs w:val="16"/>
            </w:rPr>
            <w:t xml:space="preserve"> Partners Europe, a leading private equity </w:t>
          </w:r>
          <w:proofErr w:type="spellStart"/>
          <w:r w:rsidRPr="005A64C2">
            <w:rPr>
              <w:color w:val="212121" w:themeColor="text1"/>
              <w:sz w:val="16"/>
              <w:szCs w:val="16"/>
            </w:rPr>
            <w:t>organisation</w:t>
          </w:r>
          <w:proofErr w:type="spellEnd"/>
          <w:r w:rsidRPr="005A64C2">
            <w:rPr>
              <w:color w:val="212121" w:themeColor="text1"/>
              <w:sz w:val="16"/>
              <w:szCs w:val="16"/>
            </w:rPr>
            <w:t xml:space="preserve"> that backs specialist growth businesses and management teams.</w:t>
          </w:r>
        </w:p>
        <w:p w:rsidR="00CB245E" w:rsidRPr="000A3A23" w:rsidRDefault="00CB245E" w:rsidP="00A24E6B">
          <w:pPr>
            <w:pStyle w:val="HighlightBoxHeading"/>
            <w:spacing w:before="240" w:after="0" w:line="240" w:lineRule="auto"/>
            <w:rPr>
              <w:sz w:val="20"/>
            </w:rPr>
          </w:pPr>
          <w:r w:rsidRPr="005A64C2">
            <w:rPr>
              <w:sz w:val="20"/>
            </w:rPr>
            <w:t xml:space="preserve">acuitykp.com | </w:t>
          </w:r>
          <w:hyperlink r:id="rId1" w:history="1">
            <w:r w:rsidRPr="00516C4E">
              <w:rPr>
                <w:rStyle w:val="Hyperlink"/>
                <w:sz w:val="20"/>
              </w:rPr>
              <w:t>contact@acuitykp.com</w:t>
            </w:r>
          </w:hyperlink>
          <w:r>
            <w:rPr>
              <w:sz w:val="20"/>
            </w:rPr>
            <w:t xml:space="preserve"> </w:t>
          </w:r>
        </w:p>
      </w:tc>
    </w:tr>
  </w:tbl>
  <w:p w:rsidR="00CB245E" w:rsidRDefault="00CB245E" w:rsidP="00A24E6B">
    <w:pPr>
      <w:pStyle w:val="Footer"/>
      <w:spacing w:after="480"/>
    </w:pPr>
    <w:r>
      <w:rPr>
        <w:noProof/>
      </w:rPr>
      <w:t xml:space="preserve"> </w:t>
    </w:r>
    <w:r>
      <w:rPr>
        <w:noProof/>
      </w:rPr>
      <mc:AlternateContent>
        <mc:Choice Requires="wps">
          <w:drawing>
            <wp:anchor distT="0" distB="0" distL="114300" distR="114300" simplePos="0" relativeHeight="251668480" behindDoc="0" locked="1" layoutInCell="1" allowOverlap="1" wp14:anchorId="6A363B5F" wp14:editId="3D909277">
              <wp:simplePos x="0" y="0"/>
              <wp:positionH relativeFrom="column">
                <wp:posOffset>-347345</wp:posOffset>
              </wp:positionH>
              <wp:positionV relativeFrom="page">
                <wp:posOffset>10168255</wp:posOffset>
              </wp:positionV>
              <wp:extent cx="6876288" cy="54864"/>
              <wp:effectExtent l="0" t="0" r="1270" b="254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B9185" id="Rectangle 19" o:spid="_x0000_s1026" style="position:absolute;margin-left:-27.35pt;margin-top:800.65pt;width:541.45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" fillcolor="#3949ab [3204]" stroked="f" strokeweight="1pt">
              <v:fill color2="#ff7043 [3206]" angle="90" colors="0 #3949ab;14418f #3949ab" focus="100%" type="gradient"/>
              <w10:wrap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3D2" w:rsidRDefault="00C663D2" w:rsidP="00013ACD">
      <w:pPr>
        <w:spacing w:after="0" w:line="240" w:lineRule="auto"/>
      </w:pPr>
      <w:r>
        <w:separator/>
      </w:r>
    </w:p>
  </w:footnote>
  <w:footnote w:type="continuationSeparator" w:id="0">
    <w:p w:rsidR="00C663D2" w:rsidRDefault="00C663D2" w:rsidP="00013ACD">
      <w:pPr>
        <w:spacing w:after="0" w:line="240" w:lineRule="auto"/>
      </w:pPr>
      <w:r>
        <w:continuationSeparator/>
      </w:r>
    </w:p>
  </w:footnote>
  <w:footnote w:id="1">
    <w:p w:rsidR="00CB245E" w:rsidRDefault="00CB245E" w:rsidP="0076263E">
      <w:pPr>
        <w:pStyle w:val="FootnoteText"/>
        <w:tabs>
          <w:tab w:val="left" w:pos="4860"/>
        </w:tabs>
      </w:pPr>
      <w:r>
        <w:rPr>
          <w:rStyle w:val="FootnoteReference"/>
        </w:rPr>
        <w:footnoteRef/>
      </w:r>
      <w:r>
        <w:t xml:space="preserve"> Footnote example number 1</w:t>
      </w:r>
    </w:p>
  </w:footnote>
  <w:footnote w:id="2">
    <w:p w:rsidR="00CB245E" w:rsidRDefault="00CB245E">
      <w:pPr>
        <w:pStyle w:val="FootnoteText"/>
      </w:pPr>
      <w:r>
        <w:rPr>
          <w:rStyle w:val="FootnoteReference"/>
        </w:rPr>
        <w:footnoteRef/>
      </w:r>
      <w:r>
        <w:t xml:space="preserve"> Footnote example number 3</w:t>
      </w:r>
    </w:p>
  </w:footnote>
  <w:footnote w:id="3">
    <w:p w:rsidR="00CB245E" w:rsidRDefault="00CB245E" w:rsidP="00AC6F76">
      <w:pPr>
        <w:pStyle w:val="FootnoteText"/>
        <w:tabs>
          <w:tab w:val="left" w:pos="4860"/>
        </w:tabs>
      </w:pPr>
      <w:r>
        <w:rPr>
          <w:rStyle w:val="FootnoteReference"/>
        </w:rPr>
        <w:footnoteRef/>
      </w:r>
      <w:r>
        <w:t xml:space="preserve"> Footnote example number 1</w:t>
      </w:r>
    </w:p>
  </w:footnote>
  <w:footnote w:id="4">
    <w:p w:rsidR="00CB245E" w:rsidRDefault="00CB245E" w:rsidP="00AC6F76">
      <w:pPr>
        <w:pStyle w:val="FootnoteText"/>
      </w:pPr>
      <w:r>
        <w:rPr>
          <w:rStyle w:val="FootnoteReference"/>
        </w:rPr>
        <w:footnoteRef/>
      </w:r>
      <w:r>
        <w:t xml:space="preserve"> Footnote example number 3</w:t>
      </w:r>
    </w:p>
  </w:footnote>
  <w:footnote w:id="5">
    <w:p w:rsidR="00CB245E" w:rsidRDefault="00CB245E" w:rsidP="005C5A6D">
      <w:pPr>
        <w:pStyle w:val="FootnoteText"/>
        <w:tabs>
          <w:tab w:val="left" w:pos="4860"/>
        </w:tabs>
      </w:pPr>
      <w:r>
        <w:rPr>
          <w:rStyle w:val="FootnoteReference"/>
        </w:rPr>
        <w:footnoteRef/>
      </w:r>
      <w:r>
        <w:t xml:space="preserve"> Footnote example number 1</w:t>
      </w:r>
    </w:p>
  </w:footnote>
  <w:footnote w:id="6">
    <w:p w:rsidR="00CB245E" w:rsidRDefault="00CB245E" w:rsidP="005C5A6D">
      <w:pPr>
        <w:pStyle w:val="FootnoteText"/>
      </w:pPr>
      <w:r>
        <w:rPr>
          <w:rStyle w:val="FootnoteReference"/>
        </w:rPr>
        <w:footnoteRef/>
      </w:r>
      <w:r>
        <w:t xml:space="preserve"> Footnote example number 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rsidP="00997393">
    <w:pPr>
      <w:pStyle w:val="Header"/>
      <w:spacing w:after="240"/>
      <w:rPr>
        <w:rFonts w:ascii="Bliss Pro Regular" w:hAnsi="Bliss Pro Regular"/>
      </w:rPr>
    </w:pPr>
    <w:r w:rsidRPr="00F648D4">
      <w:rPr>
        <w:rFonts w:ascii="Bliss Pro Regular" w:hAnsi="Bliss Pro Regular"/>
        <w:noProof/>
      </w:rPr>
      <mc:AlternateContent>
        <mc:Choice Requires="wps">
          <w:drawing>
            <wp:anchor distT="0" distB="0" distL="114300" distR="114300" simplePos="0" relativeHeight="251650047" behindDoc="0" locked="0" layoutInCell="1" allowOverlap="1" wp14:anchorId="17082B14" wp14:editId="2F695BEF">
              <wp:simplePos x="0" y="0"/>
              <wp:positionH relativeFrom="margin">
                <wp:posOffset>-338455</wp:posOffset>
              </wp:positionH>
              <wp:positionV relativeFrom="paragraph">
                <wp:posOffset>-109855</wp:posOffset>
              </wp:positionV>
              <wp:extent cx="6876288" cy="228600"/>
              <wp:effectExtent l="0" t="0" r="1270" b="0"/>
              <wp:wrapNone/>
              <wp:docPr id="25"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CB245E" w:rsidRPr="000A3A23" w:rsidRDefault="00CB245E"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17082B14" id="Rectangle 9" o:spid="_x0000_s1026" style="position:absolute;left:0;text-align:left;margin-left:-26.65pt;margin-top:-8.65pt;width:541.45pt;height:18pt;z-index:2516500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" fillcolor="#3949ab [3204]" stroked="f" strokeweight="1pt">
              <v:textbox>
                <w:txbxContent>
                  <w:p w:rsidR="00CB245E" w:rsidRPr="000A3A23" w:rsidRDefault="00CB245E"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Pr="00D80243" w:rsidRDefault="00CB245E" w:rsidP="00D80243">
    <w:pPr>
      <w:pStyle w:val="Header"/>
    </w:pPr>
    <w:r w:rsidRPr="00646B57">
      <w:rPr>
        <w:rFonts w:cs="Arial"/>
        <w:noProof/>
      </w:rPr>
      <mc:AlternateContent>
        <mc:Choice Requires="wps">
          <w:drawing>
            <wp:anchor distT="0" distB="0" distL="114300" distR="114300" simplePos="0" relativeHeight="251666432" behindDoc="0" locked="0" layoutInCell="1" allowOverlap="1" wp14:anchorId="554EBE2A" wp14:editId="48E22CF8">
              <wp:simplePos x="0" y="0"/>
              <wp:positionH relativeFrom="margin">
                <wp:posOffset>-343535</wp:posOffset>
              </wp:positionH>
              <wp:positionV relativeFrom="paragraph">
                <wp:posOffset>-71120</wp:posOffset>
              </wp:positionV>
              <wp:extent cx="6876288" cy="137160"/>
              <wp:effectExtent l="0" t="0" r="1270" b="0"/>
              <wp:wrapNone/>
              <wp:docPr id="16" name="Rectangle 9"/>
              <wp:cNvGraphicFramePr/>
              <a:graphic xmlns:a="http://schemas.openxmlformats.org/drawingml/2006/main">
                <a:graphicData uri="http://schemas.microsoft.com/office/word/2010/wordprocessingShape">
                  <wps:wsp>
                    <wps:cNvSpPr/>
                    <wps:spPr>
                      <a:xfrm>
                        <a:off x="0" y="0"/>
                        <a:ext cx="6876288" cy="137160"/>
                      </a:xfrm>
                      <a:prstGeom prst="rect">
                        <a:avLst/>
                      </a:prstGeom>
                      <a:gradFill>
                        <a:gsLst>
                          <a:gs pos="22000">
                            <a:schemeClr val="accent1"/>
                          </a:gs>
                          <a:gs pos="100000">
                            <a:schemeClr val="accent3"/>
                          </a:gs>
                        </a:gsLst>
                        <a:lin ang="0" scaled="1"/>
                      </a:gradFill>
                      <a:ln w="12700" cap="flat">
                        <a:no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5A8D5CB4" id="Rectangle 9" o:spid="_x0000_s1026" style="position:absolute;margin-left:-27.05pt;margin-top:-5.6pt;width:541.45pt;height:1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" fillcolor="#3949ab [3204]" stroked="f" strokeweight="1pt">
              <v:fill color2="#ff7043 [3206]" angle="90" colors="0 #3949ab;14418f #3949ab" focus="100%" type="gradient"/>
              <v:textbox inset="1.27mm,1.27mm,1.27mm,1.27mm"/>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pPr>
      <w:pStyle w:val="Header"/>
    </w:pPr>
  </w:p>
  <w:p w:rsidR="00CB245E" w:rsidRDefault="00CB245E">
    <w:pPr>
      <w:pStyle w:val="Header"/>
    </w:pPr>
    <w:r>
      <w:rPr>
        <w:noProof/>
      </w:rPr>
      <w:drawing>
        <wp:anchor distT="0" distB="0" distL="114300" distR="114300" simplePos="0" relativeHeight="251655168" behindDoc="0" locked="0" layoutInCell="1" allowOverlap="1">
          <wp:simplePos x="0" y="0"/>
          <wp:positionH relativeFrom="page">
            <wp:posOffset>347345</wp:posOffset>
          </wp:positionH>
          <wp:positionV relativeFrom="page">
            <wp:posOffset>347345</wp:posOffset>
          </wp:positionV>
          <wp:extent cx="7091680" cy="223520"/>
          <wp:effectExtent l="0" t="0" r="0" b="5080"/>
          <wp:wrapNone/>
          <wp:docPr id="26" name="Picture 26" descr="ma_banner_top_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_banner_top_ins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2235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45E" w:rsidRDefault="00CB245E">
    <w:pPr>
      <w:pStyle w:val="Header"/>
    </w:pPr>
    <w:r w:rsidRPr="00F648D4">
      <w:rPr>
        <w:rFonts w:ascii="Bliss Pro Regular" w:hAnsi="Bliss Pro Regular"/>
        <w:noProof/>
      </w:rPr>
      <mc:AlternateContent>
        <mc:Choice Requires="wps">
          <w:drawing>
            <wp:anchor distT="0" distB="0" distL="114300" distR="114300" simplePos="0" relativeHeight="251649022" behindDoc="0" locked="1" layoutInCell="1" allowOverlap="1" wp14:anchorId="37F05814" wp14:editId="1A6FD7A0">
              <wp:simplePos x="0" y="0"/>
              <wp:positionH relativeFrom="margin">
                <wp:posOffset>-338455</wp:posOffset>
              </wp:positionH>
              <wp:positionV relativeFrom="page">
                <wp:posOffset>347345</wp:posOffset>
              </wp:positionV>
              <wp:extent cx="6876288" cy="228600"/>
              <wp:effectExtent l="0" t="0" r="1270" b="0"/>
              <wp:wrapNone/>
              <wp:docPr id="12"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CB245E" w:rsidRPr="000A3A23" w:rsidRDefault="00CB245E"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37F05814" id="_x0000_s1034" style="position:absolute;left:0;text-align:left;margin-left:-26.65pt;margin-top:27.35pt;width:541.45pt;height:18pt;z-index:25164902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" fillcolor="#3949ab [3204]" stroked="f" strokeweight="1pt">
              <v:textbox>
                <w:txbxContent>
                  <w:p w:rsidR="00CB245E" w:rsidRPr="000A3A23" w:rsidRDefault="00CB245E"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D4C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26EB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546C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42F8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268E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CA9C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47C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7656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BE3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448C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4184"/>
    <w:multiLevelType w:val="hybridMultilevel"/>
    <w:tmpl w:val="270AFD6E"/>
    <w:name w:val="Proposal Bulleted List4"/>
    <w:lvl w:ilvl="0" w:tplc="B8144A98">
      <w:start w:val="1"/>
      <w:numFmt w:val="bullet"/>
      <w:pStyle w:val="AcuityBulletsLevel3"/>
      <w:lvlText w:val="–"/>
      <w:lvlJc w:val="left"/>
      <w:pPr>
        <w:ind w:left="1440" w:hanging="360"/>
      </w:pPr>
      <w:rPr>
        <w:rFonts w:ascii="Arial" w:hAnsi="Arial" w:hint="default"/>
        <w:color w:val="3949AB" w:themeColor="accent1"/>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E2777C"/>
    <w:multiLevelType w:val="hybridMultilevel"/>
    <w:tmpl w:val="6DA256D6"/>
    <w:lvl w:ilvl="0" w:tplc="4E9E5620">
      <w:start w:val="1"/>
      <w:numFmt w:val="bullet"/>
      <w:lvlText w:val="–"/>
      <w:lvlJc w:val="left"/>
      <w:pPr>
        <w:tabs>
          <w:tab w:val="num" w:pos="360"/>
        </w:tabs>
        <w:ind w:left="720" w:hanging="360"/>
      </w:pPr>
      <w:rPr>
        <w:rFonts w:ascii="Arial" w:hAnsi="Arial" w:hint="default"/>
        <w:b w:val="0"/>
        <w:i w:val="0"/>
        <w:color w:val="auto"/>
        <w:spacing w:val="0"/>
        <w:w w:val="150"/>
        <w:position w:val="1"/>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10166C"/>
    <w:multiLevelType w:val="multilevel"/>
    <w:tmpl w:val="386A8E6A"/>
    <w:lvl w:ilvl="0">
      <w:start w:val="1"/>
      <w:numFmt w:val="decimal"/>
      <w:pStyle w:val="AcuityHeadingList1"/>
      <w:lvlText w:val="%1."/>
      <w:lvlJc w:val="left"/>
      <w:pPr>
        <w:ind w:left="360" w:hanging="360"/>
      </w:pPr>
    </w:lvl>
    <w:lvl w:ilvl="1">
      <w:start w:val="1"/>
      <w:numFmt w:val="decimal"/>
      <w:pStyle w:val="AcuityHeadingList2"/>
      <w:lvlText w:val="%1.%2."/>
      <w:lvlJc w:val="left"/>
      <w:pPr>
        <w:ind w:left="792" w:hanging="432"/>
      </w:pPr>
    </w:lvl>
    <w:lvl w:ilvl="2">
      <w:start w:val="1"/>
      <w:numFmt w:val="decimal"/>
      <w:pStyle w:val="AcuityHeadingLis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041156"/>
    <w:multiLevelType w:val="multilevel"/>
    <w:tmpl w:val="FDBCA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163991"/>
    <w:multiLevelType w:val="hybridMultilevel"/>
    <w:tmpl w:val="44303C34"/>
    <w:name w:val="Proposal Bulleted List2"/>
    <w:lvl w:ilvl="0" w:tplc="0076FE4C">
      <w:start w:val="1"/>
      <w:numFmt w:val="bullet"/>
      <w:pStyle w:val="AcuityBulletsLevel1"/>
      <w:lvlText w:val=""/>
      <w:lvlJc w:val="left"/>
      <w:pPr>
        <w:ind w:left="360" w:hanging="360"/>
      </w:pPr>
      <w:rPr>
        <w:rFonts w:ascii="Wingdings" w:hAnsi="Wingdings" w:hint="default"/>
        <w:color w:val="3949AB"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748A5"/>
    <w:multiLevelType w:val="hybridMultilevel"/>
    <w:tmpl w:val="DDF827CA"/>
    <w:lvl w:ilvl="0" w:tplc="3CEA3634">
      <w:start w:val="1"/>
      <w:numFmt w:val="bullet"/>
      <w:lvlText w:val="»"/>
      <w:lvlJc w:val="left"/>
      <w:pPr>
        <w:tabs>
          <w:tab w:val="num" w:pos="360"/>
        </w:tabs>
        <w:ind w:left="360" w:hanging="360"/>
      </w:pPr>
      <w:rPr>
        <w:rFonts w:ascii="Adobe Garamond Pro" w:hAnsi="Adobe Garamond Pro" w:hint="default"/>
        <w:b w:val="0"/>
        <w:i w:val="0"/>
        <w:color w:val="009BFF"/>
        <w:spacing w:val="0"/>
        <w:w w:val="150"/>
        <w:position w:val="1"/>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545EFD"/>
    <w:multiLevelType w:val="multilevel"/>
    <w:tmpl w:val="0492BDD2"/>
    <w:lvl w:ilvl="0">
      <w:start w:val="1"/>
      <w:numFmt w:val="bullet"/>
      <w:lvlText w:val="–"/>
      <w:lvlJc w:val="left"/>
      <w:pPr>
        <w:ind w:left="1080" w:hanging="360"/>
      </w:pPr>
      <w:rPr>
        <w:rFonts w:ascii="Arial" w:hAnsi="Arial" w:hint="default"/>
        <w:color w:val="3949AB" w:themeColor="accent1"/>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429D4AE9"/>
    <w:multiLevelType w:val="hybridMultilevel"/>
    <w:tmpl w:val="0492BDD2"/>
    <w:name w:val="Proposal Bulleted List3"/>
    <w:lvl w:ilvl="0" w:tplc="18D875B0">
      <w:start w:val="1"/>
      <w:numFmt w:val="bullet"/>
      <w:pStyle w:val="AcuityBulletsLevel2"/>
      <w:lvlText w:val="–"/>
      <w:lvlJc w:val="left"/>
      <w:pPr>
        <w:ind w:left="1080" w:hanging="360"/>
      </w:pPr>
      <w:rPr>
        <w:rFonts w:ascii="Arial" w:hAnsi="Arial" w:hint="default"/>
        <w:color w:val="3949AB"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313215"/>
    <w:multiLevelType w:val="hybridMultilevel"/>
    <w:tmpl w:val="F45CF3E4"/>
    <w:name w:val="Proposal Bulleted List42"/>
    <w:lvl w:ilvl="0" w:tplc="A0C42864">
      <w:start w:val="1"/>
      <w:numFmt w:val="bullet"/>
      <w:pStyle w:val="AcuityBulletsLevel4"/>
      <w:lvlText w:val="–"/>
      <w:lvlJc w:val="left"/>
      <w:pPr>
        <w:ind w:left="1800" w:hanging="360"/>
      </w:pPr>
      <w:rPr>
        <w:rFonts w:ascii="Arial" w:hAnsi="Arial" w:hint="default"/>
        <w:color w:val="3949AB" w:themeColor="accent1"/>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EA742D0"/>
    <w:multiLevelType w:val="multilevel"/>
    <w:tmpl w:val="C582C6B4"/>
    <w:name w:val="Proposal Bulleted List"/>
    <w:lvl w:ilvl="0">
      <w:start w:val="1"/>
      <w:numFmt w:val="bullet"/>
      <w:lvlText w:val="»"/>
      <w:lvlJc w:val="left"/>
      <w:pPr>
        <w:tabs>
          <w:tab w:val="num" w:pos="360"/>
        </w:tabs>
        <w:ind w:left="360" w:hanging="360"/>
      </w:pPr>
      <w:rPr>
        <w:rFonts w:ascii="Bliss Pro ExtraLight" w:hAnsi="Bliss Pro ExtraLight" w:hint="default"/>
        <w:b w:val="0"/>
        <w:i w:val="0"/>
        <w:color w:val="009BFF"/>
        <w:spacing w:val="0"/>
        <w:w w:val="150"/>
        <w:position w:val="1"/>
        <w:sz w:val="20"/>
        <w:szCs w:val="20"/>
      </w:rPr>
    </w:lvl>
    <w:lvl w:ilvl="1">
      <w:start w:val="1"/>
      <w:numFmt w:val="bullet"/>
      <w:lvlText w:val="–"/>
      <w:lvlJc w:val="left"/>
      <w:pPr>
        <w:tabs>
          <w:tab w:val="num" w:pos="720"/>
        </w:tabs>
        <w:ind w:left="720" w:hanging="360"/>
      </w:pPr>
      <w:rPr>
        <w:rFonts w:ascii="Bliss Pro ExtraLight" w:hAnsi="Bliss Pro ExtraLight" w:hint="default"/>
        <w:color w:val="000000"/>
      </w:rPr>
    </w:lvl>
    <w:lvl w:ilvl="2">
      <w:start w:val="1"/>
      <w:numFmt w:val="bullet"/>
      <w:lvlText w:val="»"/>
      <w:lvlJc w:val="left"/>
      <w:pPr>
        <w:tabs>
          <w:tab w:val="num" w:pos="1080"/>
        </w:tabs>
        <w:ind w:left="1080" w:hanging="360"/>
      </w:pPr>
      <w:rPr>
        <w:rFonts w:ascii="Bliss Pro ExtraLight" w:hAnsi="Bliss Pro ExtraLight" w:hint="default"/>
        <w:b w:val="0"/>
        <w:i w:val="0"/>
        <w:color w:val="009BFF"/>
        <w:sz w:val="16"/>
      </w:rPr>
    </w:lvl>
    <w:lvl w:ilvl="3">
      <w:start w:val="1"/>
      <w:numFmt w:val="bullet"/>
      <w:lvlText w:val="–"/>
      <w:lvlJc w:val="left"/>
      <w:pPr>
        <w:tabs>
          <w:tab w:val="num"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15"/>
    <w:lvlOverride w:ilvl="0">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 w:numId="16">
    <w:abstractNumId w:val="19"/>
  </w:num>
  <w:num w:numId="17">
    <w:abstractNumId w:val="14"/>
  </w:num>
  <w:num w:numId="18">
    <w:abstractNumId w:val="17"/>
  </w:num>
  <w:num w:numId="19">
    <w:abstractNumId w:val="10"/>
  </w:num>
  <w:num w:numId="20">
    <w:abstractNumId w:val="18"/>
  </w:num>
  <w:num w:numId="21">
    <w:abstractNumId w:val="16"/>
  </w:num>
  <w:num w:numId="22">
    <w:abstractNumId w:val="14"/>
  </w:num>
  <w:num w:numId="23">
    <w:abstractNumId w:val="1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o:colormru v:ext="edit" colors="#009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31"/>
    <w:rsid w:val="00000EF0"/>
    <w:rsid w:val="0000169E"/>
    <w:rsid w:val="00005890"/>
    <w:rsid w:val="00006FC7"/>
    <w:rsid w:val="00013ACD"/>
    <w:rsid w:val="00020377"/>
    <w:rsid w:val="000243F5"/>
    <w:rsid w:val="0002443C"/>
    <w:rsid w:val="000356AD"/>
    <w:rsid w:val="00042F53"/>
    <w:rsid w:val="000443FD"/>
    <w:rsid w:val="00050BE2"/>
    <w:rsid w:val="00060174"/>
    <w:rsid w:val="0006134E"/>
    <w:rsid w:val="00065166"/>
    <w:rsid w:val="00071E73"/>
    <w:rsid w:val="00075E88"/>
    <w:rsid w:val="00075ECB"/>
    <w:rsid w:val="00083A6E"/>
    <w:rsid w:val="0008759A"/>
    <w:rsid w:val="000A3A23"/>
    <w:rsid w:val="000C0D48"/>
    <w:rsid w:val="000C2EC2"/>
    <w:rsid w:val="000D29E6"/>
    <w:rsid w:val="000E27D5"/>
    <w:rsid w:val="000F3F38"/>
    <w:rsid w:val="000F4722"/>
    <w:rsid w:val="0010315D"/>
    <w:rsid w:val="00106393"/>
    <w:rsid w:val="0010701E"/>
    <w:rsid w:val="00112666"/>
    <w:rsid w:val="00115975"/>
    <w:rsid w:val="001173EB"/>
    <w:rsid w:val="001270F4"/>
    <w:rsid w:val="00130AAC"/>
    <w:rsid w:val="00132B94"/>
    <w:rsid w:val="001339FC"/>
    <w:rsid w:val="00137CB9"/>
    <w:rsid w:val="0014293E"/>
    <w:rsid w:val="0014370F"/>
    <w:rsid w:val="001443FD"/>
    <w:rsid w:val="00144903"/>
    <w:rsid w:val="001458A7"/>
    <w:rsid w:val="00157271"/>
    <w:rsid w:val="00161386"/>
    <w:rsid w:val="001745C0"/>
    <w:rsid w:val="00176BE5"/>
    <w:rsid w:val="00181781"/>
    <w:rsid w:val="001818DA"/>
    <w:rsid w:val="00184576"/>
    <w:rsid w:val="0018499B"/>
    <w:rsid w:val="00190539"/>
    <w:rsid w:val="0019268F"/>
    <w:rsid w:val="00192DFC"/>
    <w:rsid w:val="00197324"/>
    <w:rsid w:val="001A4F48"/>
    <w:rsid w:val="001A675C"/>
    <w:rsid w:val="001A7767"/>
    <w:rsid w:val="001B4A04"/>
    <w:rsid w:val="001B6EC7"/>
    <w:rsid w:val="001C0882"/>
    <w:rsid w:val="001C1A8D"/>
    <w:rsid w:val="001C2B14"/>
    <w:rsid w:val="001D0061"/>
    <w:rsid w:val="001D7FB4"/>
    <w:rsid w:val="001E185C"/>
    <w:rsid w:val="001E48A6"/>
    <w:rsid w:val="001E49BE"/>
    <w:rsid w:val="001E7058"/>
    <w:rsid w:val="001F0307"/>
    <w:rsid w:val="001F547B"/>
    <w:rsid w:val="00206BC4"/>
    <w:rsid w:val="00210F5E"/>
    <w:rsid w:val="00225325"/>
    <w:rsid w:val="00230209"/>
    <w:rsid w:val="00231970"/>
    <w:rsid w:val="00243349"/>
    <w:rsid w:val="002501ED"/>
    <w:rsid w:val="00252EFA"/>
    <w:rsid w:val="0025321B"/>
    <w:rsid w:val="00257480"/>
    <w:rsid w:val="00263857"/>
    <w:rsid w:val="00265751"/>
    <w:rsid w:val="00280EFC"/>
    <w:rsid w:val="00282FCD"/>
    <w:rsid w:val="00285E2A"/>
    <w:rsid w:val="00290B33"/>
    <w:rsid w:val="00290BA5"/>
    <w:rsid w:val="00297657"/>
    <w:rsid w:val="002B1E6C"/>
    <w:rsid w:val="002B51BF"/>
    <w:rsid w:val="002C381A"/>
    <w:rsid w:val="002C6766"/>
    <w:rsid w:val="002D0495"/>
    <w:rsid w:val="002D63AE"/>
    <w:rsid w:val="002E0401"/>
    <w:rsid w:val="002E170B"/>
    <w:rsid w:val="002E66C5"/>
    <w:rsid w:val="002F1C2F"/>
    <w:rsid w:val="002F78FD"/>
    <w:rsid w:val="003015DE"/>
    <w:rsid w:val="003016D5"/>
    <w:rsid w:val="00311137"/>
    <w:rsid w:val="00314AAC"/>
    <w:rsid w:val="003155EF"/>
    <w:rsid w:val="00316C0A"/>
    <w:rsid w:val="00324249"/>
    <w:rsid w:val="00334537"/>
    <w:rsid w:val="00335954"/>
    <w:rsid w:val="00341525"/>
    <w:rsid w:val="00344EC1"/>
    <w:rsid w:val="00361E51"/>
    <w:rsid w:val="003741C1"/>
    <w:rsid w:val="003754E8"/>
    <w:rsid w:val="00380F33"/>
    <w:rsid w:val="00381404"/>
    <w:rsid w:val="00382337"/>
    <w:rsid w:val="003846BD"/>
    <w:rsid w:val="003855F6"/>
    <w:rsid w:val="00386DB9"/>
    <w:rsid w:val="00387870"/>
    <w:rsid w:val="00393BA1"/>
    <w:rsid w:val="00393BE0"/>
    <w:rsid w:val="003951C9"/>
    <w:rsid w:val="003979D6"/>
    <w:rsid w:val="003B13A1"/>
    <w:rsid w:val="003B1501"/>
    <w:rsid w:val="003B2B0E"/>
    <w:rsid w:val="003B56AB"/>
    <w:rsid w:val="003B6030"/>
    <w:rsid w:val="003B69B9"/>
    <w:rsid w:val="003B6C2C"/>
    <w:rsid w:val="003C2FEA"/>
    <w:rsid w:val="003C64B4"/>
    <w:rsid w:val="003C7426"/>
    <w:rsid w:val="003D5566"/>
    <w:rsid w:val="003E05E9"/>
    <w:rsid w:val="003E697A"/>
    <w:rsid w:val="003E7472"/>
    <w:rsid w:val="003E7BD9"/>
    <w:rsid w:val="003F49B0"/>
    <w:rsid w:val="00401726"/>
    <w:rsid w:val="00402252"/>
    <w:rsid w:val="004214CA"/>
    <w:rsid w:val="004251D0"/>
    <w:rsid w:val="00432431"/>
    <w:rsid w:val="00432918"/>
    <w:rsid w:val="00432981"/>
    <w:rsid w:val="00432FFF"/>
    <w:rsid w:val="004353BE"/>
    <w:rsid w:val="004420AF"/>
    <w:rsid w:val="004536C4"/>
    <w:rsid w:val="00453915"/>
    <w:rsid w:val="0045792C"/>
    <w:rsid w:val="00462377"/>
    <w:rsid w:val="00462B53"/>
    <w:rsid w:val="0046683C"/>
    <w:rsid w:val="00467BD5"/>
    <w:rsid w:val="00470860"/>
    <w:rsid w:val="00480746"/>
    <w:rsid w:val="00481205"/>
    <w:rsid w:val="00481E33"/>
    <w:rsid w:val="00485D5F"/>
    <w:rsid w:val="004944FD"/>
    <w:rsid w:val="004A642A"/>
    <w:rsid w:val="004B7127"/>
    <w:rsid w:val="004C6243"/>
    <w:rsid w:val="004D244D"/>
    <w:rsid w:val="004D3876"/>
    <w:rsid w:val="004D51AD"/>
    <w:rsid w:val="004E4A69"/>
    <w:rsid w:val="004E5853"/>
    <w:rsid w:val="004E597D"/>
    <w:rsid w:val="004E7DA4"/>
    <w:rsid w:val="004F0B3F"/>
    <w:rsid w:val="004F12C7"/>
    <w:rsid w:val="004F7766"/>
    <w:rsid w:val="00512815"/>
    <w:rsid w:val="00530A51"/>
    <w:rsid w:val="0053453E"/>
    <w:rsid w:val="0053708E"/>
    <w:rsid w:val="00541E1F"/>
    <w:rsid w:val="005422D3"/>
    <w:rsid w:val="00543608"/>
    <w:rsid w:val="00563951"/>
    <w:rsid w:val="005756E5"/>
    <w:rsid w:val="005768AE"/>
    <w:rsid w:val="00576EDC"/>
    <w:rsid w:val="005A1F35"/>
    <w:rsid w:val="005A228D"/>
    <w:rsid w:val="005A64C2"/>
    <w:rsid w:val="005B1699"/>
    <w:rsid w:val="005C5A6D"/>
    <w:rsid w:val="005D284E"/>
    <w:rsid w:val="005D2BFE"/>
    <w:rsid w:val="005D7F4B"/>
    <w:rsid w:val="005E0FC5"/>
    <w:rsid w:val="005E1A31"/>
    <w:rsid w:val="005E67AC"/>
    <w:rsid w:val="005E7C29"/>
    <w:rsid w:val="005F4267"/>
    <w:rsid w:val="005F76E5"/>
    <w:rsid w:val="00606B8F"/>
    <w:rsid w:val="006177A4"/>
    <w:rsid w:val="0063291E"/>
    <w:rsid w:val="00632C35"/>
    <w:rsid w:val="006350D4"/>
    <w:rsid w:val="006375C6"/>
    <w:rsid w:val="0065352B"/>
    <w:rsid w:val="00663776"/>
    <w:rsid w:val="00663B4D"/>
    <w:rsid w:val="00664EA2"/>
    <w:rsid w:val="00675A2D"/>
    <w:rsid w:val="0067633D"/>
    <w:rsid w:val="00681161"/>
    <w:rsid w:val="006820A1"/>
    <w:rsid w:val="00683F45"/>
    <w:rsid w:val="0068733D"/>
    <w:rsid w:val="00692A75"/>
    <w:rsid w:val="00694DC4"/>
    <w:rsid w:val="006A584B"/>
    <w:rsid w:val="006A687D"/>
    <w:rsid w:val="006B7119"/>
    <w:rsid w:val="006C3BFF"/>
    <w:rsid w:val="006C5263"/>
    <w:rsid w:val="006C6229"/>
    <w:rsid w:val="006D193C"/>
    <w:rsid w:val="006D35DE"/>
    <w:rsid w:val="006D4E21"/>
    <w:rsid w:val="006E4DAC"/>
    <w:rsid w:val="006E5859"/>
    <w:rsid w:val="006E6C28"/>
    <w:rsid w:val="006F17B7"/>
    <w:rsid w:val="00701A0D"/>
    <w:rsid w:val="007030FF"/>
    <w:rsid w:val="00703EB1"/>
    <w:rsid w:val="00705203"/>
    <w:rsid w:val="00715EAD"/>
    <w:rsid w:val="00733161"/>
    <w:rsid w:val="00735BB7"/>
    <w:rsid w:val="00735D9C"/>
    <w:rsid w:val="00740D11"/>
    <w:rsid w:val="00740D5F"/>
    <w:rsid w:val="00745469"/>
    <w:rsid w:val="007464A0"/>
    <w:rsid w:val="00751DC5"/>
    <w:rsid w:val="0076263E"/>
    <w:rsid w:val="00764F4F"/>
    <w:rsid w:val="007749DD"/>
    <w:rsid w:val="007758A7"/>
    <w:rsid w:val="00784C1B"/>
    <w:rsid w:val="00790F82"/>
    <w:rsid w:val="007912EA"/>
    <w:rsid w:val="007A418A"/>
    <w:rsid w:val="007B20B5"/>
    <w:rsid w:val="007C3093"/>
    <w:rsid w:val="007C33F9"/>
    <w:rsid w:val="007C3EE3"/>
    <w:rsid w:val="007C65F9"/>
    <w:rsid w:val="007D670D"/>
    <w:rsid w:val="007E5230"/>
    <w:rsid w:val="007E5C74"/>
    <w:rsid w:val="007E60DF"/>
    <w:rsid w:val="007E6454"/>
    <w:rsid w:val="007F0C75"/>
    <w:rsid w:val="007F6408"/>
    <w:rsid w:val="007F7648"/>
    <w:rsid w:val="00812DB8"/>
    <w:rsid w:val="00813245"/>
    <w:rsid w:val="00813497"/>
    <w:rsid w:val="0081609B"/>
    <w:rsid w:val="00827CA9"/>
    <w:rsid w:val="00830799"/>
    <w:rsid w:val="00830C42"/>
    <w:rsid w:val="00832B92"/>
    <w:rsid w:val="00842E61"/>
    <w:rsid w:val="00851E9D"/>
    <w:rsid w:val="008550A8"/>
    <w:rsid w:val="0086032F"/>
    <w:rsid w:val="00862FF5"/>
    <w:rsid w:val="00863AF2"/>
    <w:rsid w:val="008653CC"/>
    <w:rsid w:val="008760F9"/>
    <w:rsid w:val="00876645"/>
    <w:rsid w:val="00877EE8"/>
    <w:rsid w:val="00877F0E"/>
    <w:rsid w:val="00881BE5"/>
    <w:rsid w:val="008823E4"/>
    <w:rsid w:val="0088304C"/>
    <w:rsid w:val="00883DDA"/>
    <w:rsid w:val="00892A67"/>
    <w:rsid w:val="00895353"/>
    <w:rsid w:val="008B44EB"/>
    <w:rsid w:val="008B642B"/>
    <w:rsid w:val="008C3FC6"/>
    <w:rsid w:val="008C6DC3"/>
    <w:rsid w:val="008C73C9"/>
    <w:rsid w:val="008D4028"/>
    <w:rsid w:val="008D4566"/>
    <w:rsid w:val="008E558C"/>
    <w:rsid w:val="008E7AAA"/>
    <w:rsid w:val="008F2B65"/>
    <w:rsid w:val="008F33E2"/>
    <w:rsid w:val="008F37CE"/>
    <w:rsid w:val="008F6160"/>
    <w:rsid w:val="008F7BC1"/>
    <w:rsid w:val="00905EDB"/>
    <w:rsid w:val="00913388"/>
    <w:rsid w:val="009140F3"/>
    <w:rsid w:val="00915D00"/>
    <w:rsid w:val="009203FF"/>
    <w:rsid w:val="00922E89"/>
    <w:rsid w:val="00923566"/>
    <w:rsid w:val="00930F7A"/>
    <w:rsid w:val="00931827"/>
    <w:rsid w:val="0093274B"/>
    <w:rsid w:val="00937216"/>
    <w:rsid w:val="009375FC"/>
    <w:rsid w:val="009509EB"/>
    <w:rsid w:val="00951052"/>
    <w:rsid w:val="00962D85"/>
    <w:rsid w:val="00966E94"/>
    <w:rsid w:val="00967032"/>
    <w:rsid w:val="009715E0"/>
    <w:rsid w:val="00971DF6"/>
    <w:rsid w:val="00973971"/>
    <w:rsid w:val="0097686C"/>
    <w:rsid w:val="00976E3D"/>
    <w:rsid w:val="00982C1B"/>
    <w:rsid w:val="00990DDA"/>
    <w:rsid w:val="009913C7"/>
    <w:rsid w:val="00997393"/>
    <w:rsid w:val="009A2982"/>
    <w:rsid w:val="009A5A1B"/>
    <w:rsid w:val="009B0EA6"/>
    <w:rsid w:val="009B144C"/>
    <w:rsid w:val="009B3362"/>
    <w:rsid w:val="009B537F"/>
    <w:rsid w:val="009B70C7"/>
    <w:rsid w:val="009C1B62"/>
    <w:rsid w:val="009C4CF4"/>
    <w:rsid w:val="009D4541"/>
    <w:rsid w:val="009D66E5"/>
    <w:rsid w:val="009F10EA"/>
    <w:rsid w:val="009F5CF3"/>
    <w:rsid w:val="009F61C0"/>
    <w:rsid w:val="009F7366"/>
    <w:rsid w:val="00A042B3"/>
    <w:rsid w:val="00A0620A"/>
    <w:rsid w:val="00A12A13"/>
    <w:rsid w:val="00A12B21"/>
    <w:rsid w:val="00A14F32"/>
    <w:rsid w:val="00A155E4"/>
    <w:rsid w:val="00A219C9"/>
    <w:rsid w:val="00A24E6B"/>
    <w:rsid w:val="00A261C8"/>
    <w:rsid w:val="00A4115B"/>
    <w:rsid w:val="00A455D7"/>
    <w:rsid w:val="00A46EB4"/>
    <w:rsid w:val="00A63B2D"/>
    <w:rsid w:val="00A6615A"/>
    <w:rsid w:val="00A70DFE"/>
    <w:rsid w:val="00A7441A"/>
    <w:rsid w:val="00A75270"/>
    <w:rsid w:val="00A75893"/>
    <w:rsid w:val="00A76F87"/>
    <w:rsid w:val="00A937C6"/>
    <w:rsid w:val="00A93849"/>
    <w:rsid w:val="00A95737"/>
    <w:rsid w:val="00AA2A58"/>
    <w:rsid w:val="00AB35BF"/>
    <w:rsid w:val="00AB5014"/>
    <w:rsid w:val="00AC6F76"/>
    <w:rsid w:val="00AE2255"/>
    <w:rsid w:val="00AE7702"/>
    <w:rsid w:val="00AF0281"/>
    <w:rsid w:val="00AF2FDA"/>
    <w:rsid w:val="00AF53C9"/>
    <w:rsid w:val="00AF723F"/>
    <w:rsid w:val="00AF78F5"/>
    <w:rsid w:val="00B0215D"/>
    <w:rsid w:val="00B02A3E"/>
    <w:rsid w:val="00B05314"/>
    <w:rsid w:val="00B07B87"/>
    <w:rsid w:val="00B11B00"/>
    <w:rsid w:val="00B12E2D"/>
    <w:rsid w:val="00B156D4"/>
    <w:rsid w:val="00B21B55"/>
    <w:rsid w:val="00B2516F"/>
    <w:rsid w:val="00B33A7E"/>
    <w:rsid w:val="00B41F70"/>
    <w:rsid w:val="00B450AC"/>
    <w:rsid w:val="00B5095B"/>
    <w:rsid w:val="00B53758"/>
    <w:rsid w:val="00B55C17"/>
    <w:rsid w:val="00B663FE"/>
    <w:rsid w:val="00B671AA"/>
    <w:rsid w:val="00B71A1A"/>
    <w:rsid w:val="00B86496"/>
    <w:rsid w:val="00B91ACE"/>
    <w:rsid w:val="00B941DD"/>
    <w:rsid w:val="00B95A84"/>
    <w:rsid w:val="00BA1B7B"/>
    <w:rsid w:val="00BA2241"/>
    <w:rsid w:val="00BA61E4"/>
    <w:rsid w:val="00BB2568"/>
    <w:rsid w:val="00BC5418"/>
    <w:rsid w:val="00BD348B"/>
    <w:rsid w:val="00BD6250"/>
    <w:rsid w:val="00BE4977"/>
    <w:rsid w:val="00BF2D8B"/>
    <w:rsid w:val="00BF4682"/>
    <w:rsid w:val="00C00450"/>
    <w:rsid w:val="00C00C76"/>
    <w:rsid w:val="00C038D3"/>
    <w:rsid w:val="00C201CA"/>
    <w:rsid w:val="00C24370"/>
    <w:rsid w:val="00C24B1B"/>
    <w:rsid w:val="00C25748"/>
    <w:rsid w:val="00C2738A"/>
    <w:rsid w:val="00C30348"/>
    <w:rsid w:val="00C3118B"/>
    <w:rsid w:val="00C37A43"/>
    <w:rsid w:val="00C40327"/>
    <w:rsid w:val="00C43900"/>
    <w:rsid w:val="00C44952"/>
    <w:rsid w:val="00C4581F"/>
    <w:rsid w:val="00C540A3"/>
    <w:rsid w:val="00C5488A"/>
    <w:rsid w:val="00C663D2"/>
    <w:rsid w:val="00C72CAF"/>
    <w:rsid w:val="00C81398"/>
    <w:rsid w:val="00C81D03"/>
    <w:rsid w:val="00C8461B"/>
    <w:rsid w:val="00C8585C"/>
    <w:rsid w:val="00C91278"/>
    <w:rsid w:val="00C93998"/>
    <w:rsid w:val="00C96BCA"/>
    <w:rsid w:val="00C974A2"/>
    <w:rsid w:val="00CA0115"/>
    <w:rsid w:val="00CA641B"/>
    <w:rsid w:val="00CB245E"/>
    <w:rsid w:val="00CC4F2A"/>
    <w:rsid w:val="00CD3915"/>
    <w:rsid w:val="00CD5593"/>
    <w:rsid w:val="00CD6034"/>
    <w:rsid w:val="00CE7E7E"/>
    <w:rsid w:val="00CF223F"/>
    <w:rsid w:val="00CF2921"/>
    <w:rsid w:val="00D04829"/>
    <w:rsid w:val="00D074FC"/>
    <w:rsid w:val="00D122B8"/>
    <w:rsid w:val="00D1415E"/>
    <w:rsid w:val="00D14741"/>
    <w:rsid w:val="00D24FB5"/>
    <w:rsid w:val="00D251B9"/>
    <w:rsid w:val="00D41F6B"/>
    <w:rsid w:val="00D431B6"/>
    <w:rsid w:val="00D45D96"/>
    <w:rsid w:val="00D464F4"/>
    <w:rsid w:val="00D46ED1"/>
    <w:rsid w:val="00D54F37"/>
    <w:rsid w:val="00D63642"/>
    <w:rsid w:val="00D63919"/>
    <w:rsid w:val="00D73A38"/>
    <w:rsid w:val="00D77BBC"/>
    <w:rsid w:val="00D80243"/>
    <w:rsid w:val="00D81116"/>
    <w:rsid w:val="00D825FB"/>
    <w:rsid w:val="00D86CD5"/>
    <w:rsid w:val="00D90603"/>
    <w:rsid w:val="00D941CA"/>
    <w:rsid w:val="00DA079E"/>
    <w:rsid w:val="00DA3D5A"/>
    <w:rsid w:val="00DA503D"/>
    <w:rsid w:val="00DB2DF8"/>
    <w:rsid w:val="00DB5270"/>
    <w:rsid w:val="00DC0D19"/>
    <w:rsid w:val="00DC7907"/>
    <w:rsid w:val="00DD2F08"/>
    <w:rsid w:val="00DD6EA4"/>
    <w:rsid w:val="00DE4B97"/>
    <w:rsid w:val="00DE4CF2"/>
    <w:rsid w:val="00DE51B6"/>
    <w:rsid w:val="00DE7795"/>
    <w:rsid w:val="00DE7F08"/>
    <w:rsid w:val="00DF3341"/>
    <w:rsid w:val="00DF56EA"/>
    <w:rsid w:val="00E02987"/>
    <w:rsid w:val="00E02B65"/>
    <w:rsid w:val="00E122F7"/>
    <w:rsid w:val="00E22386"/>
    <w:rsid w:val="00E25D73"/>
    <w:rsid w:val="00E273EE"/>
    <w:rsid w:val="00E35917"/>
    <w:rsid w:val="00E36DDF"/>
    <w:rsid w:val="00E40636"/>
    <w:rsid w:val="00E5271C"/>
    <w:rsid w:val="00E54EB6"/>
    <w:rsid w:val="00E5502A"/>
    <w:rsid w:val="00E6029B"/>
    <w:rsid w:val="00E650A5"/>
    <w:rsid w:val="00E66544"/>
    <w:rsid w:val="00E80884"/>
    <w:rsid w:val="00E83AE9"/>
    <w:rsid w:val="00EC0B8B"/>
    <w:rsid w:val="00EC0ED3"/>
    <w:rsid w:val="00EC256B"/>
    <w:rsid w:val="00EC29D5"/>
    <w:rsid w:val="00EC5D9E"/>
    <w:rsid w:val="00ED330E"/>
    <w:rsid w:val="00ED60F5"/>
    <w:rsid w:val="00EE4324"/>
    <w:rsid w:val="00EF5559"/>
    <w:rsid w:val="00EF63F5"/>
    <w:rsid w:val="00F07FC6"/>
    <w:rsid w:val="00F11C57"/>
    <w:rsid w:val="00F22ED7"/>
    <w:rsid w:val="00F32DD8"/>
    <w:rsid w:val="00F3480B"/>
    <w:rsid w:val="00F35390"/>
    <w:rsid w:val="00F35801"/>
    <w:rsid w:val="00F3592F"/>
    <w:rsid w:val="00F35DE6"/>
    <w:rsid w:val="00F3654C"/>
    <w:rsid w:val="00F371DD"/>
    <w:rsid w:val="00F3744F"/>
    <w:rsid w:val="00F42520"/>
    <w:rsid w:val="00F435B3"/>
    <w:rsid w:val="00F43C63"/>
    <w:rsid w:val="00F51958"/>
    <w:rsid w:val="00F54875"/>
    <w:rsid w:val="00F56ADB"/>
    <w:rsid w:val="00F61C2E"/>
    <w:rsid w:val="00F629D2"/>
    <w:rsid w:val="00F646BA"/>
    <w:rsid w:val="00F70030"/>
    <w:rsid w:val="00F71087"/>
    <w:rsid w:val="00F73DDC"/>
    <w:rsid w:val="00F74602"/>
    <w:rsid w:val="00F80FA0"/>
    <w:rsid w:val="00F816A1"/>
    <w:rsid w:val="00F8360B"/>
    <w:rsid w:val="00F9351F"/>
    <w:rsid w:val="00F93CF4"/>
    <w:rsid w:val="00F97264"/>
    <w:rsid w:val="00FA1C3E"/>
    <w:rsid w:val="00FA58DE"/>
    <w:rsid w:val="00FB656E"/>
    <w:rsid w:val="00FC17D1"/>
    <w:rsid w:val="00FC25A8"/>
    <w:rsid w:val="00FD5993"/>
    <w:rsid w:val="00FD6B98"/>
    <w:rsid w:val="00FE0387"/>
    <w:rsid w:val="00FE35A5"/>
    <w:rsid w:val="00FE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9bff"/>
    </o:shapedefaults>
    <o:shapelayout v:ext="edit">
      <o:idmap v:ext="edit" data="1"/>
    </o:shapelayout>
  </w:shapeDefaults>
  <w:decimalSymbol w:val="."/>
  <w:listSeparator w:val=","/>
  <w14:docId w14:val="710E63FF"/>
  <w15:docId w15:val="{2B4E40A0-5AE7-4DB5-8E16-267FD70C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32F"/>
    <w:pPr>
      <w:spacing w:before="120" w:after="120" w:line="276" w:lineRule="auto"/>
      <w:jc w:val="both"/>
    </w:pPr>
    <w:rPr>
      <w:rFonts w:ascii="Arial" w:hAnsi="Arial"/>
      <w:sz w:val="18"/>
      <w:szCs w:val="22"/>
    </w:rPr>
  </w:style>
  <w:style w:type="paragraph" w:styleId="Heading1">
    <w:name w:val="heading 1"/>
    <w:basedOn w:val="CoverContactLineAbove"/>
    <w:next w:val="BodyText"/>
    <w:link w:val="Heading1Char"/>
    <w:uiPriority w:val="9"/>
    <w:rsid w:val="0086032F"/>
    <w:pPr>
      <w:framePr w:hSpace="0" w:wrap="auto" w:vAnchor="margin" w:yAlign="inline"/>
      <w:spacing w:before="60"/>
      <w:outlineLvl w:val="0"/>
    </w:pPr>
    <w:rPr>
      <w:sz w:val="28"/>
    </w:rPr>
  </w:style>
  <w:style w:type="paragraph" w:styleId="Heading2">
    <w:name w:val="heading 2"/>
    <w:basedOn w:val="Normal"/>
    <w:next w:val="BodyText"/>
    <w:link w:val="Heading2Char"/>
    <w:uiPriority w:val="9"/>
    <w:unhideWhenUsed/>
    <w:rsid w:val="00930F7A"/>
    <w:pPr>
      <w:spacing w:before="320" w:line="230" w:lineRule="auto"/>
      <w:outlineLvl w:val="1"/>
    </w:pPr>
    <w:rPr>
      <w:rFonts w:eastAsia="Times New Roman"/>
      <w:color w:val="0028A0"/>
      <w:sz w:val="22"/>
      <w:szCs w:val="21"/>
    </w:rPr>
  </w:style>
  <w:style w:type="paragraph" w:styleId="Heading3">
    <w:name w:val="heading 3"/>
    <w:basedOn w:val="Normal"/>
    <w:next w:val="BodyText"/>
    <w:link w:val="Heading3Char"/>
    <w:uiPriority w:val="9"/>
    <w:unhideWhenUsed/>
    <w:rsid w:val="007749DD"/>
    <w:pPr>
      <w:spacing w:before="320" w:line="230" w:lineRule="auto"/>
      <w:outlineLvl w:val="2"/>
    </w:pPr>
    <w:rPr>
      <w:rFonts w:eastAsia="Times New Roman"/>
      <w:b/>
      <w:noProof/>
      <w:szCs w:val="21"/>
      <w:lang w:val="la-La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ontactLineAbove">
    <w:name w:val="Cover Contact (Line Above)"/>
    <w:basedOn w:val="CoverContactText"/>
    <w:rsid w:val="0045792C"/>
    <w:pPr>
      <w:framePr w:wrap="around"/>
      <w:spacing w:after="180"/>
    </w:pPr>
    <w:rPr>
      <w:rFonts w:ascii="Arial" w:hAnsi="Arial"/>
      <w:color w:val="3949AB" w:themeColor="accent1"/>
      <w:sz w:val="24"/>
      <w:szCs w:val="24"/>
    </w:rPr>
  </w:style>
  <w:style w:type="paragraph" w:customStyle="1" w:styleId="CoverContactText">
    <w:name w:val="Cover Contact Text"/>
    <w:basedOn w:val="Normal"/>
    <w:uiPriority w:val="99"/>
    <w:rsid w:val="00E22386"/>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BodyText">
    <w:name w:val="Body Text"/>
    <w:basedOn w:val="Normal"/>
    <w:link w:val="BodyTextChar"/>
    <w:rsid w:val="0086032F"/>
    <w:pPr>
      <w:spacing w:after="240" w:line="288" w:lineRule="auto"/>
    </w:pPr>
    <w:rPr>
      <w:rFonts w:eastAsia="Times New Roman"/>
    </w:rPr>
  </w:style>
  <w:style w:type="character" w:customStyle="1" w:styleId="BodyTextChar">
    <w:name w:val="Body Text Char"/>
    <w:basedOn w:val="DefaultParagraphFont"/>
    <w:link w:val="BodyText"/>
    <w:rsid w:val="0086032F"/>
    <w:rPr>
      <w:rFonts w:ascii="Arial" w:eastAsia="Times New Roman" w:hAnsi="Arial"/>
      <w:sz w:val="18"/>
      <w:szCs w:val="22"/>
    </w:rPr>
  </w:style>
  <w:style w:type="character" w:customStyle="1" w:styleId="Heading1Char">
    <w:name w:val="Heading 1 Char"/>
    <w:basedOn w:val="DefaultParagraphFont"/>
    <w:link w:val="Heading1"/>
    <w:uiPriority w:val="9"/>
    <w:rsid w:val="0086032F"/>
    <w:rPr>
      <w:rFonts w:ascii="Arial" w:hAnsi="Arial" w:cs="Bliss Pro Light"/>
      <w:color w:val="3949AB" w:themeColor="accent1"/>
      <w:sz w:val="28"/>
      <w:szCs w:val="24"/>
    </w:rPr>
  </w:style>
  <w:style w:type="character" w:customStyle="1" w:styleId="Heading2Char">
    <w:name w:val="Heading 2 Char"/>
    <w:basedOn w:val="DefaultParagraphFont"/>
    <w:link w:val="Heading2"/>
    <w:uiPriority w:val="9"/>
    <w:rsid w:val="00930F7A"/>
    <w:rPr>
      <w:rFonts w:ascii="Arial" w:eastAsia="Times New Roman" w:hAnsi="Arial"/>
      <w:color w:val="0028A0"/>
      <w:sz w:val="22"/>
      <w:szCs w:val="21"/>
    </w:rPr>
  </w:style>
  <w:style w:type="character" w:customStyle="1" w:styleId="Heading3Char">
    <w:name w:val="Heading 3 Char"/>
    <w:basedOn w:val="DefaultParagraphFont"/>
    <w:link w:val="Heading3"/>
    <w:uiPriority w:val="9"/>
    <w:rsid w:val="007749DD"/>
    <w:rPr>
      <w:rFonts w:ascii="Arial" w:eastAsia="Times New Roman" w:hAnsi="Arial"/>
      <w:b/>
      <w:noProof/>
      <w:szCs w:val="21"/>
      <w:lang w:val="la-Latn"/>
    </w:rPr>
  </w:style>
  <w:style w:type="paragraph" w:styleId="Header">
    <w:name w:val="header"/>
    <w:basedOn w:val="Normal"/>
    <w:link w:val="HeaderChar"/>
    <w:uiPriority w:val="99"/>
    <w:unhideWhenUsed/>
    <w:rsid w:val="00930F7A"/>
    <w:pPr>
      <w:tabs>
        <w:tab w:val="center" w:pos="4680"/>
        <w:tab w:val="right" w:pos="9360"/>
      </w:tabs>
    </w:pPr>
  </w:style>
  <w:style w:type="character" w:customStyle="1" w:styleId="HeaderChar">
    <w:name w:val="Header Char"/>
    <w:basedOn w:val="DefaultParagraphFont"/>
    <w:link w:val="Header"/>
    <w:uiPriority w:val="99"/>
    <w:rsid w:val="00930F7A"/>
    <w:rPr>
      <w:rFonts w:ascii="Arial" w:hAnsi="Arial"/>
      <w:szCs w:val="22"/>
    </w:rPr>
  </w:style>
  <w:style w:type="paragraph" w:styleId="Footer">
    <w:name w:val="footer"/>
    <w:basedOn w:val="Normal"/>
    <w:link w:val="FooterChar"/>
    <w:uiPriority w:val="99"/>
    <w:unhideWhenUsed/>
    <w:rsid w:val="00930F7A"/>
    <w:pPr>
      <w:tabs>
        <w:tab w:val="center" w:pos="4680"/>
        <w:tab w:val="right" w:pos="9360"/>
      </w:tabs>
    </w:pPr>
  </w:style>
  <w:style w:type="character" w:customStyle="1" w:styleId="FooterChar">
    <w:name w:val="Footer Char"/>
    <w:basedOn w:val="DefaultParagraphFont"/>
    <w:link w:val="Footer"/>
    <w:uiPriority w:val="99"/>
    <w:rsid w:val="00930F7A"/>
    <w:rPr>
      <w:rFonts w:ascii="Arial" w:hAnsi="Arial"/>
      <w:szCs w:val="22"/>
    </w:rPr>
  </w:style>
  <w:style w:type="paragraph" w:customStyle="1" w:styleId="CoverDateLineBelow">
    <w:name w:val="Cover Date (Line Below)"/>
    <w:basedOn w:val="Normal"/>
    <w:uiPriority w:val="99"/>
    <w:rsid w:val="0086032F"/>
    <w:pPr>
      <w:tabs>
        <w:tab w:val="left" w:pos="240"/>
      </w:tabs>
      <w:suppressAutoHyphens/>
      <w:autoSpaceDE w:val="0"/>
      <w:autoSpaceDN w:val="0"/>
      <w:adjustRightInd w:val="0"/>
      <w:spacing w:after="40" w:line="288" w:lineRule="auto"/>
      <w:textAlignment w:val="center"/>
    </w:pPr>
    <w:rPr>
      <w:rFonts w:cs="Bliss Pro ExtraLight"/>
      <w:caps/>
      <w:color w:val="000000"/>
      <w:spacing w:val="14"/>
      <w:szCs w:val="24"/>
    </w:rPr>
  </w:style>
  <w:style w:type="paragraph" w:customStyle="1" w:styleId="CoverLegalText">
    <w:name w:val="Cover Legal Text"/>
    <w:basedOn w:val="Normal"/>
    <w:qFormat/>
    <w:rsid w:val="00930F7A"/>
    <w:pPr>
      <w:spacing w:line="200" w:lineRule="exact"/>
    </w:pPr>
    <w:rPr>
      <w:sz w:val="14"/>
      <w:szCs w:val="14"/>
    </w:rPr>
  </w:style>
  <w:style w:type="paragraph" w:customStyle="1" w:styleId="CoverTitle">
    <w:name w:val="Cover Title"/>
    <w:basedOn w:val="Normal"/>
    <w:uiPriority w:val="99"/>
    <w:rsid w:val="00387870"/>
    <w:pPr>
      <w:tabs>
        <w:tab w:val="left" w:pos="240"/>
      </w:tabs>
      <w:suppressAutoHyphens/>
      <w:autoSpaceDE w:val="0"/>
      <w:autoSpaceDN w:val="0"/>
      <w:adjustRightInd w:val="0"/>
      <w:spacing w:after="360" w:line="640" w:lineRule="atLeast"/>
      <w:textAlignment w:val="center"/>
    </w:pPr>
    <w:rPr>
      <w:rFonts w:cs="Bliss Pro ExtraLight"/>
      <w:color w:val="1A237E"/>
      <w:sz w:val="60"/>
      <w:szCs w:val="60"/>
    </w:rPr>
  </w:style>
  <w:style w:type="paragraph" w:customStyle="1" w:styleId="CoverPreparedFor">
    <w:name w:val="Cover &quot;Prepared For&quot;"/>
    <w:basedOn w:val="Normal"/>
    <w:uiPriority w:val="99"/>
    <w:rsid w:val="0086032F"/>
    <w:pPr>
      <w:tabs>
        <w:tab w:val="left" w:pos="240"/>
      </w:tabs>
      <w:suppressAutoHyphens/>
      <w:autoSpaceDE w:val="0"/>
      <w:autoSpaceDN w:val="0"/>
      <w:adjustRightInd w:val="0"/>
      <w:spacing w:after="0" w:line="288" w:lineRule="auto"/>
      <w:textAlignment w:val="center"/>
    </w:pPr>
    <w:rPr>
      <w:rFonts w:cs="Bliss Pro ExtraLight"/>
      <w:iCs/>
      <w:caps/>
      <w:color w:val="616161" w:themeColor="text2"/>
      <w:sz w:val="24"/>
      <w:szCs w:val="36"/>
    </w:rPr>
  </w:style>
  <w:style w:type="paragraph" w:customStyle="1" w:styleId="FOLIO">
    <w:name w:val="FOLIO"/>
    <w:basedOn w:val="Normal"/>
    <w:uiPriority w:val="99"/>
    <w:rsid w:val="00930F7A"/>
    <w:pPr>
      <w:tabs>
        <w:tab w:val="left" w:pos="360"/>
        <w:tab w:val="right" w:pos="10800"/>
      </w:tabs>
      <w:autoSpaceDE w:val="0"/>
      <w:autoSpaceDN w:val="0"/>
      <w:adjustRightInd w:val="0"/>
      <w:spacing w:after="0" w:line="180" w:lineRule="atLeast"/>
      <w:textAlignment w:val="center"/>
    </w:pPr>
    <w:rPr>
      <w:rFonts w:cs="Bliss Pro Regular"/>
      <w:caps/>
      <w:color w:val="828183"/>
      <w:spacing w:val="5"/>
      <w:sz w:val="14"/>
      <w:szCs w:val="14"/>
    </w:rPr>
  </w:style>
  <w:style w:type="paragraph" w:styleId="FootnoteText">
    <w:name w:val="footnote text"/>
    <w:basedOn w:val="Normal"/>
    <w:link w:val="FootnoteTextChar"/>
    <w:semiHidden/>
    <w:unhideWhenUsed/>
    <w:rsid w:val="004F0B3F"/>
    <w:pPr>
      <w:spacing w:after="60" w:line="240" w:lineRule="auto"/>
    </w:pPr>
    <w:rPr>
      <w:sz w:val="16"/>
      <w:szCs w:val="20"/>
    </w:rPr>
  </w:style>
  <w:style w:type="character" w:customStyle="1" w:styleId="FootnoteTextChar">
    <w:name w:val="Footnote Text Char"/>
    <w:basedOn w:val="DefaultParagraphFont"/>
    <w:link w:val="FootnoteText"/>
    <w:semiHidden/>
    <w:rsid w:val="004F0B3F"/>
    <w:rPr>
      <w:rFonts w:ascii="Bliss Pro ExtraLight" w:hAnsi="Bliss Pro ExtraLight"/>
      <w:sz w:val="16"/>
    </w:rPr>
  </w:style>
  <w:style w:type="table" w:styleId="TableGrid">
    <w:name w:val="Table Grid"/>
    <w:basedOn w:val="TableNormal"/>
    <w:rsid w:val="00F746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930F7A"/>
    <w:pPr>
      <w:tabs>
        <w:tab w:val="right" w:leader="dot" w:pos="9729"/>
      </w:tabs>
      <w:spacing w:line="240" w:lineRule="auto"/>
    </w:pPr>
    <w:rPr>
      <w:noProof/>
      <w:sz w:val="22"/>
    </w:rPr>
  </w:style>
  <w:style w:type="character" w:styleId="FootnoteReference">
    <w:name w:val="footnote reference"/>
    <w:basedOn w:val="DefaultParagraphFont"/>
    <w:semiHidden/>
    <w:unhideWhenUsed/>
    <w:rsid w:val="0076263E"/>
    <w:rPr>
      <w:vertAlign w:val="superscript"/>
    </w:rPr>
  </w:style>
  <w:style w:type="paragraph" w:styleId="TOC2">
    <w:name w:val="toc 2"/>
    <w:basedOn w:val="Normal"/>
    <w:next w:val="Normal"/>
    <w:autoRedefine/>
    <w:uiPriority w:val="39"/>
    <w:unhideWhenUsed/>
    <w:rsid w:val="00930F7A"/>
    <w:pPr>
      <w:spacing w:line="240" w:lineRule="auto"/>
      <w:ind w:left="202"/>
    </w:pPr>
    <w:rPr>
      <w:sz w:val="22"/>
    </w:rPr>
  </w:style>
  <w:style w:type="paragraph" w:styleId="TOC3">
    <w:name w:val="toc 3"/>
    <w:basedOn w:val="Normal"/>
    <w:next w:val="Normal"/>
    <w:autoRedefine/>
    <w:uiPriority w:val="39"/>
    <w:unhideWhenUsed/>
    <w:rsid w:val="005F76E5"/>
    <w:pPr>
      <w:spacing w:line="240" w:lineRule="auto"/>
      <w:ind w:left="403"/>
    </w:pPr>
  </w:style>
  <w:style w:type="character" w:styleId="Hyperlink">
    <w:name w:val="Hyperlink"/>
    <w:basedOn w:val="DefaultParagraphFont"/>
    <w:uiPriority w:val="99"/>
    <w:unhideWhenUsed/>
    <w:rsid w:val="00930F7A"/>
    <w:rPr>
      <w:rFonts w:ascii="Arial" w:hAnsi="Arial"/>
      <w:color w:val="0000FF"/>
      <w:u w:val="single"/>
    </w:rPr>
  </w:style>
  <w:style w:type="paragraph" w:customStyle="1" w:styleId="TableColumnHeadingRightAlign">
    <w:name w:val="Table Column Heading Right Align"/>
    <w:basedOn w:val="Normal"/>
    <w:link w:val="TableColumnHeadingRightAlignChar"/>
    <w:rsid w:val="003B6C2C"/>
    <w:pPr>
      <w:keepNext/>
      <w:spacing w:before="0" w:after="0" w:line="240" w:lineRule="auto"/>
      <w:jc w:val="right"/>
    </w:pPr>
    <w:rPr>
      <w:rFonts w:eastAsia="Times New Roman"/>
      <w:color w:val="3949AB" w:themeColor="accent1"/>
      <w:szCs w:val="19"/>
    </w:rPr>
  </w:style>
  <w:style w:type="character" w:customStyle="1" w:styleId="TableColumnHeadingRightAlignChar">
    <w:name w:val="Table Column Heading Right Align Char"/>
    <w:basedOn w:val="DefaultParagraphFont"/>
    <w:link w:val="TableColumnHeadingRightAlign"/>
    <w:rsid w:val="003B6C2C"/>
    <w:rPr>
      <w:rFonts w:ascii="Arial" w:eastAsia="Times New Roman" w:hAnsi="Arial"/>
      <w:color w:val="3949AB" w:themeColor="accent1"/>
      <w:sz w:val="18"/>
      <w:szCs w:val="19"/>
    </w:rPr>
  </w:style>
  <w:style w:type="paragraph" w:customStyle="1" w:styleId="TableColumnHeadingLeftAlign">
    <w:name w:val="Table Column Heading Left Align"/>
    <w:basedOn w:val="TableColumnHeadingRightAlign"/>
    <w:rsid w:val="003B6C2C"/>
    <w:pPr>
      <w:jc w:val="left"/>
    </w:pPr>
  </w:style>
  <w:style w:type="paragraph" w:customStyle="1" w:styleId="TableDataItem">
    <w:name w:val="Table Data Item"/>
    <w:basedOn w:val="Normal"/>
    <w:rsid w:val="003B6C2C"/>
    <w:pPr>
      <w:spacing w:before="0" w:after="0" w:line="240" w:lineRule="auto"/>
    </w:pPr>
    <w:rPr>
      <w:rFonts w:eastAsia="Times New Roman"/>
      <w:sz w:val="16"/>
      <w:szCs w:val="19"/>
    </w:rPr>
  </w:style>
  <w:style w:type="paragraph" w:customStyle="1" w:styleId="TableDataItemRight">
    <w:name w:val="Table Data Item Right"/>
    <w:basedOn w:val="Normal"/>
    <w:rsid w:val="003B6C2C"/>
    <w:pPr>
      <w:spacing w:before="0" w:after="0" w:line="240" w:lineRule="auto"/>
      <w:jc w:val="right"/>
    </w:pPr>
    <w:rPr>
      <w:rFonts w:eastAsia="Times New Roman"/>
      <w:sz w:val="16"/>
      <w:szCs w:val="19"/>
    </w:rPr>
  </w:style>
  <w:style w:type="paragraph" w:customStyle="1" w:styleId="TABLEHeading1">
    <w:name w:val="TABLE Heading 1"/>
    <w:basedOn w:val="Normal"/>
    <w:rsid w:val="007749DD"/>
    <w:pPr>
      <w:spacing w:line="240" w:lineRule="auto"/>
    </w:pPr>
    <w:rPr>
      <w:rFonts w:eastAsia="Times New Roman"/>
      <w:b/>
      <w:color w:val="212121" w:themeColor="text1"/>
      <w:szCs w:val="20"/>
    </w:rPr>
  </w:style>
  <w:style w:type="paragraph" w:customStyle="1" w:styleId="TableSpaceBefore">
    <w:name w:val="Table # Space Before"/>
    <w:basedOn w:val="Normal"/>
    <w:next w:val="Subtitle"/>
    <w:rsid w:val="0086032F"/>
    <w:pPr>
      <w:pBdr>
        <w:bottom w:val="single" w:sz="2" w:space="1" w:color="auto"/>
      </w:pBdr>
      <w:spacing w:before="480" w:after="60" w:line="230" w:lineRule="auto"/>
    </w:pPr>
    <w:rPr>
      <w:rFonts w:eastAsia="Times New Roman"/>
      <w:caps/>
      <w:szCs w:val="14"/>
    </w:rPr>
  </w:style>
  <w:style w:type="paragraph" w:styleId="Subtitle">
    <w:name w:val="Subtitle"/>
    <w:basedOn w:val="Normal"/>
    <w:next w:val="Normal"/>
    <w:link w:val="SubtitleChar"/>
    <w:uiPriority w:val="11"/>
    <w:qFormat/>
    <w:rsid w:val="007749DD"/>
    <w:pPr>
      <w:spacing w:after="60"/>
      <w:outlineLvl w:val="1"/>
    </w:pPr>
    <w:rPr>
      <w:rFonts w:eastAsia="Times New Roman"/>
      <w:sz w:val="24"/>
      <w:szCs w:val="24"/>
    </w:rPr>
  </w:style>
  <w:style w:type="character" w:customStyle="1" w:styleId="SubtitleChar">
    <w:name w:val="Subtitle Char"/>
    <w:basedOn w:val="DefaultParagraphFont"/>
    <w:link w:val="Subtitle"/>
    <w:uiPriority w:val="11"/>
    <w:rsid w:val="007749DD"/>
    <w:rPr>
      <w:rFonts w:ascii="Arial" w:eastAsia="Times New Roman" w:hAnsi="Arial"/>
      <w:sz w:val="24"/>
      <w:szCs w:val="24"/>
    </w:rPr>
  </w:style>
  <w:style w:type="paragraph" w:styleId="TOCHeading">
    <w:name w:val="TOC Heading"/>
    <w:basedOn w:val="Normal"/>
    <w:next w:val="Normal"/>
    <w:uiPriority w:val="39"/>
    <w:unhideWhenUsed/>
    <w:rsid w:val="007749DD"/>
    <w:pPr>
      <w:keepNext/>
      <w:pBdr>
        <w:top w:val="single" w:sz="2" w:space="1" w:color="212121" w:themeColor="text1"/>
      </w:pBdr>
      <w:spacing w:before="1680" w:after="260" w:line="240" w:lineRule="auto"/>
    </w:pPr>
    <w:rPr>
      <w:rFonts w:eastAsia="Times New Roman"/>
      <w:color w:val="3949AB" w:themeColor="accent1"/>
      <w:sz w:val="30"/>
      <w:szCs w:val="24"/>
    </w:rPr>
  </w:style>
  <w:style w:type="paragraph" w:customStyle="1" w:styleId="HighlightBoxHeading">
    <w:name w:val="Highlight Box Heading"/>
    <w:basedOn w:val="Normal"/>
    <w:next w:val="Normal"/>
    <w:rsid w:val="000A3A23"/>
    <w:pPr>
      <w:keepNext/>
      <w:spacing w:after="240" w:line="230" w:lineRule="auto"/>
      <w:ind w:left="-29"/>
    </w:pPr>
    <w:rPr>
      <w:rFonts w:eastAsia="Times New Roman"/>
      <w:color w:val="3949AB" w:themeColor="accent1"/>
      <w:sz w:val="36"/>
      <w:szCs w:val="28"/>
    </w:rPr>
  </w:style>
  <w:style w:type="paragraph" w:customStyle="1" w:styleId="AcuityHeadingList1">
    <w:name w:val="Acuity Heading (List) 1"/>
    <w:basedOn w:val="BodyText"/>
    <w:rsid w:val="00930F7A"/>
    <w:pPr>
      <w:numPr>
        <w:numId w:val="14"/>
      </w:numPr>
    </w:pPr>
    <w:rPr>
      <w:lang w:val="en-GB"/>
    </w:rPr>
  </w:style>
  <w:style w:type="paragraph" w:customStyle="1" w:styleId="AcuityHeadingList2">
    <w:name w:val="Acuity Heading (List) 2"/>
    <w:basedOn w:val="BodyText"/>
    <w:rsid w:val="00930F7A"/>
    <w:pPr>
      <w:numPr>
        <w:ilvl w:val="1"/>
        <w:numId w:val="14"/>
      </w:numPr>
    </w:pPr>
    <w:rPr>
      <w:lang w:val="en-GB"/>
    </w:rPr>
  </w:style>
  <w:style w:type="paragraph" w:customStyle="1" w:styleId="AcuityHeadingList3">
    <w:name w:val="Acuity Heading (List) 3"/>
    <w:basedOn w:val="BodyText"/>
    <w:rsid w:val="00930F7A"/>
    <w:pPr>
      <w:numPr>
        <w:ilvl w:val="2"/>
        <w:numId w:val="14"/>
      </w:numPr>
    </w:pPr>
    <w:rPr>
      <w:lang w:val="en-GB"/>
    </w:rPr>
  </w:style>
  <w:style w:type="paragraph" w:customStyle="1" w:styleId="AcuityBulletsLevel1">
    <w:name w:val="Acuity Bullets Level 1"/>
    <w:basedOn w:val="Normal"/>
    <w:rsid w:val="00E273EE"/>
    <w:pPr>
      <w:numPr>
        <w:numId w:val="17"/>
      </w:numPr>
      <w:spacing w:line="288" w:lineRule="auto"/>
    </w:pPr>
    <w:rPr>
      <w:rFonts w:eastAsia="Times New Roman"/>
      <w:lang w:val="en-GB"/>
    </w:rPr>
  </w:style>
  <w:style w:type="paragraph" w:customStyle="1" w:styleId="AcuityBulletsLevel2">
    <w:name w:val="Acuity Bullets Level 2"/>
    <w:basedOn w:val="Normal"/>
    <w:rsid w:val="00E273EE"/>
    <w:pPr>
      <w:numPr>
        <w:numId w:val="18"/>
      </w:numPr>
      <w:spacing w:line="288" w:lineRule="auto"/>
      <w:ind w:left="720"/>
    </w:pPr>
    <w:rPr>
      <w:rFonts w:eastAsia="Times New Roman"/>
      <w:lang w:val="en-GB"/>
    </w:rPr>
  </w:style>
  <w:style w:type="paragraph" w:customStyle="1" w:styleId="AcuityBulletsLevel3">
    <w:name w:val="Acuity Bullets Level 3"/>
    <w:basedOn w:val="Normal"/>
    <w:rsid w:val="00E273EE"/>
    <w:pPr>
      <w:numPr>
        <w:numId w:val="19"/>
      </w:numPr>
      <w:spacing w:after="200" w:line="288" w:lineRule="auto"/>
      <w:ind w:left="1080"/>
    </w:pPr>
    <w:rPr>
      <w:rFonts w:eastAsia="Times New Roman"/>
      <w:szCs w:val="18"/>
      <w:lang w:val="en-GB"/>
    </w:rPr>
  </w:style>
  <w:style w:type="paragraph" w:customStyle="1" w:styleId="AcuityBulletsLevel4">
    <w:name w:val="Acuity Bullets Level 4"/>
    <w:basedOn w:val="Normal"/>
    <w:rsid w:val="00E273EE"/>
    <w:pPr>
      <w:numPr>
        <w:numId w:val="20"/>
      </w:numPr>
      <w:spacing w:line="288" w:lineRule="auto"/>
      <w:ind w:left="1440"/>
    </w:pPr>
    <w:rPr>
      <w:rFonts w:eastAsia="Times New Roman"/>
      <w:szCs w:val="18"/>
      <w:lang w:val="en-GB"/>
    </w:rPr>
  </w:style>
  <w:style w:type="paragraph" w:styleId="ListParagraph">
    <w:name w:val="List Paragraph"/>
    <w:basedOn w:val="Normal"/>
    <w:uiPriority w:val="34"/>
    <w:qFormat/>
    <w:rsid w:val="00CB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1347">
      <w:bodyDiv w:val="1"/>
      <w:marLeft w:val="0"/>
      <w:marRight w:val="0"/>
      <w:marTop w:val="0"/>
      <w:marBottom w:val="0"/>
      <w:divBdr>
        <w:top w:val="none" w:sz="0" w:space="0" w:color="auto"/>
        <w:left w:val="none" w:sz="0" w:space="0" w:color="auto"/>
        <w:bottom w:val="none" w:sz="0" w:space="0" w:color="auto"/>
        <w:right w:val="none" w:sz="0" w:space="0" w:color="auto"/>
      </w:divBdr>
    </w:div>
    <w:div w:id="15139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mordorintelligence.com/industry-reports/wearable-technology-market"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hyperlink" Target="mailto:contact@acuitykp.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502\Desktop\New%20Moodys%20Template%202017\WORD%20TEMPLATE\Radhika%20Rao%20_%2027112017\MA%20Proposal%20Template%20(A4)_2017.dotx" TargetMode="External"/></Relationships>
</file>

<file path=word/theme/theme1.xml><?xml version="1.0" encoding="utf-8"?>
<a:theme xmlns:a="http://schemas.openxmlformats.org/drawingml/2006/main" name="Acuity">
  <a:themeElements>
    <a:clrScheme name="Acuity_Color">
      <a:dk1>
        <a:srgbClr val="212121"/>
      </a:dk1>
      <a:lt1>
        <a:srgbClr val="F5F5F5"/>
      </a:lt1>
      <a:dk2>
        <a:srgbClr val="616161"/>
      </a:dk2>
      <a:lt2>
        <a:srgbClr val="E0E0E0"/>
      </a:lt2>
      <a:accent1>
        <a:srgbClr val="3949AB"/>
      </a:accent1>
      <a:accent2>
        <a:srgbClr val="26C6DA"/>
      </a:accent2>
      <a:accent3>
        <a:srgbClr val="FF7043"/>
      </a:accent3>
      <a:accent4>
        <a:srgbClr val="FFC107"/>
      </a:accent4>
      <a:accent5>
        <a:srgbClr val="4CAF50"/>
      </a:accent5>
      <a:accent6>
        <a:srgbClr val="E91E63"/>
      </a:accent6>
      <a:hlink>
        <a:srgbClr val="1A237E"/>
      </a:hlink>
      <a:folHlink>
        <a:srgbClr val="E0511E"/>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KS_Theme1" id="{36CDF709-5619-4600-A9BA-CCF94618AEF6}" vid="{AF935ED9-D0D2-4473-82CE-51EEAE06D3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6F07C-D40F-4F87-9F81-AC968ABC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 Proposal Template (A4)_2017</Template>
  <TotalTime>115</TotalTime>
  <Pages>15</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Moody's | K·M·V</Company>
  <LinksUpToDate>false</LinksUpToDate>
  <CharactersWithSpaces>35945</CharactersWithSpaces>
  <SharedDoc>false</SharedDoc>
  <HLinks>
    <vt:vector size="42" baseType="variant">
      <vt:variant>
        <vt:i4>1048639</vt:i4>
      </vt:variant>
      <vt:variant>
        <vt:i4>32</vt:i4>
      </vt:variant>
      <vt:variant>
        <vt:i4>0</vt:i4>
      </vt:variant>
      <vt:variant>
        <vt:i4>5</vt:i4>
      </vt:variant>
      <vt:variant>
        <vt:lpwstr/>
      </vt:variant>
      <vt:variant>
        <vt:lpwstr>_Toc245209884</vt:lpwstr>
      </vt:variant>
      <vt:variant>
        <vt:i4>1048639</vt:i4>
      </vt:variant>
      <vt:variant>
        <vt:i4>26</vt:i4>
      </vt:variant>
      <vt:variant>
        <vt:i4>0</vt:i4>
      </vt:variant>
      <vt:variant>
        <vt:i4>5</vt:i4>
      </vt:variant>
      <vt:variant>
        <vt:lpwstr/>
      </vt:variant>
      <vt:variant>
        <vt:lpwstr>_Toc245209883</vt:lpwstr>
      </vt:variant>
      <vt:variant>
        <vt:i4>1048639</vt:i4>
      </vt:variant>
      <vt:variant>
        <vt:i4>20</vt:i4>
      </vt:variant>
      <vt:variant>
        <vt:i4>0</vt:i4>
      </vt:variant>
      <vt:variant>
        <vt:i4>5</vt:i4>
      </vt:variant>
      <vt:variant>
        <vt:lpwstr/>
      </vt:variant>
      <vt:variant>
        <vt:lpwstr>_Toc245209882</vt:lpwstr>
      </vt:variant>
      <vt:variant>
        <vt:i4>1048639</vt:i4>
      </vt:variant>
      <vt:variant>
        <vt:i4>14</vt:i4>
      </vt:variant>
      <vt:variant>
        <vt:i4>0</vt:i4>
      </vt:variant>
      <vt:variant>
        <vt:i4>5</vt:i4>
      </vt:variant>
      <vt:variant>
        <vt:lpwstr/>
      </vt:variant>
      <vt:variant>
        <vt:lpwstr>_Toc245209881</vt:lpwstr>
      </vt:variant>
      <vt:variant>
        <vt:i4>1048639</vt:i4>
      </vt:variant>
      <vt:variant>
        <vt:i4>8</vt:i4>
      </vt:variant>
      <vt:variant>
        <vt:i4>0</vt:i4>
      </vt:variant>
      <vt:variant>
        <vt:i4>5</vt:i4>
      </vt:variant>
      <vt:variant>
        <vt:lpwstr/>
      </vt:variant>
      <vt:variant>
        <vt:lpwstr>_Toc245209880</vt:lpwstr>
      </vt:variant>
      <vt:variant>
        <vt:i4>2031679</vt:i4>
      </vt:variant>
      <vt:variant>
        <vt:i4>2</vt:i4>
      </vt:variant>
      <vt:variant>
        <vt:i4>0</vt:i4>
      </vt:variant>
      <vt:variant>
        <vt:i4>5</vt:i4>
      </vt:variant>
      <vt:variant>
        <vt:lpwstr/>
      </vt:variant>
      <vt:variant>
        <vt:lpwstr>_Toc245209879</vt:lpwstr>
      </vt:variant>
      <vt:variant>
        <vt:i4>3997820</vt:i4>
      </vt:variant>
      <vt:variant>
        <vt:i4>0</vt:i4>
      </vt:variant>
      <vt:variant>
        <vt:i4>0</vt:i4>
      </vt:variant>
      <vt:variant>
        <vt:i4>5</vt:i4>
      </vt:variant>
      <vt:variant>
        <vt:lpwstr>http://www.moodysanalytics.com/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27502</dc:creator>
  <cp:lastModifiedBy>Ayush Mittal</cp:lastModifiedBy>
  <cp:revision>8</cp:revision>
  <cp:lastPrinted>2009-11-03T20:52:00Z</cp:lastPrinted>
  <dcterms:created xsi:type="dcterms:W3CDTF">2020-12-10T15:50:00Z</dcterms:created>
  <dcterms:modified xsi:type="dcterms:W3CDTF">2020-12-11T07:13:00Z</dcterms:modified>
</cp:coreProperties>
</file>