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F13A" w14:textId="77777777" w:rsidR="0043485F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UPI Fraud Detection Analytics</w:t>
      </w:r>
    </w:p>
    <w:p w14:paraId="49440B3F" w14:textId="77777777" w:rsidR="0043485F" w:rsidRDefault="00000000">
      <w:pPr>
        <w:spacing w:after="240"/>
        <w:jc w:val="center"/>
      </w:pPr>
      <w:r>
        <w:rPr>
          <w:color w:val="595959"/>
        </w:rPr>
        <w:t xml:space="preserve">Findings </w:t>
      </w:r>
      <w:proofErr w:type="gramStart"/>
      <w:r>
        <w:rPr>
          <w:color w:val="595959"/>
        </w:rPr>
        <w:t>Summary  |</w:t>
      </w:r>
      <w:proofErr w:type="gramEnd"/>
      <w:r>
        <w:rPr>
          <w:color w:val="595959"/>
        </w:rPr>
        <w:t xml:space="preserve">  Chaitanya Raj</w:t>
      </w:r>
    </w:p>
    <w:p w14:paraId="52704D2C" w14:textId="77777777" w:rsidR="0043485F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Objective</w:t>
      </w:r>
    </w:p>
    <w:p w14:paraId="394D704B" w14:textId="121F29B5" w:rsidR="0043485F" w:rsidRDefault="00000000">
      <w:pPr>
        <w:spacing w:after="160"/>
      </w:pPr>
      <w:r>
        <w:rPr>
          <w:sz w:val="21"/>
          <w:szCs w:val="21"/>
        </w:rPr>
        <w:t xml:space="preserve">This project </w:t>
      </w:r>
      <w:r w:rsidR="005422A7">
        <w:rPr>
          <w:sz w:val="21"/>
          <w:szCs w:val="21"/>
        </w:rPr>
        <w:t>analysed</w:t>
      </w:r>
      <w:r>
        <w:rPr>
          <w:sz w:val="21"/>
          <w:szCs w:val="21"/>
        </w:rPr>
        <w:t xml:space="preserve"> a 590K-row transaction dataset (IEEE-CIS Fraud Detection) to identify </w:t>
      </w:r>
      <w:r w:rsidR="005422A7">
        <w:rPr>
          <w:sz w:val="21"/>
          <w:szCs w:val="21"/>
        </w:rPr>
        <w:t>behavioural</w:t>
      </w:r>
      <w:r>
        <w:rPr>
          <w:sz w:val="21"/>
          <w:szCs w:val="21"/>
        </w:rPr>
        <w:t xml:space="preserve"> and structural patterns behind fraudulent transactions, using SQL for data preparation and Power BI for visualization. The goal was to surface actionable fraud signals — timing patterns, device/channel risk, and high-velocity transaction </w:t>
      </w:r>
      <w:r w:rsidR="005422A7">
        <w:rPr>
          <w:sz w:val="21"/>
          <w:szCs w:val="21"/>
        </w:rPr>
        <w:t>behaviour</w:t>
      </w:r>
      <w:r>
        <w:rPr>
          <w:sz w:val="21"/>
          <w:szCs w:val="21"/>
        </w:rPr>
        <w:t xml:space="preserve"> — that could inform real-time monitoring rules.</w:t>
      </w:r>
    </w:p>
    <w:p w14:paraId="6AD9C8E2" w14:textId="77777777" w:rsidR="0043485F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Key Metrics</w:t>
      </w:r>
    </w:p>
    <w:tbl>
      <w:tblPr>
        <w:tblW w:w="9360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3485F" w14:paraId="5809B1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FFC6590" w14:textId="77777777" w:rsidR="0043485F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₹4.02M</w:t>
            </w:r>
          </w:p>
          <w:p w14:paraId="50D108AC" w14:textId="77777777" w:rsidR="0043485F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Total Transaction Value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4693A2" w14:textId="77777777" w:rsidR="0043485F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181K</w:t>
            </w:r>
          </w:p>
          <w:p w14:paraId="749AB64B" w14:textId="77777777" w:rsidR="0043485F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Fraud Count (30-Day)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50529B" w14:textId="77777777" w:rsidR="0043485F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3.73%</w:t>
            </w:r>
          </w:p>
          <w:p w14:paraId="1A7DEBCA" w14:textId="77777777" w:rsidR="0043485F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Average Fraud Rate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CB5203" w14:textId="77777777" w:rsidR="0043485F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21K</w:t>
            </w:r>
          </w:p>
          <w:p w14:paraId="72162EAE" w14:textId="77777777" w:rsidR="0043485F" w:rsidRDefault="00000000">
            <w:pPr>
              <w:jc w:val="center"/>
            </w:pPr>
            <w:r>
              <w:rPr>
                <w:color w:val="595959"/>
                <w:sz w:val="16"/>
                <w:szCs w:val="16"/>
              </w:rPr>
              <w:t>Total Flagged Transactions</w:t>
            </w:r>
          </w:p>
        </w:tc>
      </w:tr>
    </w:tbl>
    <w:p w14:paraId="06DD6329" w14:textId="77777777" w:rsidR="0043485F" w:rsidRDefault="0043485F">
      <w:pPr>
        <w:spacing w:after="200"/>
      </w:pPr>
    </w:p>
    <w:p w14:paraId="7631CE65" w14:textId="77777777" w:rsidR="0043485F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Key Findings</w:t>
      </w:r>
    </w:p>
    <w:p w14:paraId="6FC7E2DD" w14:textId="77777777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Time-of-day pattern: </w:t>
      </w:r>
      <w:r>
        <w:rPr>
          <w:sz w:val="21"/>
          <w:szCs w:val="21"/>
        </w:rPr>
        <w:t>Fraud activity follows a clear time-of-day pattern, dipping through the mid-morning hours (roughly 9–11 AM) and climbing steadily through the evening, peaking around 6–8 PM — a ~2x swing in fraud volume across the day.</w:t>
      </w:r>
    </w:p>
    <w:p w14:paraId="625720F5" w14:textId="77777777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Email domain concentration: </w:t>
      </w:r>
      <w:r>
        <w:rPr>
          <w:sz w:val="21"/>
          <w:szCs w:val="21"/>
        </w:rPr>
        <w:t xml:space="preserve">gmail.com accounts for the largest single share of fraud-flagged transactions by email domain, well ahead of hotmail.com, yahoo.com, and others. Given </w:t>
      </w:r>
      <w:proofErr w:type="spellStart"/>
      <w:r>
        <w:rPr>
          <w:sz w:val="21"/>
          <w:szCs w:val="21"/>
        </w:rPr>
        <w:t>gmail.com's</w:t>
      </w:r>
      <w:proofErr w:type="spellEnd"/>
      <w:r>
        <w:rPr>
          <w:sz w:val="21"/>
          <w:szCs w:val="21"/>
        </w:rPr>
        <w:t xml:space="preserve"> high overall market share among email providers generally, this likely reflects base-rate dominance rather than gmail.com being inherently riskier — worth normalizing against overall transaction share before treating it as a standalone risk signal.</w:t>
      </w:r>
    </w:p>
    <w:p w14:paraId="43984DC4" w14:textId="77777777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Risk tier distribution: </w:t>
      </w:r>
      <w:r>
        <w:rPr>
          <w:sz w:val="21"/>
          <w:szCs w:val="21"/>
        </w:rPr>
        <w:t>Of flagged transaction volume, roughly 51.75% falls into the Critical tier, 46.97% Normal, and just 1.28% High — an unusually large Critical bucket relative to a typical fraud pyramid, suggesting the Critical/High/Normal thresholds may benefit from re-calibration in a production setting.</w:t>
      </w:r>
    </w:p>
    <w:p w14:paraId="44EC2E39" w14:textId="4501C8D1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Product category skew: </w:t>
      </w:r>
      <w:r>
        <w:rPr>
          <w:sz w:val="21"/>
          <w:szCs w:val="21"/>
        </w:rPr>
        <w:t>Two of the five anonymized product categories (</w:t>
      </w:r>
      <w:r w:rsidR="005422A7">
        <w:rPr>
          <w:sz w:val="21"/>
          <w:szCs w:val="21"/>
        </w:rPr>
        <w:t>labelled</w:t>
      </w:r>
      <w:r>
        <w:rPr>
          <w:sz w:val="21"/>
          <w:szCs w:val="21"/>
        </w:rPr>
        <w:t xml:space="preserve"> "W" and "C" in the source data) account for </w:t>
      </w:r>
      <w:proofErr w:type="gramStart"/>
      <w:r>
        <w:rPr>
          <w:sz w:val="21"/>
          <w:szCs w:val="21"/>
        </w:rPr>
        <w:t>the large majority of</w:t>
      </w:r>
      <w:proofErr w:type="gramEnd"/>
      <w:r>
        <w:rPr>
          <w:sz w:val="21"/>
          <w:szCs w:val="21"/>
        </w:rPr>
        <w:t xml:space="preserve"> fraud cases across all product types, while the remaining three (H, R, S) contribute comparatively little.</w:t>
      </w:r>
    </w:p>
    <w:p w14:paraId="33B60844" w14:textId="7FBC253E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Velocity anomalies: </w:t>
      </w:r>
      <w:r>
        <w:rPr>
          <w:sz w:val="21"/>
          <w:szCs w:val="21"/>
        </w:rPr>
        <w:t xml:space="preserve">Cards flagged for velocity anomalies average 6–7 transactions within a 10-minute window, moving an average of ~₹1,354 in total during that window — a pattern consistent with automated or rapid-fire fraudulent card testing rather than organic customer </w:t>
      </w:r>
      <w:r w:rsidR="005422A7">
        <w:rPr>
          <w:sz w:val="21"/>
          <w:szCs w:val="21"/>
        </w:rPr>
        <w:t>behaviour</w:t>
      </w:r>
      <w:r>
        <w:rPr>
          <w:sz w:val="21"/>
          <w:szCs w:val="21"/>
        </w:rPr>
        <w:t>.</w:t>
      </w:r>
    </w:p>
    <w:p w14:paraId="6967DE16" w14:textId="77777777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Overall exposure: </w:t>
      </w:r>
      <w:r>
        <w:rPr>
          <w:sz w:val="21"/>
          <w:szCs w:val="21"/>
        </w:rPr>
        <w:t>21K transactions were flagged across the dataset, against an overall average fraud rate of 3.73% — providing a manageable-sized shortlist for manual review or downstream model training.</w:t>
      </w:r>
    </w:p>
    <w:p w14:paraId="50BFD379" w14:textId="77777777" w:rsidR="0043485F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Recommendations</w:t>
      </w:r>
    </w:p>
    <w:p w14:paraId="6A20AEDB" w14:textId="77777777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Introduce time-based step-up authentication (e.g., additional OTP/verification) for transactions occurring during the identified evening peak window, when fraud volume is highest.</w:t>
      </w:r>
    </w:p>
    <w:p w14:paraId="02E108F7" w14:textId="77777777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Before treating email domain as a standalone risk feature, normalize fraud counts by each domain's overall transaction share to isolate genuine risk signal from simple popularity/base-rate effects.</w:t>
      </w:r>
    </w:p>
    <w:p w14:paraId="0E219372" w14:textId="75182584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Set a real-time velocity rule flagging any card exceeding 5 transactions within a 10-minute window for immediate secondary review, given this pattern's strong association with anomalous, non-organic </w:t>
      </w:r>
      <w:r w:rsidR="005422A7">
        <w:rPr>
          <w:sz w:val="21"/>
          <w:szCs w:val="21"/>
        </w:rPr>
        <w:t>behaviour</w:t>
      </w:r>
      <w:r>
        <w:rPr>
          <w:sz w:val="21"/>
          <w:szCs w:val="21"/>
        </w:rPr>
        <w:t>.</w:t>
      </w:r>
    </w:p>
    <w:p w14:paraId="39223A3C" w14:textId="77777777" w:rsidR="0043485F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lastRenderedPageBreak/>
        <w:t xml:space="preserve">4. </w:t>
      </w:r>
      <w:r>
        <w:rPr>
          <w:sz w:val="21"/>
          <w:szCs w:val="21"/>
        </w:rPr>
        <w:t>Re-evaluate the Critical/High/Normal tier thresholds — the current split (51.75% Critical) is unusually top-heavy for a risk pyramid and may reduce the practical usefulness of the tiering system for prioritizing review effort.</w:t>
      </w:r>
    </w:p>
    <w:p w14:paraId="7120D4A7" w14:textId="77777777" w:rsidR="0043485F" w:rsidRDefault="00000000">
      <w:pPr>
        <w:pStyle w:val="Heading1"/>
        <w:spacing w:before="240" w:after="120"/>
      </w:pPr>
      <w:r>
        <w:rPr>
          <w:b/>
          <w:bCs/>
          <w:color w:val="1F3864"/>
          <w:sz w:val="26"/>
          <w:szCs w:val="26"/>
        </w:rPr>
        <w:t>Methodology</w:t>
      </w:r>
    </w:p>
    <w:p w14:paraId="138B081A" w14:textId="77777777" w:rsidR="0043485F" w:rsidRDefault="00000000">
      <w:pPr>
        <w:spacing w:after="160"/>
      </w:pPr>
      <w:r>
        <w:rPr>
          <w:sz w:val="21"/>
          <w:szCs w:val="21"/>
        </w:rPr>
        <w:t>Data was loaded into PostgreSQL with a normalized schema (transactions, identity, and a joined view). SQL window functions and CTEs were used to compute fraud rate by device/hour, flag high-risk users (3+ fraud transactions in 30 days via LAG and date-diff logic), and detect transaction velocity anomalies (users exceeding 5 transactions within a 10-minute window). Results were exported and visualized in Power BI, including KPI summaries, a time-of-day trend, categorical breakdowns, a risk-tier distribution, and drill-down tables for critical and velocity-flagged transactions.</w:t>
      </w:r>
    </w:p>
    <w:p w14:paraId="57C2839E" w14:textId="77777777" w:rsidR="0043485F" w:rsidRDefault="00000000">
      <w:pPr>
        <w:spacing w:after="160"/>
      </w:pPr>
      <w:r>
        <w:rPr>
          <w:sz w:val="21"/>
          <w:szCs w:val="21"/>
        </w:rPr>
        <w:t xml:space="preserve">Note: the dataset's </w:t>
      </w:r>
      <w:proofErr w:type="spellStart"/>
      <w:r>
        <w:rPr>
          <w:sz w:val="21"/>
          <w:szCs w:val="21"/>
        </w:rPr>
        <w:t>ProductCD</w:t>
      </w:r>
      <w:proofErr w:type="spellEnd"/>
      <w:r>
        <w:rPr>
          <w:sz w:val="21"/>
          <w:szCs w:val="21"/>
        </w:rPr>
        <w:t xml:space="preserve"> field (categories W, C, R, H, S) is anonymized by the source provider (Vesta/IEEE-CIS) with no disclosed category definitions; this analysis treats them as opaque labels and focuses on relative fraud concentration across categories rather than interpreting what each code represents.</w:t>
      </w:r>
    </w:p>
    <w:sectPr w:rsidR="004348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2591A"/>
    <w:multiLevelType w:val="hybridMultilevel"/>
    <w:tmpl w:val="EE7E0AD4"/>
    <w:lvl w:ilvl="0" w:tplc="E158AA06">
      <w:start w:val="1"/>
      <w:numFmt w:val="bullet"/>
      <w:lvlText w:val="●"/>
      <w:lvlJc w:val="left"/>
      <w:pPr>
        <w:ind w:left="720" w:hanging="360"/>
      </w:pPr>
    </w:lvl>
    <w:lvl w:ilvl="1" w:tplc="3B188EE4">
      <w:start w:val="1"/>
      <w:numFmt w:val="bullet"/>
      <w:lvlText w:val="○"/>
      <w:lvlJc w:val="left"/>
      <w:pPr>
        <w:ind w:left="1440" w:hanging="360"/>
      </w:pPr>
    </w:lvl>
    <w:lvl w:ilvl="2" w:tplc="674C2F6A">
      <w:start w:val="1"/>
      <w:numFmt w:val="bullet"/>
      <w:lvlText w:val="■"/>
      <w:lvlJc w:val="left"/>
      <w:pPr>
        <w:ind w:left="2160" w:hanging="360"/>
      </w:pPr>
    </w:lvl>
    <w:lvl w:ilvl="3" w:tplc="718A2122">
      <w:start w:val="1"/>
      <w:numFmt w:val="bullet"/>
      <w:lvlText w:val="●"/>
      <w:lvlJc w:val="left"/>
      <w:pPr>
        <w:ind w:left="2880" w:hanging="360"/>
      </w:pPr>
    </w:lvl>
    <w:lvl w:ilvl="4" w:tplc="570E2F32">
      <w:start w:val="1"/>
      <w:numFmt w:val="bullet"/>
      <w:lvlText w:val="○"/>
      <w:lvlJc w:val="left"/>
      <w:pPr>
        <w:ind w:left="3600" w:hanging="360"/>
      </w:pPr>
    </w:lvl>
    <w:lvl w:ilvl="5" w:tplc="FD88D116">
      <w:start w:val="1"/>
      <w:numFmt w:val="bullet"/>
      <w:lvlText w:val="■"/>
      <w:lvlJc w:val="left"/>
      <w:pPr>
        <w:ind w:left="4320" w:hanging="360"/>
      </w:pPr>
    </w:lvl>
    <w:lvl w:ilvl="6" w:tplc="E4FADABE">
      <w:start w:val="1"/>
      <w:numFmt w:val="bullet"/>
      <w:lvlText w:val="●"/>
      <w:lvlJc w:val="left"/>
      <w:pPr>
        <w:ind w:left="5040" w:hanging="360"/>
      </w:pPr>
    </w:lvl>
    <w:lvl w:ilvl="7" w:tplc="3198FCF4">
      <w:start w:val="1"/>
      <w:numFmt w:val="bullet"/>
      <w:lvlText w:val="●"/>
      <w:lvlJc w:val="left"/>
      <w:pPr>
        <w:ind w:left="5760" w:hanging="360"/>
      </w:pPr>
    </w:lvl>
    <w:lvl w:ilvl="8" w:tplc="B0820732">
      <w:start w:val="1"/>
      <w:numFmt w:val="bullet"/>
      <w:lvlText w:val="●"/>
      <w:lvlJc w:val="left"/>
      <w:pPr>
        <w:ind w:left="6480" w:hanging="360"/>
      </w:pPr>
    </w:lvl>
  </w:abstractNum>
  <w:num w:numId="1" w16cid:durableId="1405103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85F"/>
    <w:rsid w:val="000E5913"/>
    <w:rsid w:val="0043485F"/>
    <w:rsid w:val="005422A7"/>
    <w:rsid w:val="009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CCA8"/>
  <w15:docId w15:val="{0D67AB01-1843-4FFC-9E98-C3D5B45B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729</Words>
  <Characters>3369</Characters>
  <Application>Microsoft Office Word</Application>
  <DocSecurity>0</DocSecurity>
  <Lines>134</Lines>
  <Paragraphs>34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Raj</cp:lastModifiedBy>
  <cp:revision>2</cp:revision>
  <dcterms:created xsi:type="dcterms:W3CDTF">2026-07-16T18:40:00Z</dcterms:created>
  <dcterms:modified xsi:type="dcterms:W3CDTF">2026-07-16T18:40:00Z</dcterms:modified>
</cp:coreProperties>
</file>