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FloorTest Labs: brief for the lawyer</w:t>
      </w:r>
    </w:p>
    <w:p>
      <w:pPr>
        <w:pStyle w:val="Subtitle"/>
      </w:pPr>
      <w:r>
        <w:t xml:space="preserve">Controlled collection sharing and team review · 11 October 2026</w:t>
      </w:r>
    </w:p>
    <w:p>
      <w:pPr>
        <w:pStyle w:val="Heading1"/>
      </w:pPr>
      <w:r>
        <w:t xml:space="preserve">What we need from you</w:t>
      </w:r>
    </w:p>
    <w:p>
      <w:r>
        <w:t xml:space="preserve">FloorTest is a private receiving desk for unreleased music. Artists ("senders") upload original tracks to a receiver's link; the receiver (a DJ, curator or label) listens, decides and downloads.</w:t>
      </w:r>
    </w:p>
    <w:p>
      <w:r>
        <w:t xml:space="preserve">We have built two ways for a receiver to let other people hear what they were sent. One is </w:t>
      </w:r>
      <w:r>
        <w:rPr>
          <w:b/>
        </w:rPr>
        <w:t xml:space="preserve">already live</w:t>
      </w:r>
      <w:r>
        <w:t xml:space="preserve"> and isn't covered by the Terms or the Privacy Policy yet. The other is built but </w:t>
      </w:r>
      <w:r>
        <w:rPr>
          <w:b/>
        </w:rPr>
        <w:t xml:space="preserve">switched off</w:t>
      </w:r>
      <w:r>
        <w:t xml:space="preserve"> until you approve the wording.</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CellMar>
          <w:top w:w="60" w:type="dxa"/>
          <w:left w:w="100" w:type="dxa"/>
          <w:bottom w:w="60" w:type="dxa"/>
          <w:right w:w="100" w:type="dxa"/>
        </w:tblCellMar>
      </w:tblPr>
      <w:tblGrid>
        <w:gridCol w:w="1900"/>
        <w:gridCol w:w="3730"/>
        <w:gridCol w:w="3730"/>
      </w:tblGrid>
      <w:tr>
        <w:trPr>
          <w:tblHeader/>
        </w:trPr>
        <w:tc>
          <w:tcPr>
            <w:tcW w:w="1900" w:type="dxa"/>
            <w:shd w:val="clear" w:color="auto" w:fill="EDEDED"/>
          </w:tcPr>
          <w:p>
            <w:pPr>
              <w:pStyle w:val="TableText"/>
            </w:pPr>
          </w:p>
        </w:tc>
        <w:tc>
          <w:tcPr>
            <w:tcW w:w="3730" w:type="dxa"/>
            <w:shd w:val="clear" w:color="auto" w:fill="EDEDED"/>
          </w:tcPr>
          <w:p>
            <w:pPr>
              <w:pStyle w:val="TableText"/>
            </w:pPr>
            <w:r>
              <w:rPr>
                <w:b/>
              </w:rPr>
              <w:t xml:space="preserve">Status</w:t>
            </w:r>
          </w:p>
        </w:tc>
        <w:tc>
          <w:tcPr>
            <w:tcW w:w="3730" w:type="dxa"/>
            <w:shd w:val="clear" w:color="auto" w:fill="EDEDED"/>
          </w:tcPr>
          <w:p>
            <w:pPr>
              <w:pStyle w:val="TableText"/>
            </w:pPr>
            <w:r>
              <w:rPr>
                <w:b/>
              </w:rPr>
              <w:t xml:space="preserve">What it is</w:t>
            </w:r>
          </w:p>
        </w:tc>
      </w:tr>
      <w:tr>
        <w:tc>
          <w:tcPr>
            <w:tcW w:w="1900" w:type="dxa"/>
          </w:tcPr>
          <w:p>
            <w:pPr>
              <w:pStyle w:val="TableText"/>
            </w:pPr>
            <w:r>
              <w:rPr>
                <w:b/>
              </w:rPr>
              <w:t xml:space="preserve">Review Together</w:t>
            </w:r>
          </w:p>
        </w:tc>
        <w:tc>
          <w:tcPr>
            <w:tcW w:w="3730" w:type="dxa"/>
          </w:tcPr>
          <w:p>
            <w:pPr>
              <w:pStyle w:val="TableText"/>
            </w:pPr>
            <w:r>
              <w:rPr>
                <w:b/>
              </w:rPr>
              <w:t xml:space="preserve">Live since 11 Oct 2026</w:t>
            </w:r>
            <w:r>
              <w:t xml:space="preserve"> (Team plan)</w:t>
            </w:r>
          </w:p>
        </w:tc>
        <w:tc>
          <w:tcPr>
            <w:tcW w:w="3730" w:type="dxa"/>
          </w:tcPr>
          <w:p>
            <w:pPr>
              <w:pStyle w:val="TableText"/>
            </w:pPr>
            <w:r>
              <w:t xml:space="preserve">The receiver invites up to 10 FloorTest account holders onto one collection. They listen, comment, vote and keep a shared shortlist.</w:t>
            </w:r>
          </w:p>
        </w:tc>
      </w:tr>
      <w:tr>
        <w:tc>
          <w:tcPr>
            <w:tcW w:w="1900" w:type="dxa"/>
          </w:tcPr>
          <w:p>
            <w:pPr>
              <w:pStyle w:val="TableText"/>
            </w:pPr>
            <w:r>
              <w:rPr>
                <w:b/>
              </w:rPr>
              <w:t xml:space="preserve">Collection share links</w:t>
            </w:r>
          </w:p>
        </w:tc>
        <w:tc>
          <w:tcPr>
            <w:tcW w:w="3730" w:type="dxa"/>
          </w:tcPr>
          <w:p>
            <w:pPr>
              <w:pStyle w:val="TableText"/>
            </w:pPr>
            <w:r>
              <w:t xml:space="preserve">Built, switched off</w:t>
            </w:r>
          </w:p>
        </w:tc>
        <w:tc>
          <w:tcPr>
            <w:tcW w:w="3730" w:type="dxa"/>
          </w:tcPr>
          <w:p>
            <w:pPr>
              <w:pStyle w:val="TableText"/>
            </w:pPr>
            <w:r>
              <w:t xml:space="preserve">The receiver opens a whole collection to people they name, by a private link. Those people verify their email address, and can listen (or download, if allowed) for a limited time.</w:t>
            </w:r>
          </w:p>
        </w:tc>
      </w:tr>
    </w:tbl>
    <w:p>
      <w:pPr>
        <w:pStyle w:val="Spacer"/>
      </w:pPr>
    </w:p>
    <w:p>
      <w:r>
        <w:t xml:space="preserve">Please:</w:t>
      </w:r>
    </w:p>
    <w:p>
      <w:pPr>
        <w:pStyle w:val="ListParagraph"/>
        <w:numPr>
          <w:ilvl w:val="0"/>
          <w:numId w:val="3"/>
        </w:numPr>
      </w:pPr>
      <w:r>
        <w:t xml:space="preserve">Answer the questions in section 5 (S1–S16).</w:t>
      </w:r>
    </w:p>
    <w:p>
      <w:pPr>
        <w:pStyle w:val="ListParagraph"/>
        <w:numPr>
          <w:ilvl w:val="0"/>
          <w:numId w:val="3"/>
        </w:numPr>
      </w:pPr>
      <w:r>
        <w:t xml:space="preserve">Redline the draft wording in section 4: the Terms, the Privacy Policy, the Cookie Policy, the line on the send form, the notice recipients accept, and the emails.</w:t>
      </w:r>
    </w:p>
    <w:p>
      <w:pPr>
        <w:pStyle w:val="ListParagraph"/>
        <w:numPr>
          <w:ilvl w:val="0"/>
          <w:numId w:val="3"/>
        </w:numPr>
      </w:pPr>
      <w:r>
        <w:t xml:space="preserve">Tell us whether anything must change in the product before we switch sharing on.</w:t>
      </w:r>
    </w:p>
    <w:p>
      <w:r>
        <w:t xml:space="preserve">This replaces the "Sharing with colleagues" model in the 7 October brief (questions 11–15 and section 4 there). That model was never switched on.</w:t>
      </w:r>
    </w:p>
    <w:p>
      <w:pPr>
        <w:pStyle w:val="Heading1"/>
      </w:pPr>
      <w:r>
        <w:t xml:space="preserve">1. Review Together (live)</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CellMar>
          <w:top w:w="60" w:type="dxa"/>
          <w:left w:w="100" w:type="dxa"/>
          <w:bottom w:w="60" w:type="dxa"/>
          <w:right w:w="100" w:type="dxa"/>
        </w:tblCellMar>
      </w:tblPr>
      <w:tblGrid>
        <w:gridCol w:w="2600"/>
        <w:gridCol w:w="6760"/>
      </w:tblGrid>
      <w:tr>
        <w:trPr>
          <w:tblHeader/>
        </w:trPr>
        <w:tc>
          <w:tcPr>
            <w:tcW w:w="2600" w:type="dxa"/>
            <w:shd w:val="clear" w:color="auto" w:fill="EDEDED"/>
          </w:tcPr>
          <w:p>
            <w:pPr>
              <w:pStyle w:val="TableText"/>
            </w:pPr>
            <w:r>
              <w:rPr>
                <w:b/>
              </w:rPr>
              <w:t xml:space="preserve">Part</w:t>
            </w:r>
          </w:p>
        </w:tc>
        <w:tc>
          <w:tcPr>
            <w:tcW w:w="6760" w:type="dxa"/>
            <w:shd w:val="clear" w:color="auto" w:fill="EDEDED"/>
          </w:tcPr>
          <w:p>
            <w:pPr>
              <w:pStyle w:val="TableText"/>
            </w:pPr>
            <w:r>
              <w:rPr>
                <w:b/>
              </w:rPr>
              <w:t xml:space="preserve">How it works</w:t>
            </w:r>
          </w:p>
        </w:tc>
      </w:tr>
      <w:tr>
        <w:tc>
          <w:tcPr>
            <w:tcW w:w="2600" w:type="dxa"/>
          </w:tcPr>
          <w:p>
            <w:pPr>
              <w:pStyle w:val="TableText"/>
            </w:pPr>
            <w:r>
              <w:t xml:space="preserve">Who</w:t>
            </w:r>
          </w:p>
        </w:tc>
        <w:tc>
          <w:tcPr>
            <w:tcW w:w="6760" w:type="dxa"/>
          </w:tcPr>
          <w:p>
            <w:pPr>
              <w:pStyle w:val="TableText"/>
            </w:pPr>
            <w:r>
              <w:t xml:space="preserve">Only the receiver's invited teammates, who must have FloorTest accounts (so they've accepted the Terms). At most 10 per collection. Invite only; the receiver can remove anyone at once.</w:t>
            </w:r>
          </w:p>
        </w:tc>
      </w:tr>
      <w:tr>
        <w:tc>
          <w:tcPr>
            <w:tcW w:w="2600" w:type="dxa"/>
          </w:tcPr>
          <w:p>
            <w:pPr>
              <w:pStyle w:val="TableText"/>
            </w:pPr>
            <w:r>
              <w:t xml:space="preserve">What they hear</w:t>
            </w:r>
          </w:p>
        </w:tc>
        <w:tc>
          <w:tcPr>
            <w:tcW w:w="6760" w:type="dxa"/>
          </w:tcPr>
          <w:p>
            <w:pPr>
              <w:pStyle w:val="TableText"/>
            </w:pPr>
            <w:r>
              <w:t xml:space="preserve">Tracks sent to that collection </w:t>
            </w:r>
            <w:r>
              <w:rPr>
                <w:b/>
              </w:rPr>
              <w:t xml:space="preserve">after</w:t>
            </w:r>
            <w:r>
              <w:t xml:space="preserve"> they joined. Streamed in the browser.</w:t>
            </w:r>
          </w:p>
        </w:tc>
      </w:tr>
      <w:tr>
        <w:tc>
          <w:tcPr>
            <w:tcW w:w="2600" w:type="dxa"/>
          </w:tcPr>
          <w:p>
            <w:pPr>
              <w:pStyle w:val="TableText"/>
            </w:pPr>
            <w:r>
              <w:t xml:space="preserve">What they can do</w:t>
            </w:r>
          </w:p>
        </w:tc>
        <w:tc>
          <w:tcPr>
            <w:tcW w:w="6760" w:type="dxa"/>
          </w:tcPr>
          <w:p>
            <w:pPr>
              <w:pStyle w:val="TableText"/>
            </w:pPr>
            <w:r>
              <w:t xml:space="preserve">Listen, vote keep/pass with a note, comment, and add tracks to one shared shortlist. If the receiver allows it (off by default), they can also mark a track Keep or Not for me for the receiver.</w:t>
            </w:r>
          </w:p>
        </w:tc>
      </w:tr>
      <w:tr>
        <w:tc>
          <w:tcPr>
            <w:tcW w:w="2600" w:type="dxa"/>
          </w:tcPr>
          <w:p>
            <w:pPr>
              <w:pStyle w:val="TableText"/>
            </w:pPr>
            <w:r>
              <w:t xml:space="preserve">What they can't do</w:t>
            </w:r>
          </w:p>
        </w:tc>
        <w:tc>
          <w:tcPr>
            <w:tcW w:w="6760" w:type="dxa"/>
          </w:tcPr>
          <w:p>
            <w:pPr>
              <w:pStyle w:val="TableText"/>
            </w:pPr>
            <w:r>
              <w:t xml:space="preserve">Download, reply to the sender, upload, replace or delete anything. New music reaches the collection only through the receiver's own link.</w:t>
            </w:r>
          </w:p>
        </w:tc>
      </w:tr>
      <w:tr>
        <w:tc>
          <w:tcPr>
            <w:tcW w:w="2600" w:type="dxa"/>
          </w:tcPr>
          <w:p>
            <w:pPr>
              <w:pStyle w:val="TableText"/>
            </w:pPr>
            <w:r>
              <w:t xml:space="preserve">What the sender sees</w:t>
            </w:r>
          </w:p>
        </w:tc>
        <w:tc>
          <w:tcPr>
            <w:tcW w:w="6760" w:type="dxa"/>
          </w:tcPr>
          <w:p>
            <w:pPr>
              <w:pStyle w:val="TableText"/>
            </w:pPr>
            <w:r>
              <w:t xml:space="preserve">Nothing about the team. Comments, votes and the shortlist are internal to the receiver's team.</w:t>
            </w:r>
          </w:p>
        </w:tc>
      </w:tr>
      <w:tr>
        <w:tc>
          <w:tcPr>
            <w:tcW w:w="2600" w:type="dxa"/>
          </w:tcPr>
          <w:p>
            <w:pPr>
              <w:pStyle w:val="TableText"/>
            </w:pPr>
            <w:r>
              <w:t xml:space="preserve">Data</w:t>
            </w:r>
          </w:p>
        </w:tc>
        <w:tc>
          <w:tcPr>
            <w:tcW w:w="6760" w:type="dxa"/>
          </w:tcPr>
          <w:p>
            <w:pPr>
              <w:pStyle w:val="TableText"/>
            </w:pPr>
            <w:r>
              <w:t xml:space="preserve">Team membership, votes, comments and shortlist entries, tied to each teammate's account. Visible to the receiver and the team.</w:t>
            </w:r>
          </w:p>
        </w:tc>
      </w:tr>
    </w:tbl>
    <w:p>
      <w:pPr>
        <w:pStyle w:val="Spacer"/>
      </w:pPr>
    </w:p>
    <w:p>
      <w:r>
        <w:rPr>
          <w:b/>
        </w:rPr>
        <w:t xml:space="preserve">Our view:</w:t>
      </w:r>
      <w:r>
        <w:t xml:space="preserve"> this is the receiver's own team evaluating music on the receiver's behalf. The sender licence already lets the receiver listen and evaluate, and teammates act for the receiver. We still think the Terms should say it, and the Privacy Policy should cover teammates' comments (see S1).</w:t>
      </w:r>
    </w:p>
    <w:p>
      <w:pPr>
        <w:pStyle w:val="Heading1"/>
      </w:pPr>
      <w:r>
        <w:t xml:space="preserve">2. Collection share links (built, off)</w:t>
      </w:r>
    </w:p>
    <w:p>
      <w:pPr>
        <w:pStyle w:val="Heading2"/>
      </w:pPr>
      <w:r>
        <w:t xml:space="preserve">2.1 How it works</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CellMar>
          <w:top w:w="60" w:type="dxa"/>
          <w:left w:w="100" w:type="dxa"/>
          <w:bottom w:w="60" w:type="dxa"/>
          <w:right w:w="100" w:type="dxa"/>
        </w:tblCellMar>
      </w:tblPr>
      <w:tblGrid>
        <w:gridCol w:w="2600"/>
        <w:gridCol w:w="6760"/>
      </w:tblGrid>
      <w:tr>
        <w:trPr>
          <w:tblHeader/>
        </w:trPr>
        <w:tc>
          <w:tcPr>
            <w:tcW w:w="2600" w:type="dxa"/>
            <w:shd w:val="clear" w:color="auto" w:fill="EDEDED"/>
          </w:tcPr>
          <w:p>
            <w:pPr>
              <w:pStyle w:val="TableText"/>
            </w:pPr>
            <w:r>
              <w:rPr>
                <w:b/>
              </w:rPr>
              <w:t xml:space="preserve">Part</w:t>
            </w:r>
          </w:p>
        </w:tc>
        <w:tc>
          <w:tcPr>
            <w:tcW w:w="6760" w:type="dxa"/>
            <w:shd w:val="clear" w:color="auto" w:fill="EDEDED"/>
          </w:tcPr>
          <w:p>
            <w:pPr>
              <w:pStyle w:val="TableText"/>
            </w:pPr>
            <w:r>
              <w:rPr>
                <w:b/>
              </w:rPr>
              <w:t xml:space="preserve">How it works</w:t>
            </w:r>
          </w:p>
        </w:tc>
      </w:tr>
      <w:tr>
        <w:tc>
          <w:tcPr>
            <w:tcW w:w="2600" w:type="dxa"/>
          </w:tcPr>
          <w:p>
            <w:pPr>
              <w:pStyle w:val="TableText"/>
            </w:pPr>
            <w:r>
              <w:t xml:space="preserve">Who can share</w:t>
            </w:r>
          </w:p>
        </w:tc>
        <w:tc>
          <w:tcPr>
            <w:tcW w:w="6760" w:type="dxa"/>
          </w:tcPr>
          <w:p>
            <w:pPr>
              <w:pStyle w:val="TableText"/>
            </w:pPr>
            <w:r>
              <w:t xml:space="preserve">Only the collection's owner (the receiver).</w:t>
            </w:r>
          </w:p>
        </w:tc>
      </w:tr>
      <w:tr>
        <w:tc>
          <w:tcPr>
            <w:tcW w:w="2600" w:type="dxa"/>
          </w:tcPr>
          <w:p>
            <w:pPr>
              <w:pStyle w:val="TableText"/>
            </w:pPr>
            <w:r>
              <w:t xml:space="preserve">The link</w:t>
            </w:r>
          </w:p>
        </w:tc>
        <w:tc>
          <w:tcPr>
            <w:tcW w:w="6760" w:type="dxa"/>
          </w:tcPr>
          <w:p>
            <w:pPr>
              <w:pStyle w:val="TableText"/>
            </w:pPr>
            <w:r>
              <w:t xml:space="preserve">Its own random address (</w:t>
            </w:r>
            <w:r>
              <w:rPr>
                <w:rFonts w:ascii="Menlo" w:hAnsi="Menlo"/>
                <w:sz w:val="18"/>
              </w:rPr>
              <w:t xml:space="preserve">floortest.app/c/…</w:t>
            </w:r>
            <w:r>
              <w:t xml:space="preserve">), separate from the receiver's public submission link. A collection can have several links, each with its own permission, expiry and list of people. FloorTest keeps only a fingerprint of the address, so it's shown once, when made.</w:t>
            </w:r>
          </w:p>
        </w:tc>
      </w:tr>
      <w:tr>
        <w:tc>
          <w:tcPr>
            <w:tcW w:w="2600" w:type="dxa"/>
          </w:tcPr>
          <w:p>
            <w:pPr>
              <w:pStyle w:val="TableText"/>
            </w:pPr>
            <w:r>
              <w:t xml:space="preserve">How long</w:t>
            </w:r>
          </w:p>
        </w:tc>
        <w:tc>
          <w:tcPr>
            <w:tcW w:w="6760" w:type="dxa"/>
          </w:tcPr>
          <w:p>
            <w:pPr>
              <w:pStyle w:val="TableText"/>
            </w:pPr>
            <w:r>
              <w:t xml:space="preserve">The receiver picks 7, 14 (recommended), 30 or 90 days, or "until I revoke it".</w:t>
            </w:r>
          </w:p>
        </w:tc>
      </w:tr>
      <w:tr>
        <w:tc>
          <w:tcPr>
            <w:tcW w:w="2600" w:type="dxa"/>
          </w:tcPr>
          <w:p>
            <w:pPr>
              <w:pStyle w:val="TableText"/>
            </w:pPr>
            <w:r>
              <w:t xml:space="preserve">Who can get in</w:t>
            </w:r>
          </w:p>
        </w:tc>
        <w:tc>
          <w:tcPr>
            <w:tcW w:w="6760" w:type="dxa"/>
          </w:tcPr>
          <w:p>
            <w:pPr>
              <w:pStyle w:val="TableText"/>
            </w:pPr>
            <w:r>
              <w:t xml:space="preserve">Only people the receiver names: an exact email address, everyone with a confirmed address at a company domain (e.g. </w:t>
            </w:r>
            <w:r>
              <w:rPr>
                <w:rFonts w:ascii="Menlo" w:hAnsi="Menlo"/>
                <w:sz w:val="18"/>
              </w:rPr>
              <w:t xml:space="preserve">@label.com</w:t>
            </w:r>
            <w:r>
              <w:t xml:space="preserve">; personal providers such as gmail.com are refused), or a FloorTest username. </w:t>
            </w:r>
            <w:r>
              <w:rPr>
                <w:b/>
              </w:rPr>
              <w:t xml:space="preserve">Nobody listens anonymously.</w:t>
            </w:r>
          </w:p>
        </w:tc>
      </w:tr>
      <w:tr>
        <w:tc>
          <w:tcPr>
            <w:tcW w:w="2600" w:type="dxa"/>
          </w:tcPr>
          <w:p>
            <w:pPr>
              <w:pStyle w:val="TableText"/>
            </w:pPr>
            <w:r>
              <w:t xml:space="preserve">Proving who you are</w:t>
            </w:r>
          </w:p>
        </w:tc>
        <w:tc>
          <w:tcPr>
            <w:tcW w:w="6760" w:type="dxa"/>
          </w:tcPr>
          <w:p>
            <w:pPr>
              <w:pStyle w:val="TableText"/>
            </w:pPr>
            <w:r>
              <w:t xml:space="preserve">A 6-digit code sent to the email address (valid 10 minutes), or being signed in to FloorTest with a confirmed email.</w:t>
            </w:r>
          </w:p>
        </w:tc>
      </w:tr>
      <w:tr>
        <w:tc>
          <w:tcPr>
            <w:tcW w:w="2600" w:type="dxa"/>
          </w:tcPr>
          <w:p>
            <w:pPr>
              <w:pStyle w:val="TableText"/>
            </w:pPr>
            <w:r>
              <w:t xml:space="preserve">Accepting the rules</w:t>
            </w:r>
          </w:p>
        </w:tc>
        <w:tc>
          <w:tcPr>
            <w:tcW w:w="6760" w:type="dxa"/>
          </w:tcPr>
          <w:p>
            <w:pPr>
              <w:pStyle w:val="TableText"/>
            </w:pPr>
            <w:r>
              <w:t xml:space="preserve">Before anything plays, the person must tick and accept the access notice (section 4.4). We record the notice version, the email address and the time.</w:t>
            </w:r>
          </w:p>
        </w:tc>
      </w:tr>
      <w:tr>
        <w:tc>
          <w:tcPr>
            <w:tcW w:w="2600" w:type="dxa"/>
          </w:tcPr>
          <w:p>
            <w:pPr>
              <w:pStyle w:val="TableText"/>
            </w:pPr>
            <w:r>
              <w:t xml:space="preserve">One visit</w:t>
            </w:r>
          </w:p>
        </w:tc>
        <w:tc>
          <w:tcPr>
            <w:tcW w:w="6760" w:type="dxa"/>
          </w:tcPr>
          <w:p>
            <w:pPr>
              <w:pStyle w:val="TableText"/>
            </w:pPr>
            <w:r>
              <w:t xml:space="preserve">Lasts at most 12 hours, then the code (or sign-in) is needed again.</w:t>
            </w:r>
          </w:p>
        </w:tc>
      </w:tr>
      <w:tr>
        <w:tc>
          <w:tcPr>
            <w:tcW w:w="2600" w:type="dxa"/>
          </w:tcPr>
          <w:p>
            <w:pPr>
              <w:pStyle w:val="TableText"/>
            </w:pPr>
            <w:r>
              <w:t xml:space="preserve">What they can do</w:t>
            </w:r>
          </w:p>
        </w:tc>
        <w:tc>
          <w:tcPr>
            <w:tcW w:w="6760" w:type="dxa"/>
          </w:tcPr>
          <w:p>
            <w:pPr>
              <w:pStyle w:val="TableText"/>
            </w:pPr>
            <w:r>
              <w:rPr>
                <w:b/>
              </w:rPr>
              <w:t xml:space="preserve">Listen</w:t>
            </w:r>
            <w:r>
              <w:t xml:space="preserve"> (streamed; no download button), or </w:t>
            </w:r>
            <w:r>
              <w:rPr>
                <w:b/>
              </w:rPr>
              <w:t xml:space="preserve">Listen + Download</w:t>
            </w:r>
            <w:r>
              <w:t xml:space="preserve"> (the original file). The receiver chooses per link and per person, never more than the link allows. A browser can't fully stop someone recording what plays, so we don't promise copy protection.</w:t>
            </w:r>
          </w:p>
        </w:tc>
      </w:tr>
      <w:tr>
        <w:tc>
          <w:tcPr>
            <w:tcW w:w="2600" w:type="dxa"/>
          </w:tcPr>
          <w:p>
            <w:pPr>
              <w:pStyle w:val="TableText"/>
            </w:pPr>
            <w:r>
              <w:t xml:space="preserve">Asking to join</w:t>
            </w:r>
          </w:p>
        </w:tc>
        <w:tc>
          <w:tcPr>
            <w:tcW w:w="6760" w:type="dxa"/>
          </w:tcPr>
          <w:p>
            <w:pPr>
              <w:pStyle w:val="TableText"/>
            </w:pPr>
            <w:r>
              <w:t xml:space="preserve">Someone not on the list can verify their email and ask, with their name and a note. The receiver approves (choosing Listen or Listen + Download and how long), declines or blocks. Limits: 2 requests a day per email, 10 an hour per connection, one waiting request per link, 30 days' wait after a decline, never again after a block. A link with 20 waiting requests stops taking more and the receiver is warned it may have leaked. Messages to people asking never describe the collection.</w:t>
            </w:r>
          </w:p>
        </w:tc>
      </w:tr>
      <w:tr>
        <w:tc>
          <w:tcPr>
            <w:tcW w:w="2600" w:type="dxa"/>
          </w:tcPr>
          <w:p>
            <w:pPr>
              <w:pStyle w:val="TableText"/>
            </w:pPr>
            <w:r>
              <w:t xml:space="preserve">Ending access</w:t>
            </w:r>
          </w:p>
        </w:tc>
        <w:tc>
          <w:tcPr>
            <w:tcW w:w="6760" w:type="dxa"/>
          </w:tcPr>
          <w:p>
            <w:pPr>
              <w:pStyle w:val="TableText"/>
            </w:pPr>
            <w:r>
              <w:t xml:space="preserve">The receiver can remove one person, reset the link (new address; everyone using the old one is signed out) or revoke it, all with immediate effect. Suspension or deletion of a FloorTest account, or signing out, also ends that account's access.</w:t>
            </w:r>
          </w:p>
        </w:tc>
      </w:tr>
      <w:tr>
        <w:tc>
          <w:tcPr>
            <w:tcW w:w="2600" w:type="dxa"/>
          </w:tcPr>
          <w:p>
            <w:pPr>
              <w:pStyle w:val="TableText"/>
            </w:pPr>
            <w:r>
              <w:t xml:space="preserve">Which tracks</w:t>
            </w:r>
          </w:p>
        </w:tc>
        <w:tc>
          <w:tcPr>
            <w:tcW w:w="6760" w:type="dxa"/>
          </w:tcPr>
          <w:p>
            <w:pPr>
              <w:pStyle w:val="TableText"/>
            </w:pPr>
            <w:r>
              <w:t xml:space="preserve">Only tracks the sender sent while the collection allowed sharing (shown to the sender before sending). See S3 for tracks sent before the new wording.</w:t>
            </w:r>
          </w:p>
        </w:tc>
      </w:tr>
      <w:tr>
        <w:tc>
          <w:tcPr>
            <w:tcW w:w="2600" w:type="dxa"/>
          </w:tcPr>
          <w:p>
            <w:pPr>
              <w:pStyle w:val="TableText"/>
            </w:pPr>
            <w:r>
              <w:t xml:space="preserve">What the receiver sees</w:t>
            </w:r>
          </w:p>
        </w:tc>
        <w:tc>
          <w:tcPr>
            <w:tcW w:w="6760" w:type="dxa"/>
          </w:tcPr>
          <w:p>
            <w:pPr>
              <w:pStyle w:val="TableText"/>
            </w:pPr>
            <w:r>
              <w:t xml:space="preserve">For each person: whether they've opened it, number of visits, how many tracks they played, downloads, and when they were last seen. The receiver is also told about each first visit, each download, and warnings (a link getting many requests, or 10+ unknown addresses asking for codes in an hour).</w:t>
            </w:r>
          </w:p>
        </w:tc>
      </w:tr>
      <w:tr>
        <w:tc>
          <w:tcPr>
            <w:tcW w:w="2600" w:type="dxa"/>
          </w:tcPr>
          <w:p>
            <w:pPr>
              <w:pStyle w:val="TableText"/>
            </w:pPr>
            <w:r>
              <w:t xml:space="preserve">What the sender sees</w:t>
            </w:r>
          </w:p>
        </w:tc>
        <w:tc>
          <w:tcPr>
            <w:tcW w:w="6760" w:type="dxa"/>
          </w:tcPr>
          <w:p>
            <w:pPr>
              <w:pStyle w:val="TableText"/>
            </w:pPr>
            <w:r>
              <w:t xml:space="preserve">Today: nothing about share-link activity (see S9).</w:t>
            </w:r>
          </w:p>
        </w:tc>
      </w:tr>
    </w:tbl>
    <w:p>
      <w:pPr>
        <w:pStyle w:val="Spacer"/>
      </w:pPr>
    </w:p>
    <w:p>
      <w:pPr>
        <w:pStyle w:val="Heading2"/>
      </w:pPr>
      <w:r>
        <w:t xml:space="preserve">2.2 What changed from the 1 October model</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CellMar>
          <w:top w:w="60" w:type="dxa"/>
          <w:left w:w="100" w:type="dxa"/>
          <w:bottom w:w="60" w:type="dxa"/>
          <w:right w:w="100" w:type="dxa"/>
        </w:tblCellMar>
      </w:tblPr>
      <w:tblGrid>
        <w:gridCol w:w="1900"/>
        <w:gridCol w:w="3730"/>
        <w:gridCol w:w="3730"/>
      </w:tblGrid>
      <w:tr>
        <w:trPr>
          <w:tblHeader/>
        </w:trPr>
        <w:tc>
          <w:tcPr>
            <w:tcW w:w="1900" w:type="dxa"/>
            <w:shd w:val="clear" w:color="auto" w:fill="EDEDED"/>
          </w:tcPr>
          <w:p>
            <w:pPr>
              <w:pStyle w:val="TableText"/>
            </w:pPr>
          </w:p>
        </w:tc>
        <w:tc>
          <w:tcPr>
            <w:tcW w:w="3730" w:type="dxa"/>
            <w:shd w:val="clear" w:color="auto" w:fill="EDEDED"/>
          </w:tcPr>
          <w:p>
            <w:pPr>
              <w:pStyle w:val="TableText"/>
            </w:pPr>
            <w:r>
              <w:rPr>
                <w:b/>
              </w:rPr>
              <w:t xml:space="preserve">1 Oct "colleague sharing" (never switched on)</w:t>
            </w:r>
          </w:p>
        </w:tc>
        <w:tc>
          <w:tcPr>
            <w:tcW w:w="3730" w:type="dxa"/>
            <w:shd w:val="clear" w:color="auto" w:fill="EDEDED"/>
          </w:tcPr>
          <w:p>
            <w:pPr>
              <w:pStyle w:val="TableText"/>
            </w:pPr>
            <w:r>
              <w:rPr>
                <w:b/>
              </w:rPr>
              <w:t xml:space="preserve">New collection share links</w:t>
            </w:r>
          </w:p>
        </w:tc>
      </w:tr>
      <w:tr>
        <w:tc>
          <w:tcPr>
            <w:tcW w:w="1900" w:type="dxa"/>
          </w:tcPr>
          <w:p>
            <w:pPr>
              <w:pStyle w:val="TableText"/>
            </w:pPr>
            <w:r>
              <w:t xml:space="preserve">Unit shared</w:t>
            </w:r>
          </w:p>
        </w:tc>
        <w:tc>
          <w:tcPr>
            <w:tcW w:w="3730" w:type="dxa"/>
          </w:tcPr>
          <w:p>
            <w:pPr>
              <w:pStyle w:val="TableText"/>
            </w:pPr>
            <w:r>
              <w:t xml:space="preserve">One track</w:t>
            </w:r>
          </w:p>
        </w:tc>
        <w:tc>
          <w:tcPr>
            <w:tcW w:w="3730" w:type="dxa"/>
          </w:tcPr>
          <w:p>
            <w:pPr>
              <w:pStyle w:val="TableText"/>
            </w:pPr>
            <w:r>
              <w:t xml:space="preserve">A whole collection (only tracks sent with sharing allowed)</w:t>
            </w:r>
          </w:p>
        </w:tc>
      </w:tr>
      <w:tr>
        <w:tc>
          <w:tcPr>
            <w:tcW w:w="1900" w:type="dxa"/>
          </w:tcPr>
          <w:p>
            <w:pPr>
              <w:pStyle w:val="TableText"/>
            </w:pPr>
            <w:r>
              <w:t xml:space="preserve">Who</w:t>
            </w:r>
          </w:p>
        </w:tc>
        <w:tc>
          <w:tcPr>
            <w:tcW w:w="3730" w:type="dxa"/>
          </w:tcPr>
          <w:p>
            <w:pPr>
              <w:pStyle w:val="TableText"/>
            </w:pPr>
            <w:r>
              <w:t xml:space="preserve">FloorTest account holders only</w:t>
            </w:r>
          </w:p>
        </w:tc>
        <w:tc>
          <w:tcPr>
            <w:tcW w:w="3730" w:type="dxa"/>
          </w:tcPr>
          <w:p>
            <w:pPr>
              <w:pStyle w:val="TableText"/>
            </w:pPr>
            <w:r>
              <w:t xml:space="preserve">Named emails, company domains, usernames, and approved requests</w:t>
            </w:r>
          </w:p>
        </w:tc>
      </w:tr>
      <w:tr>
        <w:tc>
          <w:tcPr>
            <w:tcW w:w="1900" w:type="dxa"/>
          </w:tcPr>
          <w:p>
            <w:pPr>
              <w:pStyle w:val="TableText"/>
            </w:pPr>
            <w:r>
              <w:t xml:space="preserve">Proof of identity</w:t>
            </w:r>
          </w:p>
        </w:tc>
        <w:tc>
          <w:tcPr>
            <w:tcW w:w="3730" w:type="dxa"/>
          </w:tcPr>
          <w:p>
            <w:pPr>
              <w:pStyle w:val="TableText"/>
            </w:pPr>
            <w:r>
              <w:t xml:space="preserve">Signed in</w:t>
            </w:r>
          </w:p>
        </w:tc>
        <w:tc>
          <w:tcPr>
            <w:tcW w:w="3730" w:type="dxa"/>
          </w:tcPr>
          <w:p>
            <w:pPr>
              <w:pStyle w:val="TableText"/>
            </w:pPr>
            <w:r>
              <w:t xml:space="preserve">Email code, or signed in</w:t>
            </w:r>
          </w:p>
        </w:tc>
      </w:tr>
      <w:tr>
        <w:tc>
          <w:tcPr>
            <w:tcW w:w="1900" w:type="dxa"/>
          </w:tcPr>
          <w:p>
            <w:pPr>
              <w:pStyle w:val="TableText"/>
            </w:pPr>
            <w:r>
              <w:t xml:space="preserve">Duration</w:t>
            </w:r>
          </w:p>
        </w:tc>
        <w:tc>
          <w:tcPr>
            <w:tcW w:w="3730" w:type="dxa"/>
          </w:tcPr>
          <w:p>
            <w:pPr>
              <w:pStyle w:val="TableText"/>
            </w:pPr>
            <w:r>
              <w:t xml:space="preserve">7 days, fixed</w:t>
            </w:r>
          </w:p>
        </w:tc>
        <w:tc>
          <w:tcPr>
            <w:tcW w:w="3730" w:type="dxa"/>
          </w:tcPr>
          <w:p>
            <w:pPr>
              <w:pStyle w:val="TableText"/>
            </w:pPr>
            <w:r>
              <w:t xml:space="preserve">7–90 days, or until revoked</w:t>
            </w:r>
          </w:p>
        </w:tc>
      </w:tr>
      <w:tr>
        <w:tc>
          <w:tcPr>
            <w:tcW w:w="1900" w:type="dxa"/>
          </w:tcPr>
          <w:p>
            <w:pPr>
              <w:pStyle w:val="TableText"/>
            </w:pPr>
            <w:r>
              <w:t xml:space="preserve">Download</w:t>
            </w:r>
          </w:p>
        </w:tc>
        <w:tc>
          <w:tcPr>
            <w:tcW w:w="3730" w:type="dxa"/>
          </w:tcPr>
          <w:p>
            <w:pPr>
              <w:pStyle w:val="TableText"/>
            </w:pPr>
            <w:r>
              <w:t xml:space="preserve">Fixed at send time by the receiver's plan; sender told which</w:t>
            </w:r>
          </w:p>
        </w:tc>
        <w:tc>
          <w:tcPr>
            <w:tcW w:w="3730" w:type="dxa"/>
          </w:tcPr>
          <w:p>
            <w:pPr>
              <w:pStyle w:val="TableText"/>
            </w:pPr>
            <w:r>
              <w:t xml:space="preserve">Chosen by the receiver per link and per person</w:t>
            </w:r>
          </w:p>
        </w:tc>
      </w:tr>
      <w:tr>
        <w:tc>
          <w:tcPr>
            <w:tcW w:w="1900" w:type="dxa"/>
          </w:tcPr>
          <w:p>
            <w:pPr>
              <w:pStyle w:val="TableText"/>
            </w:pPr>
            <w:r>
              <w:t xml:space="preserve">Purpose</w:t>
            </w:r>
          </w:p>
        </w:tc>
        <w:tc>
          <w:tcPr>
            <w:tcW w:w="3730" w:type="dxa"/>
          </w:tcPr>
          <w:p>
            <w:pPr>
              <w:pStyle w:val="TableText"/>
            </w:pPr>
            <w:r>
              <w:t xml:space="preserve">Promotion and DJ sets (if the sender allowed sets)</w:t>
            </w:r>
          </w:p>
        </w:tc>
        <w:tc>
          <w:tcPr>
            <w:tcW w:w="3730" w:type="dxa"/>
          </w:tcPr>
          <w:p>
            <w:pPr>
              <w:pStyle w:val="TableText"/>
            </w:pPr>
            <w:r>
              <w:t xml:space="preserve">Listening and evaluation; see S5</w:t>
            </w:r>
          </w:p>
        </w:tc>
      </w:tr>
      <w:tr>
        <w:tc>
          <w:tcPr>
            <w:tcW w:w="1900" w:type="dxa"/>
          </w:tcPr>
          <w:p>
            <w:pPr>
              <w:pStyle w:val="TableText"/>
            </w:pPr>
            <w:r>
              <w:t xml:space="preserve">Recipient agrees to</w:t>
            </w:r>
          </w:p>
        </w:tc>
        <w:tc>
          <w:tcPr>
            <w:tcW w:w="3730" w:type="dxa"/>
          </w:tcPr>
          <w:p>
            <w:pPr>
              <w:pStyle w:val="TableText"/>
            </w:pPr>
            <w:r>
              <w:t xml:space="preserve">The Terms (account holder)</w:t>
            </w:r>
          </w:p>
        </w:tc>
        <w:tc>
          <w:tcPr>
            <w:tcW w:w="3730" w:type="dxa"/>
          </w:tcPr>
          <w:p>
            <w:pPr>
              <w:pStyle w:val="TableText"/>
            </w:pPr>
            <w:r>
              <w:t xml:space="preserve">The access notice (no account needed)</w:t>
            </w:r>
          </w:p>
        </w:tc>
      </w:tr>
    </w:tbl>
    <w:p>
      <w:pPr>
        <w:pStyle w:val="Spacer"/>
      </w:pPr>
    </w:p>
    <w:p>
      <w:pPr>
        <w:pStyle w:val="Heading1"/>
      </w:pPr>
      <w:r>
        <w:t xml:space="preserve">3. Things we know are missing (our side)</w:t>
      </w:r>
    </w:p>
    <w:p>
      <w:r>
        <w:t xml:space="preserve">We'll fix these before switching sharing on. They're listed so your wording matches what we build.</w:t>
      </w:r>
    </w:p>
    <w:p>
      <w:pPr>
        <w:pStyle w:val="ListParagraph"/>
        <w:numPr>
          <w:ilvl w:val="0"/>
          <w:numId w:val="4"/>
        </w:numPr>
      </w:pPr>
      <w:r>
        <w:rPr>
          <w:b/>
        </w:rPr>
        <w:t xml:space="preserve">Tracks don't record which version of the Terms they were sent under.</w:t>
      </w:r>
      <w:r>
        <w:t xml:space="preserve"> We'll add that, so only tracks sent under the new wording can be shared (see S3).</w:t>
      </w:r>
    </w:p>
    <w:p>
      <w:pPr>
        <w:pStyle w:val="ListParagraph"/>
        <w:numPr>
          <w:ilvl w:val="0"/>
          <w:numId w:val="4"/>
        </w:numPr>
      </w:pPr>
      <w:r>
        <w:rPr>
          <w:b/>
        </w:rPr>
        <w:t xml:space="preserve">No automatic deletion yet for share-link records</w:t>
      </w:r>
      <w:r>
        <w:t xml:space="preserve"> (codes, visits, activity, requests). We'll build it once you set the periods (S11).</w:t>
      </w:r>
    </w:p>
    <w:p>
      <w:pPr>
        <w:pStyle w:val="ListParagraph"/>
        <w:numPr>
          <w:ilvl w:val="0"/>
          <w:numId w:val="4"/>
        </w:numPr>
      </w:pPr>
      <w:r>
        <w:rPr>
          <w:b/>
        </w:rPr>
        <w:t xml:space="preserve">The Terms, Privacy Policy, Cookie Policy and send form still describe the 1 October model.</w:t>
      </w:r>
      <w:r>
        <w:t xml:space="preserve"> They'll be replaced with the wording in section 4 once approved.</w:t>
      </w:r>
    </w:p>
    <w:p>
      <w:pPr>
        <w:pStyle w:val="ListParagraph"/>
        <w:numPr>
          <w:ilvl w:val="0"/>
          <w:numId w:val="4"/>
        </w:numPr>
      </w:pPr>
      <w:r>
        <w:rPr>
          <w:b/>
        </w:rPr>
        <w:t xml:space="preserve">The recipient's page has no privacy link.</w:t>
      </w:r>
      <w:r>
        <w:t xml:space="preserve"> We'll add one under the access notice.</w:t>
      </w:r>
    </w:p>
    <w:p>
      <w:pPr>
        <w:pStyle w:val="ListParagraph"/>
        <w:numPr>
          <w:ilvl w:val="0"/>
          <w:numId w:val="4"/>
        </w:numPr>
      </w:pPr>
      <w:r>
        <w:rPr>
          <w:b/>
        </w:rPr>
        <w:t xml:space="preserve">Senders can't yet withdraw sharing for a track.</w:t>
      </w:r>
      <w:r>
        <w:t xml:space="preserve"> We can add it if you advise it (S12).</w:t>
      </w:r>
    </w:p>
    <w:p>
      <w:pPr>
        <w:pStyle w:val="Heading1"/>
      </w:pPr>
      <w:r>
        <w:t xml:space="preserve">4. Draft wording for you to redline</w:t>
      </w:r>
    </w:p>
    <w:p>
      <w:pPr>
        <w:pStyle w:val="Heading2"/>
      </w:pPr>
      <w:r>
        <w:t xml:space="preserve">4.1 Send form (shown above Send only when the collection allows sharing)</w:t>
      </w:r>
    </w:p>
    <w:p>
      <w:pPr>
        <w:pStyle w:val="Quote"/>
      </w:pPr>
      <w:r>
        <w:t xml:space="preserve">[Receiver] can also share it privately, through FloorTest, with people they name, who must confirm their email first. Depending on what [Receiver] allows, those people can listen, or listen and download. Nobody can publish or release it without a signed agreement with you.</w:t>
      </w:r>
    </w:p>
    <w:p>
      <w:pPr>
        <w:pStyle w:val="Heading2"/>
      </w:pPr>
      <w:r>
        <w:t xml:space="preserve">4.2 Terms of Use</w:t>
      </w:r>
    </w:p>
    <w:p>
      <w:r>
        <w:rPr>
          <w:b/>
        </w:rPr>
        <w:t xml:space="preserve">For senders, replacing the colleague paragraph:</w:t>
      </w:r>
    </w:p>
    <w:p>
      <w:pPr>
        <w:pStyle w:val="Quote"/>
      </w:pPr>
      <w:r>
        <w:rPr>
          <w:b/>
        </w:rPr>
        <w:t xml:space="preserve">Private sharing.</w:t>
      </w:r>
      <w:r>
        <w:t xml:space="preserve"> If the receiver's collection allows private sharing when you send, the receiver may let people they choose hear your track through a private FloorTest link. These can be people they add by email address, by company email domain or by FloorTest username, and people who ask and are approved. Each person must confirm their email address and accept FloorTest's rules before listening. The receiver decides whether each person can only listen or can also download the original file, and for how long (up to 90 days, or until the receiver ends it). Private sharing never makes your track public. Nobody given access may release, sell, distribute, upload or publish it without a signed agreement with you. The receiver can end anyone's access at any time. Tracks you sent before [date] are only shared this way if you agree to it for that track.</w:t>
      </w:r>
    </w:p>
    <w:p>
      <w:r>
        <w:rPr>
          <w:b/>
        </w:rPr>
        <w:t xml:space="preserve">For senders, about teams:</w:t>
      </w:r>
    </w:p>
    <w:p>
      <w:pPr>
        <w:pStyle w:val="Quote"/>
      </w:pPr>
      <w:r>
        <w:rPr>
          <w:b/>
        </w:rPr>
        <w:t xml:space="preserve">The receiver's team.</w:t>
      </w:r>
      <w:r>
        <w:t xml:space="preserve"> If the receiver uses FloorTest's team review, people they invite to their team (FloorTest account holders) may listen to tracks sent to that collection, comment on them and help the receiver decide. They can't download them or contact you through FloorTest.</w:t>
      </w:r>
    </w:p>
    <w:p>
      <w:r>
        <w:rPr>
          <w:b/>
        </w:rPr>
        <w:t xml:space="preserve">For receivers:</w:t>
      </w:r>
    </w:p>
    <w:p>
      <w:pPr>
        <w:pStyle w:val="Quote"/>
      </w:pPr>
      <w:r>
        <w:rPr>
          <w:b/>
        </w:rPr>
        <w:t xml:space="preserve">Sharing what you receive.</w:t>
      </w:r>
      <w:r>
        <w:t xml:space="preserve"> Share received music only through FloorTest's share links or team review, and only with people you know and trust to keep it private, for listening and evaluation [and promotion]. You're responsible for who you add, including everyone at a company domain you add. Don't post a share link publicly. If you think a link has spread, reset or revoke it. Remove access promptly when a sender asks.</w:t>
      </w:r>
    </w:p>
    <w:p>
      <w:r>
        <w:rPr>
          <w:b/>
        </w:rPr>
        <w:t xml:space="preserve">For people given access (also shown as the access notice):</w:t>
      </w:r>
    </w:p>
    <w:p>
      <w:pPr>
        <w:pStyle w:val="Quote"/>
      </w:pPr>
      <w:r>
        <w:rPr>
          <w:b/>
        </w:rPr>
        <w:t xml:space="preserve">If someone shares a collection with you.</w:t>
      </w:r>
      <w:r>
        <w:t xml:space="preserve"> Your access is personal and can be ended at any time. Don't forward the link or your code, and don't record, copy, publish, upload, distribute or sell the music. If you were allowed to download, use the files only for the purpose they were shared for, and delete them when your access ends or when asked. The owner of the collection can see when you open it and what you play and download.</w:t>
      </w:r>
    </w:p>
    <w:p>
      <w:pPr>
        <w:pStyle w:val="Heading2"/>
      </w:pPr>
      <w:r>
        <w:t xml:space="preserve">4.3 Privacy Policy (new section: "If someone shares a collection with you")</w:t>
      </w:r>
    </w:p>
    <w:p>
      <w:pPr>
        <w:pStyle w:val="Quote"/>
      </w:pPr>
      <w:r>
        <w:t xml:space="preserve">When a FloorTest user shares a collection with you, they give us your email address (or your company's domain, or your FloorTest username). When you open the link, we email you a code to confirm your address.</w:t>
      </w:r>
    </w:p>
    <w:p>
      <w:pPr>
        <w:pStyle w:val="Quote"/>
      </w:pPr>
      <w:r>
        <w:t xml:space="preserve">We record:</w:t>
      </w:r>
    </w:p>
    <w:p>
      <w:pPr>
        <w:pStyle w:val="QuoteList"/>
        <w:numPr>
          <w:ilvl w:val="0"/>
          <w:numId w:val="2"/>
        </w:numPr>
      </w:pPr>
      <w:r>
        <w:t xml:space="preserve">your email address;</w:t>
      </w:r>
    </w:p>
    <w:p>
      <w:pPr>
        <w:pStyle w:val="QuoteList"/>
        <w:numPr>
          <w:ilvl w:val="0"/>
          <w:numId w:val="2"/>
        </w:numPr>
      </w:pPr>
      <w:r>
        <w:t xml:space="preserve">when you accepted the access notice (and which version);</w:t>
      </w:r>
    </w:p>
    <w:p>
      <w:pPr>
        <w:pStyle w:val="QuoteList"/>
        <w:numPr>
          <w:ilvl w:val="0"/>
          <w:numId w:val="2"/>
        </w:numPr>
      </w:pPr>
      <w:r>
        <w:t xml:space="preserve">each visit;</w:t>
      </w:r>
    </w:p>
    <w:p>
      <w:pPr>
        <w:pStyle w:val="QuoteList"/>
        <w:numPr>
          <w:ilvl w:val="0"/>
          <w:numId w:val="2"/>
        </w:numPr>
      </w:pPr>
      <w:r>
        <w:t xml:space="preserve">which tracks you played and downloaded;</w:t>
      </w:r>
    </w:p>
    <w:p>
      <w:pPr>
        <w:pStyle w:val="QuoteList"/>
        <w:numPr>
          <w:ilvl w:val="0"/>
          <w:numId w:val="2"/>
        </w:numPr>
      </w:pPr>
      <w:r>
        <w:t xml:space="preserve">if you ask to join, your name and note.</w:t>
      </w:r>
    </w:p>
    <w:p>
      <w:pPr>
        <w:pStyle w:val="Quote"/>
      </w:pPr>
      <w:r>
        <w:t xml:space="preserve">We use this to let only the right people in and to protect unreleased music. Our lawful basis is legitimate interests: yours, the collection owner's and the artists'.</w:t>
      </w:r>
    </w:p>
    <w:p>
      <w:pPr>
        <w:pStyle w:val="Quote"/>
      </w:pPr>
      <w:r>
        <w:t xml:space="preserve">The collection owner sees who opened their collection and what each person played and downloaded. The artists don't see your details.</w:t>
      </w:r>
    </w:p>
    <w:p>
      <w:pPr>
        <w:pStyle w:val="Quote"/>
      </w:pPr>
      <w:r>
        <w:t xml:space="preserve">We delete codes within a day, and your visits and activity [12 months] after the link ends. If you asked to join, we keep your request until it's answered and for [12 months] after. We keep declines and blocks longer, so the limits keep working.</w:t>
      </w:r>
    </w:p>
    <w:p>
      <w:r>
        <w:rPr>
          <w:b/>
        </w:rPr>
        <w:t xml:space="preserve">For team review</w:t>
      </w:r>
      <w:r>
        <w:t xml:space="preserve">, add to "What we collect":</w:t>
      </w:r>
    </w:p>
    <w:p>
      <w:pPr>
        <w:pStyle w:val="Quote"/>
      </w:pPr>
      <w:r>
        <w:t xml:space="preserve">If you're on someone's team, we keep your votes, comments and shortlist picks and show them to the collection owner and their team.</w:t>
      </w:r>
    </w:p>
    <w:p>
      <w:pPr>
        <w:pStyle w:val="Heading2"/>
      </w:pPr>
      <w:r>
        <w:t xml:space="preserve">4.4 Access notice (ticked before listening)</w:t>
      </w:r>
    </w:p>
    <w:p>
      <w:r>
        <w:t xml:space="preserve">The notice today:</w:t>
      </w:r>
    </w:p>
    <w:p>
      <w:pPr>
        <w:pStyle w:val="Quote"/>
      </w:pPr>
      <w:r>
        <w:t xml:space="preserve">This collection may contain confidential or unreleased music. Your access is personal and revocable. You may not forward the link, publish, reproduce, distribute or share the audio unless the collection owner has expressly enabled that permission.</w:t>
      </w:r>
    </w:p>
    <w:p>
      <w:r>
        <w:t xml:space="preserve">Proposed (adds what the owner can see, and a link):</w:t>
      </w:r>
    </w:p>
    <w:p>
      <w:pPr>
        <w:pStyle w:val="Quote"/>
      </w:pPr>
      <w:r>
        <w:t xml:space="preserve">This collection may contain confidential or unreleased music. Your access is personal and can be ended at any time. Don't forward the link or code, or record, publish, reproduce, distribute or share the audio. If downloads are enabled for you, use the files only for the purpose they were shared for and delete them when asked. The owner can see when you open this collection and what you play and download. [Privacy Policy]</w:t>
      </w:r>
    </w:p>
    <w:p>
      <w:pPr>
        <w:pStyle w:val="Heading2"/>
      </w:pPr>
      <w:r>
        <w:t xml:space="preserve">4.5 Cookie Policy (add, all strictly necessary)</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CellMar>
          <w:top w:w="60" w:type="dxa"/>
          <w:left w:w="100" w:type="dxa"/>
          <w:bottom w:w="60" w:type="dxa"/>
          <w:right w:w="100" w:type="dxa"/>
        </w:tblCellMar>
      </w:tblPr>
      <w:tblGrid>
        <w:gridCol w:w="1900"/>
        <w:gridCol w:w="3730"/>
        <w:gridCol w:w="3730"/>
      </w:tblGrid>
      <w:tr>
        <w:trPr>
          <w:tblHeader/>
        </w:trPr>
        <w:tc>
          <w:tcPr>
            <w:tcW w:w="1900" w:type="dxa"/>
            <w:shd w:val="clear" w:color="auto" w:fill="EDEDED"/>
          </w:tcPr>
          <w:p>
            <w:pPr>
              <w:pStyle w:val="TableText"/>
            </w:pPr>
            <w:r>
              <w:rPr>
                <w:b/>
              </w:rPr>
              <w:t xml:space="preserve">Cookie</w:t>
            </w:r>
          </w:p>
        </w:tc>
        <w:tc>
          <w:tcPr>
            <w:tcW w:w="3730" w:type="dxa"/>
            <w:shd w:val="clear" w:color="auto" w:fill="EDEDED"/>
          </w:tcPr>
          <w:p>
            <w:pPr>
              <w:pStyle w:val="TableText"/>
            </w:pPr>
            <w:r>
              <w:rPr>
                <w:b/>
              </w:rPr>
              <w:t xml:space="preserve">Lasts</w:t>
            </w:r>
          </w:p>
        </w:tc>
        <w:tc>
          <w:tcPr>
            <w:tcW w:w="3730" w:type="dxa"/>
            <w:shd w:val="clear" w:color="auto" w:fill="EDEDED"/>
          </w:tcPr>
          <w:p>
            <w:pPr>
              <w:pStyle w:val="TableText"/>
            </w:pPr>
            <w:r>
              <w:rPr>
                <w:b/>
              </w:rPr>
              <w:t xml:space="preserve">What for</w:t>
            </w:r>
          </w:p>
        </w:tc>
      </w:tr>
      <w:tr>
        <w:tc>
          <w:tcPr>
            <w:tcW w:w="1900" w:type="dxa"/>
          </w:tcPr>
          <w:p>
            <w:pPr>
              <w:pStyle w:val="TableText"/>
            </w:pPr>
            <w:r>
              <w:rPr>
                <w:rFonts w:ascii="Menlo" w:hAnsi="Menlo"/>
                <w:sz w:val="18"/>
              </w:rPr>
              <w:t xml:space="preserve">ft_lp_&lt;link&gt;</w:t>
            </w:r>
          </w:p>
        </w:tc>
        <w:tc>
          <w:tcPr>
            <w:tcW w:w="3730" w:type="dxa"/>
          </w:tcPr>
          <w:p>
            <w:pPr>
              <w:pStyle w:val="TableText"/>
            </w:pPr>
            <w:r>
              <w:t xml:space="preserve">10 minutes</w:t>
            </w:r>
          </w:p>
        </w:tc>
        <w:tc>
          <w:tcPr>
            <w:tcW w:w="3730" w:type="dxa"/>
          </w:tcPr>
          <w:p>
            <w:pPr>
              <w:pStyle w:val="TableText"/>
            </w:pPr>
            <w:r>
              <w:t xml:space="preserve">Remembers the email address you just confirmed with a code, for this link only</w:t>
            </w:r>
          </w:p>
        </w:tc>
      </w:tr>
      <w:tr>
        <w:tc>
          <w:tcPr>
            <w:tcW w:w="1900" w:type="dxa"/>
          </w:tcPr>
          <w:p>
            <w:pPr>
              <w:pStyle w:val="TableText"/>
            </w:pPr>
            <w:r>
              <w:rPr>
                <w:rFonts w:ascii="Menlo" w:hAnsi="Menlo"/>
                <w:sz w:val="18"/>
              </w:rPr>
              <w:t xml:space="preserve">ft_ls_&lt;link&gt;</w:t>
            </w:r>
          </w:p>
        </w:tc>
        <w:tc>
          <w:tcPr>
            <w:tcW w:w="3730" w:type="dxa"/>
          </w:tcPr>
          <w:p>
            <w:pPr>
              <w:pStyle w:val="TableText"/>
            </w:pPr>
            <w:r>
              <w:t xml:space="preserve">Up to 12 hours</w:t>
            </w:r>
          </w:p>
        </w:tc>
        <w:tc>
          <w:tcPr>
            <w:tcW w:w="3730" w:type="dxa"/>
          </w:tcPr>
          <w:p>
            <w:pPr>
              <w:pStyle w:val="TableText"/>
            </w:pPr>
            <w:r>
              <w:t xml:space="preserve">Keeps your verified visit to a shared collection</w:t>
            </w:r>
          </w:p>
        </w:tc>
      </w:tr>
      <w:tr>
        <w:tc>
          <w:tcPr>
            <w:tcW w:w="1900" w:type="dxa"/>
          </w:tcPr>
          <w:p>
            <w:pPr>
              <w:pStyle w:val="TableText"/>
            </w:pPr>
            <w:r>
              <w:rPr>
                <w:rFonts w:ascii="Menlo" w:hAnsi="Menlo"/>
                <w:sz w:val="18"/>
              </w:rPr>
              <w:t xml:space="preserve">floortest_next</w:t>
            </w:r>
          </w:p>
        </w:tc>
        <w:tc>
          <w:tcPr>
            <w:tcW w:w="3730" w:type="dxa"/>
          </w:tcPr>
          <w:p>
            <w:pPr>
              <w:pStyle w:val="TableText"/>
            </w:pPr>
            <w:r>
              <w:t xml:space="preserve">1 hour</w:t>
            </w:r>
          </w:p>
        </w:tc>
        <w:tc>
          <w:tcPr>
            <w:tcW w:w="3730" w:type="dxa"/>
          </w:tcPr>
          <w:p>
            <w:pPr>
              <w:pStyle w:val="TableText"/>
            </w:pPr>
            <w:r>
              <w:t xml:space="preserve">Brings you back to the shared page after you log in</w:t>
            </w:r>
          </w:p>
        </w:tc>
      </w:tr>
    </w:tbl>
    <w:p>
      <w:pPr>
        <w:pStyle w:val="Spacer"/>
      </w:pPr>
    </w:p>
    <w:p>
      <w:pPr>
        <w:pStyle w:val="Heading2"/>
      </w:pPr>
      <w:r>
        <w:t xml:space="preserve">4.6 Emails (current text; please redline)</w:t>
      </w:r>
    </w:p>
    <w:p>
      <w:pPr>
        <w:pStyle w:val="ListParagraph"/>
        <w:numPr>
          <w:ilvl w:val="0"/>
          <w:numId w:val="2"/>
        </w:numPr>
      </w:pPr>
      <w:r>
        <w:rPr>
          <w:b/>
        </w:rPr>
        <w:t xml:space="preserve">Code:</w:t>
      </w:r>
      <w:r>
        <w:t xml:space="preserve"> "</w:t>
      </w:r>
      <w:r>
        <w:rPr>
          <w:i/>
        </w:rPr>
        <w:t xml:space="preserve">123456 is your FloorTest code.</w:t>
      </w:r>
      <w:r>
        <w:t xml:space="preserve"> Your code to open a private FloorTest collection. It works for 10 minutes. If you didn't try to open a FloorTest link, ignore this email."</w:t>
      </w:r>
    </w:p>
    <w:p>
      <w:pPr>
        <w:pStyle w:val="ListParagraph"/>
        <w:numPr>
          <w:ilvl w:val="0"/>
          <w:numId w:val="2"/>
        </w:numPr>
      </w:pPr>
      <w:r>
        <w:rPr>
          <w:b/>
        </w:rPr>
        <w:t xml:space="preserve">Added by username:</w:t>
      </w:r>
      <w:r>
        <w:t xml:space="preserve"> "</w:t>
      </w:r>
      <w:r>
        <w:rPr>
          <w:i/>
        </w:rPr>
        <w:t xml:space="preserve">[Owner] shared "[Collection]" with you.</w:t>
      </w:r>
      <w:r>
        <w:t xml:space="preserve"> Listen here while signed in: [link]. Your access is personal and the music may be unreleased: please don't share it."</w:t>
      </w:r>
    </w:p>
    <w:p>
      <w:pPr>
        <w:pStyle w:val="ListParagraph"/>
        <w:numPr>
          <w:ilvl w:val="0"/>
          <w:numId w:val="2"/>
        </w:numPr>
      </w:pPr>
      <w:r>
        <w:rPr>
          <w:b/>
        </w:rPr>
        <w:t xml:space="preserve">Request approved:</w:t>
      </w:r>
      <w:r>
        <w:t xml:space="preserve"> "</w:t>
      </w:r>
      <w:r>
        <w:rPr>
          <w:i/>
        </w:rPr>
        <w:t xml:space="preserve">[Owner] let you in.</w:t>
      </w:r>
      <w:r>
        <w:t xml:space="preserve"> Open the link you were sent again and confirm your email to listen. Your access is personal: please don't forward the link."</w:t>
      </w:r>
    </w:p>
    <w:p>
      <w:pPr>
        <w:pStyle w:val="ListParagraph"/>
        <w:numPr>
          <w:ilvl w:val="0"/>
          <w:numId w:val="2"/>
        </w:numPr>
      </w:pPr>
      <w:r>
        <w:rPr>
          <w:b/>
        </w:rPr>
        <w:t xml:space="preserve">Request declined, or blocked (the same email, so the person isn't told they were blocked):</w:t>
      </w:r>
      <w:r>
        <w:t xml:space="preserve"> "</w:t>
      </w:r>
      <w:r>
        <w:rPr>
          <w:i/>
        </w:rPr>
        <w:t xml:space="preserve">About your request to [Owner].</w:t>
      </w:r>
      <w:r>
        <w:t xml:space="preserve"> [Owner] isn't sharing this collection with you right now."</w:t>
      </w:r>
    </w:p>
    <w:p>
      <w:pPr>
        <w:pStyle w:val="ListParagraph"/>
        <w:numPr>
          <w:ilvl w:val="0"/>
          <w:numId w:val="2"/>
        </w:numPr>
      </w:pPr>
      <w:r>
        <w:rPr>
          <w:b/>
        </w:rPr>
        <w:t xml:space="preserve">To the owner (at most one an hour):</w:t>
      </w:r>
      <w:r>
        <w:t xml:space="preserve"> "N people are asking to hear your music … Nobody gets in until you approve them."</w:t>
      </w:r>
    </w:p>
    <w:p>
      <w:pPr>
        <w:pStyle w:val="ListParagraph"/>
        <w:numPr>
          <w:ilvl w:val="0"/>
          <w:numId w:val="2"/>
        </w:numPr>
      </w:pPr>
      <w:r>
        <w:rPr>
          <w:b/>
        </w:rPr>
        <w:t xml:space="preserve">Leak warnings to the owner:</w:t>
      </w:r>
      <w:r>
        <w:t xml:space="preserve"> "A share link stopped taking requests" / "Someone may have your share link".</w:t>
      </w:r>
    </w:p>
    <w:p>
      <w:pPr>
        <w:pStyle w:val="Heading1"/>
      </w:pPr>
      <w:r>
        <w:t xml:space="preserve">5. Questions</w:t>
      </w:r>
    </w:p>
    <w:p>
      <w:r>
        <w:rPr>
          <w:b/>
        </w:rPr>
        <w:t xml:space="preserve">S1. Review Together is live.</w:t>
      </w:r>
      <w:r>
        <w:t xml:space="preserve"> Is it covered by the existing sender licence ("the receiver may listen, download, evaluate…"), with teammates acting for the receiver? Do the team paragraph (4.2) and the privacy line (4.3) close the gap, or do senders need to agree more explicitly?</w:t>
      </w:r>
    </w:p>
    <w:p>
      <w:r>
        <w:rPr>
          <w:b/>
        </w:rPr>
        <w:t xml:space="preserve">S2. Sender consent.</w:t>
      </w:r>
      <w:r>
        <w:t xml:space="preserve"> Is one line above Send (4.1), backed by the Terms, with no tick box, enough consent for named third parties to hear an unreleased track, and possibly download the original? Or should downloads need the sender's own choice when sending (e.g. "people they share with may: listen only / listen and download")?</w:t>
      </w:r>
    </w:p>
    <w:p>
      <w:r>
        <w:rPr>
          <w:b/>
        </w:rPr>
        <w:t xml:space="preserve">S3. Tracks sent before the new wording.</w:t>
      </w:r>
      <w:r>
        <w:t xml:space="preserve"> Those senders agreed to the 1 October model, which they were told was account holders only, 7 days, with download fixed by plan. We propose those tracks are </w:t>
      </w:r>
      <w:r>
        <w:rPr>
          <w:b/>
        </w:rPr>
        <w:t xml:space="preserve">not</w:t>
      </w:r>
      <w:r>
        <w:t xml:space="preserve"> shared by the new links unless the sender agrees for that track. Please confirm.</w:t>
      </w:r>
    </w:p>
    <w:p>
      <w:r>
        <w:rPr>
          <w:b/>
        </w:rPr>
        <w:t xml:space="preserve">S4. Binding people who aren't account holders.</w:t>
      </w:r>
      <w:r>
        <w:t xml:space="preserve"> Recipients accept the access notice: a tick box, recorded with version, email and time. Is that a binding agreement, and with whom? Can the sender enforce it directly as a third-party beneficiary (e.g. under the UK Contracts (Rights of Third Parties) Act 1999), or only FloorTest or the receiver? How does this work under Ghana law?</w:t>
      </w:r>
    </w:p>
    <w:p>
      <w:r>
        <w:rPr>
          <w:b/>
        </w:rPr>
        <w:t xml:space="preserve">S5. Purpose.</w:t>
      </w:r>
      <w:r>
        <w:t xml:space="preserve"> What may recipients use the music for? Listening and evaluation only? Promotion? Playing it in DJ sets if the sender allowed sets for that track? The owner wants evaluation by trusted contacts and never commercial release. Please set the wording.</w:t>
      </w:r>
    </w:p>
    <w:p>
      <w:r>
        <w:rPr>
          <w:b/>
        </w:rPr>
        <w:t xml:space="preserve">S6. Downloads after access ends.</w:t>
      </w:r>
      <w:r>
        <w:t xml:space="preserve"> Can we require recipients to delete downloaded files when access ends or when asked (4.2, 4.4), and is that enforceable in practice?</w:t>
      </w:r>
    </w:p>
    <w:p>
      <w:r>
        <w:rPr>
          <w:b/>
        </w:rPr>
        <w:t xml:space="preserve">S7. Company domains.</w:t>
      </w:r>
      <w:r>
        <w:t xml:space="preserve"> Adding </w:t>
      </w:r>
      <w:r>
        <w:rPr>
          <w:rFonts w:ascii="Menlo" w:hAnsi="Menlo"/>
          <w:sz w:val="18"/>
        </w:rPr>
        <w:t xml:space="preserve">@label.com</w:t>
      </w:r>
      <w:r>
        <w:t xml:space="preserve"> lets anyone with a confirmed address there in. Is putting the responsibility on the receiver (4.2) enough? Should we limit it, for example to the receiver's own domain or to a confirmation step?</w:t>
      </w:r>
    </w:p>
    <w:p>
      <w:r>
        <w:rPr>
          <w:b/>
        </w:rPr>
        <w:t xml:space="preserve">S8. People added by email who never open the link.</w:t>
      </w:r>
      <w:r>
        <w:t xml:space="preserve"> We store their address from the moment the receiver adds them, but we contact them only when they ask for a code. Do we owe them information (GDPR Art. 14) before then? If so, when and how?</w:t>
      </w:r>
    </w:p>
    <w:p>
      <w:r>
        <w:rPr>
          <w:b/>
        </w:rPr>
        <w:t xml:space="preserve">S9. Should the sender see sharing activity?</w:t>
      </w:r>
      <w:r>
        <w:t xml:space="preserve"> For example, "shared privately with 3 people · played 5 times". That gives artists transparency but exposes some recipient information to them. What do you advise?</w:t>
      </w:r>
    </w:p>
    <w:p>
      <w:r>
        <w:rPr>
          <w:b/>
        </w:rPr>
        <w:t xml:space="preserve">S10. Roles.</w:t>
      </w:r>
      <w:r>
        <w:t xml:space="preserve"> For recipients' data, is FloorTest a controller, with the receiver a separate controller for the list of people they add? Or is FloorTest a processor for the receiver?</w:t>
      </w:r>
    </w:p>
    <w:p>
      <w:r>
        <w:rPr>
          <w:b/>
        </w:rPr>
        <w:t xml:space="preserve">S11. Retention periods.</w:t>
      </w:r>
      <w:r>
        <w:t xml:space="preserve"> Please set them, and we'll build the deletion. Our proposals:</w:t>
      </w:r>
    </w:p>
    <w:p>
      <w:pPr>
        <w:pStyle w:val="ListParagraph"/>
        <w:numPr>
          <w:ilvl w:val="0"/>
          <w:numId w:val="2"/>
        </w:numPr>
      </w:pPr>
      <w:r>
        <w:t xml:space="preserve">codes: deleted within a day;</w:t>
      </w:r>
    </w:p>
    <w:p>
      <w:pPr>
        <w:pStyle w:val="ListParagraph"/>
        <w:numPr>
          <w:ilvl w:val="0"/>
          <w:numId w:val="2"/>
        </w:numPr>
      </w:pPr>
      <w:r>
        <w:t xml:space="preserve">visits and activity: 12 months after the link ends;</w:t>
      </w:r>
    </w:p>
    <w:p>
      <w:pPr>
        <w:pStyle w:val="ListParagraph"/>
        <w:numPr>
          <w:ilvl w:val="0"/>
          <w:numId w:val="2"/>
        </w:numPr>
      </w:pPr>
      <w:r>
        <w:t xml:space="preserve">requests: 12 months after they're answered;</w:t>
      </w:r>
    </w:p>
    <w:p>
      <w:pPr>
        <w:pStyle w:val="ListParagraph"/>
        <w:numPr>
          <w:ilvl w:val="0"/>
          <w:numId w:val="2"/>
        </w:numPr>
      </w:pPr>
      <w:r>
        <w:t xml:space="preserve">declines and blocks: kept while the collection exists, so the limits work.</w:t>
      </w:r>
    </w:p>
    <w:p>
      <w:r>
        <w:rPr>
          <w:b/>
        </w:rPr>
        <w:t xml:space="preserve">S12. Sender withdrawal.</w:t>
      </w:r>
      <w:r>
        <w:t xml:space="preserve"> Should a sender be able to stop future sharing of their track (it disappears from links; anyone who already downloaded keeps their copy)? Should the Terms promise a timeframe?</w:t>
      </w:r>
    </w:p>
    <w:p>
      <w:r>
        <w:rPr>
          <w:b/>
        </w:rPr>
        <w:t xml:space="preserve">S13. Messages to strangers.</w:t>
      </w:r>
      <w:r>
        <w:t xml:space="preserve"> People asking to join are never told what the collection is, and a block reads like a decline. Is the decline/block email acceptable, and is not telling someone they're blocked fine?</w:t>
      </w:r>
    </w:p>
    <w:p>
      <w:r>
        <w:rPr>
          <w:b/>
        </w:rPr>
        <w:t xml:space="preserve">S14. Activity shown to the receiver.</w:t>
      </w:r>
      <w:r>
        <w:t xml:space="preserve"> Is it acceptable for the receiver to see each recipient's visits, plays and downloads, given the notice says so before they listen (4.4)? Should the Privacy Policy say more?</w:t>
      </w:r>
    </w:p>
    <w:p>
      <w:r>
        <w:rPr>
          <w:b/>
        </w:rPr>
        <w:t xml:space="preserve">S15. Ghana, UK, EU.</w:t>
      </w:r>
      <w:r>
        <w:t xml:space="preserve"> Anything specific about emailing one-time codes to people who aren't FloorTest users (PECR / ePrivacy treat these as service messages, not marketing)? Does Ghana's Act 843 add anything for this new category of data subject?</w:t>
      </w:r>
    </w:p>
    <w:p>
      <w:r>
        <w:rPr>
          <w:b/>
        </w:rPr>
        <w:t xml:space="preserve">S16. Leaks and takedowns.</w:t>
      </w:r>
      <w:r>
        <w:t xml:space="preserve"> If a recipient leaks a track, what should the Terms let us do (suspend, disclose identity to the sender on request, cooperate with the sender's claim)? Should the receiver be liable for a leak by someone they added?</w:t>
      </w:r>
    </w:p>
    <w:p>
      <w:pPr>
        <w:pStyle w:val="Heading1"/>
      </w:pPr>
      <w:r>
        <w:t xml:space="preserve">6. After your review</w:t>
      </w:r>
    </w:p>
    <w:p>
      <w:r>
        <w:t xml:space="preserve">We'll put your wording into the Terms, Privacy Policy, Cookie Policy, send form, notice and emails, and finish the items in section 3. Then we'll date the Terms version, so only tracks sent under it can be shared, and only then switch sharing on.</w:t>
      </w:r>
    </w:p>
    <w:sectPr>
      <w:pgSz w:w="11906" w:h="16838"/>
      <w:pgMar w:top="1270" w:right="1270" w:bottom="1270" w:left="127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sz w:val="21"/>
        <w:lang w:val="en-GB"/>
      </w:rPr>
    </w:rPrDefault>
    <w:pPrDefault>
      <w:pPr>
        <w:spacing w:after="120" w:line="276" w:lineRule="auto"/>
      </w:pPr>
    </w:pPrDefault>
  </w:docDefaults>
  <w:style w:type="paragraph" w:styleId="Normal">
    <w:name w:val="Normal"/>
    <w:qFormat/>
    <w:pPr/>
    <w:rPr/>
  </w:style>
  <w:style w:type="paragraph" w:styleId="Title">
    <w:name w:val="Title"/>
    <w:basedOn w:val="Normal"/>
    <w:qFormat/>
    <w:pPr>
      <w:spacing w:after="60"/>
    </w:pPr>
    <w:rPr>
      <w:b/>
      <w:sz w:val="40"/>
    </w:rPr>
  </w:style>
  <w:style w:type="paragraph" w:styleId="Subtitle">
    <w:name w:val="Subtitle"/>
    <w:basedOn w:val="Normal"/>
    <w:qFormat/>
    <w:pPr>
      <w:spacing w:after="360"/>
    </w:pPr>
    <w:rPr>
      <w:color w:val="666666"/>
      <w:sz w:val="24"/>
    </w:rPr>
  </w:style>
  <w:style w:type="paragraph" w:styleId="Heading1">
    <w:name w:val="heading 1"/>
    <w:basedOn w:val="Normal"/>
    <w:qFormat/>
    <w:pPr>
      <w:keepNext/>
      <w:spacing w:before="360" w:after="120"/>
      <w:outlineLvl w:val="0"/>
    </w:pPr>
    <w:rPr>
      <w:b/>
      <w:sz w:val="30"/>
    </w:rPr>
  </w:style>
  <w:style w:type="paragraph" w:styleId="Heading2">
    <w:name w:val="heading 2"/>
    <w:basedOn w:val="Normal"/>
    <w:qFormat/>
    <w:pPr>
      <w:keepNext/>
      <w:spacing w:before="240" w:after="100"/>
      <w:outlineLvl w:val="1"/>
    </w:pPr>
    <w:rPr>
      <w:b/>
      <w:sz w:val="25"/>
    </w:rPr>
  </w:style>
  <w:style w:type="paragraph" w:styleId="Heading3">
    <w:name w:val="heading 3"/>
    <w:basedOn w:val="Normal"/>
    <w:qFormat/>
    <w:pPr>
      <w:keepNext/>
      <w:spacing w:before="200" w:after="80"/>
      <w:outlineLvl w:val="2"/>
    </w:pPr>
    <w:rPr>
      <w:b/>
      <w:sz w:val="22"/>
    </w:rPr>
  </w:style>
  <w:style w:type="paragraph" w:styleId="ListParagraph">
    <w:name w:val="List Paragraph"/>
    <w:basedOn w:val="Normal"/>
    <w:qFormat/>
    <w:pPr>
      <w:spacing w:after="60"/>
      <w:ind w:left="720" w:hanging="360"/>
    </w:pPr>
    <w:rPr/>
  </w:style>
  <w:style w:type="paragraph" w:styleId="Quote">
    <w:name w:val="Quote"/>
    <w:basedOn w:val="Normal"/>
    <w:qFormat/>
    <w:pPr>
      <w:ind w:left="567" w:right="567"/>
      <w:pBdr>
        <w:left w:val="single" w:sz="12" w:space="8" w:color="AAAAAA"/>
      </w:pBdr>
      <w:spacing w:after="120"/>
    </w:pPr>
    <w:rPr>
      <w:color w:val="333333"/>
    </w:rPr>
  </w:style>
  <w:style w:type="paragraph" w:styleId="QuoteList">
    <w:name w:val="Quote List"/>
    <w:basedOn w:val="Normal"/>
    <w:qFormat/>
    <w:pPr>
      <w:ind w:left="1080" w:right="567" w:hanging="360"/>
      <w:pBdr>
        <w:left w:val="single" w:sz="12" w:space="8" w:color="AAAAAA"/>
      </w:pBdr>
      <w:spacing w:after="120"/>
    </w:pPr>
    <w:rPr>
      <w:color w:val="333333"/>
    </w:rPr>
  </w:style>
  <w:style w:type="paragraph" w:styleId="TableText">
    <w:name w:val="Table Text"/>
    <w:basedOn w:val="Normal"/>
    <w:qFormat/>
    <w:pPr>
      <w:spacing w:after="0" w:line="240" w:lineRule="auto"/>
    </w:pPr>
    <w:rPr>
      <w:sz w:val="18"/>
    </w:rPr>
  </w:style>
  <w:style w:type="paragraph" w:styleId="Spacer">
    <w:name w:val="Spacer"/>
    <w:basedOn w:val="Normal"/>
    <w:qFormat/>
    <w:pPr>
      <w:spacing w:after="60"/>
    </w:pPr>
    <w:rPr>
      <w:sz w:val="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FloorTest Labs: brief for the lawyer</dc:title>
  <dc:creator>FloorTest Labs</dc:creator>
</cp:coreProperties>
</file>