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73958">
      <w:pPr>
        <w:spacing w:before="0" w:after="0" w:line="560" w:lineRule="exact"/>
        <w:jc w:val="center"/>
        <w:rPr>
          <w:rFonts w:hint="default" w:ascii="Times New Roman" w:hAnsi="Times New Roman" w:eastAsia="黑体" w:cs="Times New Roman"/>
          <w:sz w:val="36"/>
        </w:rPr>
      </w:pPr>
      <w:bookmarkStart w:id="0" w:name="_GoBack"/>
      <w:bookmarkEnd w:id="0"/>
    </w:p>
    <w:p w14:paraId="088621E4">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6"/>
        </w:rPr>
        <w:t>中国农业银行广西区分行一级支行普惠零售贷款高质量发展评价管理办法</w:t>
      </w:r>
    </w:p>
    <w:p w14:paraId="69700A0F">
      <w:pPr>
        <w:spacing w:before="0" w:after="0" w:line="560" w:lineRule="exact"/>
        <w:jc w:val="both"/>
        <w:rPr>
          <w:rFonts w:hint="default" w:ascii="Times New Roman" w:hAnsi="Times New Roman" w:cs="Times New Roman"/>
        </w:rPr>
      </w:pPr>
      <w:r>
        <w:rPr>
          <w:rFonts w:hint="default" w:ascii="Times New Roman" w:hAnsi="Times New Roman" w:eastAsia="楷体" w:cs="Times New Roman"/>
          <w:sz w:val="30"/>
        </w:rPr>
        <w:t>（农银桂规章〔2025〕</w:t>
      </w:r>
      <w:r>
        <w:rPr>
          <w:rFonts w:hint="eastAsia" w:ascii="Times New Roman" w:hAnsi="Times New Roman" w:eastAsia="楷体" w:cs="Times New Roman"/>
          <w:sz w:val="30"/>
          <w:lang w:val="en-US" w:eastAsia="zh-CN"/>
        </w:rPr>
        <w:t>22</w:t>
      </w:r>
      <w:r>
        <w:rPr>
          <w:rFonts w:hint="default" w:ascii="Times New Roman" w:hAnsi="Times New Roman" w:eastAsia="楷体" w:cs="Times New Roman"/>
          <w:sz w:val="30"/>
        </w:rPr>
        <w:t>号发布 自2025年12月</w:t>
      </w:r>
      <w:r>
        <w:rPr>
          <w:rFonts w:hint="eastAsia" w:ascii="Times New Roman" w:hAnsi="Times New Roman" w:eastAsia="楷体" w:cs="Times New Roman"/>
          <w:sz w:val="30"/>
          <w:lang w:val="en-US" w:eastAsia="zh-CN"/>
        </w:rPr>
        <w:t>3</w:t>
      </w:r>
      <w:r>
        <w:rPr>
          <w:rFonts w:hint="default" w:ascii="Times New Roman" w:hAnsi="Times New Roman" w:eastAsia="楷体" w:cs="Times New Roman"/>
          <w:sz w:val="30"/>
        </w:rPr>
        <w:t>日起施行）</w:t>
      </w:r>
      <w:r>
        <w:rPr>
          <w:rFonts w:hint="default" w:ascii="Times New Roman" w:hAnsi="Times New Roman" w:eastAsia="楷体" w:cs="Times New Roman"/>
          <w:sz w:val="30"/>
        </w:rPr>
        <w:cr/>
      </w:r>
    </w:p>
    <w:p w14:paraId="1792F97E">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0"/>
        </w:rPr>
        <w:t>第一章  总 则</w:t>
      </w:r>
      <w:r>
        <w:rPr>
          <w:rFonts w:hint="default" w:ascii="Times New Roman" w:hAnsi="Times New Roman" w:eastAsia="黑体" w:cs="Times New Roman"/>
          <w:sz w:val="30"/>
        </w:rPr>
        <w:cr/>
      </w:r>
    </w:p>
    <w:p w14:paraId="32F4DCC6">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第一条 </w:t>
      </w:r>
      <w:r>
        <w:rPr>
          <w:rFonts w:hint="default" w:ascii="Times New Roman" w:hAnsi="Times New Roman" w:eastAsia="仿宋_GB2312" w:cs="Times New Roman"/>
          <w:sz w:val="30"/>
        </w:rPr>
        <w:t>制定目的。为推进普惠零售贷款业务高质量发展，通过颗粒化指标体系更好促推各一级支行统筹业务发展和安全，形成“比学赶超”氛围，特制定本办法。</w:t>
      </w:r>
    </w:p>
    <w:p w14:paraId="29E3A947">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第二条 </w:t>
      </w:r>
      <w:r>
        <w:rPr>
          <w:rFonts w:hint="default" w:ascii="Times New Roman" w:hAnsi="Times New Roman" w:eastAsia="仿宋_GB2312" w:cs="Times New Roman"/>
          <w:sz w:val="30"/>
        </w:rPr>
        <w:t>总体原则。依据国家政策、监管要求、总行导向、区域发展及风险实际，按照突出重点、动态调整、精准问效原则，基于我行系统内发展、风险排名，合理确定评价指标及权重。</w:t>
      </w:r>
    </w:p>
    <w:p w14:paraId="417E9298">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第三条 </w:t>
      </w:r>
      <w:r>
        <w:rPr>
          <w:rFonts w:hint="default" w:ascii="Times New Roman" w:hAnsi="Times New Roman" w:eastAsia="仿宋_GB2312" w:cs="Times New Roman"/>
          <w:sz w:val="30"/>
        </w:rPr>
        <w:t>业务范围。本办法所称普惠零售贷款，包括1000万元（含）以下普惠小微企业法人贷款、个人经营贷款、农户贷款等普惠贷款，以及个人住房、个人消费、信用卡贷款等零售贷款。</w:t>
      </w:r>
    </w:p>
    <w:p w14:paraId="0743D61B">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第四条 </w:t>
      </w:r>
      <w:r>
        <w:rPr>
          <w:rFonts w:hint="default" w:ascii="Times New Roman" w:hAnsi="Times New Roman" w:eastAsia="仿宋_GB2312" w:cs="Times New Roman"/>
          <w:sz w:val="30"/>
        </w:rPr>
        <w:t>部门职责分工。区分行信用管理部门为评价总体牵头部门，负责总体及业务条线风险类指标设置、日常风险监测，组织开展风险约谈、问责、红黄牌管理和追责。普惠金融事业部门负责牵头发展类指标设置、监测，组织开展发展落后行约谈。个人信贷部门、农户金融部门、信用卡中心配合普惠金融事业部门推进相关工作。</w:t>
      </w:r>
    </w:p>
    <w:p w14:paraId="744EA2DF">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0"/>
        </w:rPr>
        <w:br w:type="textWrapping"/>
      </w:r>
      <w:r>
        <w:rPr>
          <w:rFonts w:hint="default" w:ascii="Times New Roman" w:hAnsi="Times New Roman" w:eastAsia="黑体" w:cs="Times New Roman"/>
          <w:sz w:val="30"/>
        </w:rPr>
        <w:t>第二章  评价内容</w:t>
      </w:r>
      <w:r>
        <w:rPr>
          <w:rFonts w:hint="default" w:ascii="Times New Roman" w:hAnsi="Times New Roman" w:eastAsia="黑体" w:cs="Times New Roman"/>
          <w:sz w:val="30"/>
        </w:rPr>
        <w:cr/>
      </w:r>
    </w:p>
    <w:p w14:paraId="019347EB">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第五条 </w:t>
      </w:r>
      <w:r>
        <w:rPr>
          <w:rFonts w:hint="default" w:ascii="Times New Roman" w:hAnsi="Times New Roman" w:eastAsia="仿宋_GB2312" w:cs="Times New Roman"/>
          <w:sz w:val="30"/>
        </w:rPr>
        <w:t>评价对象。各一级支行及行长（含主持工作的副行长）、分管相关普惠或零售条线副行长、分管信贷副行长（含行长助理）。</w:t>
      </w:r>
    </w:p>
    <w:p w14:paraId="1152B922">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第六条 </w:t>
      </w:r>
      <w:r>
        <w:rPr>
          <w:rFonts w:hint="default" w:ascii="Times New Roman" w:hAnsi="Times New Roman" w:eastAsia="仿宋_GB2312" w:cs="Times New Roman"/>
          <w:sz w:val="30"/>
        </w:rPr>
        <w:t>分组评价。分为城区支行组、县域支行组，并可视需要根据业务规模、网点数量对县域支行再分组。</w:t>
      </w:r>
    </w:p>
    <w:p w14:paraId="6F516940">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第七条 </w:t>
      </w:r>
      <w:r>
        <w:rPr>
          <w:rFonts w:hint="default" w:ascii="Times New Roman" w:hAnsi="Times New Roman" w:eastAsia="仿宋_GB2312" w:cs="Times New Roman"/>
          <w:sz w:val="30"/>
        </w:rPr>
        <w:t>评价周期。按月监测下发结果、按季通报奖惩、按年评价应用。</w:t>
      </w:r>
    </w:p>
    <w:p w14:paraId="3B1CE426">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第八条 </w:t>
      </w:r>
      <w:r>
        <w:rPr>
          <w:rFonts w:hint="default" w:ascii="Times New Roman" w:hAnsi="Times New Roman" w:eastAsia="仿宋_GB2312" w:cs="Times New Roman"/>
          <w:sz w:val="30"/>
        </w:rPr>
        <w:t>评价指标设置。评价采取百分制方式，包括业务发展维度、风险管控维度、基础管理维度。具体各维度的分数权重及评价指标，根据年度业务发展和风控需要，按年制订评价方案明确，报区分行党委审定。</w:t>
      </w:r>
    </w:p>
    <w:p w14:paraId="388796B8">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第九条 </w:t>
      </w:r>
      <w:r>
        <w:rPr>
          <w:rFonts w:hint="default" w:ascii="Times New Roman" w:hAnsi="Times New Roman" w:eastAsia="仿宋_GB2312" w:cs="Times New Roman"/>
          <w:sz w:val="30"/>
        </w:rPr>
        <w:t>评价方案调整。年度方案确定后，原则上不作调整，如遇特殊情形，经区分行党委同意，可适度调整具体指标设置和权重；对未涉及到风险类指标与发展类指标得分权重相互调整的细微调整事项，经分管行长签批同意后即可调整。</w:t>
      </w:r>
    </w:p>
    <w:p w14:paraId="42F6FE93">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0"/>
        </w:rPr>
        <w:br w:type="textWrapping"/>
      </w:r>
      <w:r>
        <w:rPr>
          <w:rFonts w:hint="default" w:ascii="Times New Roman" w:hAnsi="Times New Roman" w:eastAsia="黑体" w:cs="Times New Roman"/>
          <w:sz w:val="30"/>
        </w:rPr>
        <w:t>第三章  评价实施</w:t>
      </w:r>
      <w:r>
        <w:rPr>
          <w:rFonts w:hint="default" w:ascii="Times New Roman" w:hAnsi="Times New Roman" w:eastAsia="黑体" w:cs="Times New Roman"/>
          <w:sz w:val="30"/>
        </w:rPr>
        <w:cr/>
      </w:r>
    </w:p>
    <w:p w14:paraId="70AB10CF">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第十条 </w:t>
      </w:r>
      <w:r>
        <w:rPr>
          <w:rFonts w:hint="default" w:ascii="Times New Roman" w:hAnsi="Times New Roman" w:eastAsia="仿宋_GB2312" w:cs="Times New Roman"/>
          <w:sz w:val="30"/>
        </w:rPr>
        <w:t>年度评价方案制定。每年1月末前，由区分行信用管理部门牵头，相关条线业务部门配合，拟订年度评价方案，报区分行党委审议通过后下发。</w:t>
      </w:r>
    </w:p>
    <w:p w14:paraId="759CD59A">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第十一条 </w:t>
      </w:r>
      <w:r>
        <w:rPr>
          <w:rFonts w:hint="default" w:ascii="Times New Roman" w:hAnsi="Times New Roman" w:eastAsia="仿宋_GB2312" w:cs="Times New Roman"/>
          <w:sz w:val="30"/>
        </w:rPr>
        <w:t>年度方案宣讲。每年一季度，区分行信用管理部门牵头各相关业务条线部门，完成对全辖一级支行政策宣讲。</w:t>
      </w:r>
    </w:p>
    <w:p w14:paraId="37FA513A">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第十二条 </w:t>
      </w:r>
      <w:r>
        <w:rPr>
          <w:rFonts w:hint="default" w:ascii="Times New Roman" w:hAnsi="Times New Roman" w:eastAsia="仿宋_GB2312" w:cs="Times New Roman"/>
          <w:sz w:val="30"/>
        </w:rPr>
        <w:t>月度监测。每月后10个工作日内，区分行信用管理部门通过邮件向各二级分行、支行发送月度监测数据。</w:t>
      </w:r>
    </w:p>
    <w:p w14:paraId="6B3E4A5B">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第十三条 </w:t>
      </w:r>
      <w:r>
        <w:rPr>
          <w:rFonts w:hint="default" w:ascii="Times New Roman" w:hAnsi="Times New Roman" w:eastAsia="仿宋_GB2312" w:cs="Times New Roman"/>
          <w:sz w:val="30"/>
        </w:rPr>
        <w:t>季度通报。每季后15个工作日内，由区分行信用管理部门牵头相关条线业务部门，完成监测报告编制，报经区分行党委审定后，通报至各二级分行、一级支行。</w:t>
      </w:r>
    </w:p>
    <w:p w14:paraId="7F8EA525">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第十四条 </w:t>
      </w:r>
      <w:r>
        <w:rPr>
          <w:rFonts w:hint="default" w:ascii="Times New Roman" w:hAnsi="Times New Roman" w:eastAsia="仿宋_GB2312" w:cs="Times New Roman"/>
          <w:sz w:val="30"/>
        </w:rPr>
        <w:t>年度评价。每年后20个工作日内，由区分行信用管理部门牵头相关条线业务部门，完成年度评价工作，并对每组一级支行逐一分类，报经区分行党委审定后，通报各二级分行、一级支行。</w:t>
      </w:r>
    </w:p>
    <w:p w14:paraId="3DDC7BC8">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第十五条 </w:t>
      </w:r>
      <w:r>
        <w:rPr>
          <w:rFonts w:hint="default" w:ascii="Times New Roman" w:hAnsi="Times New Roman" w:eastAsia="仿宋_GB2312" w:cs="Times New Roman"/>
          <w:sz w:val="30"/>
        </w:rPr>
        <w:t>过程管理。各业务条线部门要建立常态化的过程管理机制，根据月度或季度的综合评价结果或分项评价结果，定期做好业务帮扶和指导，督导支行提升普惠零售贷款高质量发展水平。</w:t>
      </w:r>
    </w:p>
    <w:p w14:paraId="4F7327F0">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0"/>
        </w:rPr>
        <w:br w:type="textWrapping"/>
      </w:r>
      <w:r>
        <w:rPr>
          <w:rFonts w:hint="default" w:ascii="Times New Roman" w:hAnsi="Times New Roman" w:eastAsia="黑体" w:cs="Times New Roman"/>
          <w:sz w:val="30"/>
        </w:rPr>
        <w:t>第四章  评价结果应用</w:t>
      </w:r>
      <w:r>
        <w:rPr>
          <w:rFonts w:hint="default" w:ascii="Times New Roman" w:hAnsi="Times New Roman" w:eastAsia="黑体" w:cs="Times New Roman"/>
          <w:sz w:val="30"/>
        </w:rPr>
        <w:cr/>
      </w:r>
    </w:p>
    <w:p w14:paraId="07C8D23A">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第十六条 </w:t>
      </w:r>
      <w:r>
        <w:rPr>
          <w:rFonts w:hint="default" w:ascii="Times New Roman" w:hAnsi="Times New Roman" w:eastAsia="仿宋_GB2312" w:cs="Times New Roman"/>
          <w:sz w:val="30"/>
        </w:rPr>
        <w:t>结果分类。按年将各支行分类，作为下年度业务政策支持、业务转授权、差异化监督检查的参考依据。</w:t>
      </w:r>
    </w:p>
    <w:p w14:paraId="7A249EF9">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第十七条 </w:t>
      </w:r>
      <w:r>
        <w:rPr>
          <w:rFonts w:hint="default" w:ascii="Times New Roman" w:hAnsi="Times New Roman" w:eastAsia="仿宋_GB2312" w:cs="Times New Roman"/>
          <w:sz w:val="30"/>
        </w:rPr>
        <w:t>激励措施。评价结果作为区分行、二级分行选人用人的参考依据，并给予适当的物质和精神奖励。</w:t>
      </w:r>
    </w:p>
    <w:p w14:paraId="77B601E1">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第十八条 </w:t>
      </w:r>
      <w:r>
        <w:rPr>
          <w:rFonts w:hint="default" w:ascii="Times New Roman" w:hAnsi="Times New Roman" w:eastAsia="仿宋_GB2312" w:cs="Times New Roman"/>
          <w:sz w:val="30"/>
        </w:rPr>
        <w:t>业务问责。区分行相关信贷前后台部门，应根据支行普惠零售贷款发展、风控情况，经分管行长同意或由分管行长直接组织，选择每组不多于5家的一级支行，对一级支行行长或分管行长进行约谈、问责，及实施红黄牌管理。</w:t>
      </w:r>
    </w:p>
    <w:p w14:paraId="073BFF76">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第十九条 </w:t>
      </w:r>
      <w:r>
        <w:rPr>
          <w:rFonts w:hint="default" w:ascii="Times New Roman" w:hAnsi="Times New Roman" w:eastAsia="仿宋_GB2312" w:cs="Times New Roman"/>
          <w:sz w:val="30"/>
        </w:rPr>
        <w:t>风险追责。区分行信用管理部门按月监测，依据《中国农业银行责任追究管理办法》、《中国农业银行普惠信贷尽职免责实施细则》、《中国农业银行信用风险事件评议认定管理办法》及年度评价方案规定的风险问责、追责情形，对年度内触发追责情形的，启动责任认定和评议认定。</w:t>
      </w:r>
    </w:p>
    <w:p w14:paraId="4B9D7018">
      <w:pPr>
        <w:spacing w:before="0" w:after="0" w:line="560" w:lineRule="exact"/>
        <w:jc w:val="center"/>
        <w:rPr>
          <w:rFonts w:hint="default" w:ascii="Times New Roman" w:hAnsi="Times New Roman" w:cs="Times New Roman"/>
        </w:rPr>
      </w:pPr>
      <w:r>
        <w:rPr>
          <w:rFonts w:hint="default" w:ascii="Times New Roman" w:hAnsi="Times New Roman" w:eastAsia="黑体" w:cs="Times New Roman"/>
          <w:sz w:val="30"/>
        </w:rPr>
        <w:br w:type="textWrapping"/>
      </w:r>
      <w:r>
        <w:rPr>
          <w:rFonts w:hint="default" w:ascii="Times New Roman" w:hAnsi="Times New Roman" w:eastAsia="黑体" w:cs="Times New Roman"/>
          <w:sz w:val="30"/>
        </w:rPr>
        <w:t>第五章  附 则</w:t>
      </w:r>
      <w:r>
        <w:rPr>
          <w:rFonts w:hint="default" w:ascii="Times New Roman" w:hAnsi="Times New Roman" w:eastAsia="黑体" w:cs="Times New Roman"/>
          <w:sz w:val="30"/>
        </w:rPr>
        <w:cr/>
      </w:r>
    </w:p>
    <w:p w14:paraId="489CB204">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第二十条 </w:t>
      </w:r>
      <w:r>
        <w:rPr>
          <w:rFonts w:hint="default" w:ascii="Times New Roman" w:hAnsi="Times New Roman" w:eastAsia="仿宋_GB2312" w:cs="Times New Roman"/>
          <w:sz w:val="30"/>
        </w:rPr>
        <w:t>本管理办法由区分行（信用管理部）负责解释和修订。</w:t>
      </w:r>
    </w:p>
    <w:p w14:paraId="505F8FD6">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第二十一条 </w:t>
      </w:r>
      <w:r>
        <w:rPr>
          <w:rFonts w:hint="default" w:ascii="Times New Roman" w:hAnsi="Times New Roman" w:eastAsia="仿宋_GB2312" w:cs="Times New Roman"/>
          <w:sz w:val="30"/>
        </w:rPr>
        <w:t>本管理办法适用于中国农业银行广西区分行辖内各级机构，各二级分行可参照本管理办法对各一级支行进行评价。</w:t>
      </w:r>
    </w:p>
    <w:p w14:paraId="3FF618F0">
      <w:pPr>
        <w:spacing w:before="0" w:after="0" w:line="560" w:lineRule="exact"/>
        <w:jc w:val="both"/>
        <w:rPr>
          <w:rFonts w:hint="default" w:ascii="Times New Roman" w:hAnsi="Times New Roman" w:cs="Times New Roman"/>
        </w:rPr>
      </w:pPr>
      <w:r>
        <w:rPr>
          <w:rFonts w:hint="default" w:ascii="Times New Roman" w:hAnsi="Times New Roman" w:eastAsia="黑体" w:cs="Times New Roman"/>
          <w:sz w:val="30"/>
        </w:rPr>
        <w:tab/>
      </w:r>
      <w:r>
        <w:rPr>
          <w:rFonts w:hint="default" w:ascii="Times New Roman" w:hAnsi="Times New Roman" w:eastAsia="黑体" w:cs="Times New Roman"/>
          <w:sz w:val="30"/>
        </w:rPr>
        <w:t xml:space="preserve">第二十二条 </w:t>
      </w:r>
      <w:r>
        <w:rPr>
          <w:rFonts w:hint="default" w:ascii="Times New Roman" w:hAnsi="Times New Roman" w:eastAsia="仿宋_GB2312" w:cs="Times New Roman"/>
          <w:sz w:val="30"/>
        </w:rPr>
        <w:t>本办法自2025年12月</w:t>
      </w:r>
      <w:r>
        <w:rPr>
          <w:rFonts w:hint="eastAsia" w:ascii="Times New Roman" w:hAnsi="Times New Roman" w:eastAsia="仿宋_GB2312" w:cs="Times New Roman"/>
          <w:sz w:val="30"/>
          <w:lang w:val="en-US" w:eastAsia="zh-CN"/>
        </w:rPr>
        <w:t>3</w:t>
      </w:r>
      <w:r>
        <w:rPr>
          <w:rFonts w:hint="default" w:ascii="Times New Roman" w:hAnsi="Times New Roman" w:eastAsia="仿宋_GB2312" w:cs="Times New Roman"/>
          <w:sz w:val="30"/>
        </w:rPr>
        <w:t>日起施行。</w:t>
      </w:r>
    </w:p>
    <w:sectPr>
      <w:footerReference r:id="rId5" w:type="default"/>
      <w:pgSz w:w="11900" w:h="16840"/>
      <w:pgMar w:top="1440" w:right="1800" w:bottom="1134"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3964">
    <w:pPr>
      <w:jc w:val="center"/>
    </w:pPr>
    <w:r>
      <w:fldChar w:fldCharType="begin"/>
    </w:r>
    <w:r>
      <w:instrText xml:space="preserve">PAGE   \* MERGEFORMAT</w:instrText>
    </w:r>
    <w:r>
      <w:fldChar w:fldCharType="separate"/>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dit="readOnly"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252B2E"/>
    <w:rsid w:val="3F7E6AC9"/>
    <w:rsid w:val="75692924"/>
    <w:rsid w:val="771D4A3C"/>
    <w:rsid w:val="DF44ED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jc w:val="both"/>
    </w:pPr>
    <w:rPr>
      <w:rFonts w:ascii="Calibri" w:hAnsi="Calibri" w:eastAsia="宋体" w:cs="Times New Roman"/>
      <w:sz w:val="21"/>
      <w:szCs w:val="22"/>
    </w:rPr>
  </w:style>
  <w:style w:type="character" w:default="1" w:styleId="4">
    <w:name w:val="Default Paragraph Font"/>
    <w:semiHidden/>
    <w:qFormat/>
    <w:uiPriority w:val="0"/>
    <w:rPr>
      <w:rFonts w:ascii="Times New Roman" w:hAnsi="Times New Roman" w:eastAsia="仿宋_GB2312"/>
      <w:sz w:val="32"/>
    </w:rPr>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Body Text"/>
    <w:basedOn w:val="1"/>
    <w:next w:val="1"/>
    <w:qFormat/>
    <w:uiPriority w:val="0"/>
    <w:pPr>
      <w:spacing w:line="560" w:lineRule="exact"/>
    </w:pPr>
    <w:rPr>
      <w:rFonts w:ascii="Times New Roman" w:hAnsi="Times New Roman" w:eastAsia="仿宋_GB2312" w:cs="Times New Roman"/>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1642</Words>
  <Characters>1660</Characters>
  <TotalTime>0</TotalTime>
  <ScaleCrop>false</ScaleCrop>
  <LinksUpToDate>false</LinksUpToDate>
  <CharactersWithSpaces>1717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2025-11-27T09:53:00Z</dcterms:created>
  <dc:creator>Apache POI</dc:creator>
  <cp:lastModifiedBy>夏振宇</cp:lastModifiedBy>
  <cp:lastPrinted>2025-12-03T09:20:00Z</cp:lastPrinted>
  <dcterms:modified xsi:type="dcterms:W3CDTF">2025-12-08T07:59:10Z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E826F684A6C04C778DD95BE4BB65978C_13</vt:lpwstr>
  </property>
</Properties>
</file>