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Способ монетизации приложения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Донат: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В приложении будет валюта которую можно купить за деньги → за валюту покупаются паки с карточками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Виды паков:</w:t>
      </w:r>
      <w:r w:rsidDel="00000000" w:rsidR="00000000" w:rsidRPr="00000000">
        <w:rPr>
          <w:sz w:val="28"/>
          <w:szCs w:val="28"/>
          <w:rtl w:val="0"/>
        </w:rPr>
        <w:t xml:space="preserve"> Смешанные, по определенной коллекции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Размеры паков: </w:t>
      </w:r>
      <w:r w:rsidDel="00000000" w:rsidR="00000000" w:rsidRPr="00000000">
        <w:rPr>
          <w:sz w:val="28"/>
          <w:szCs w:val="28"/>
          <w:rtl w:val="0"/>
        </w:rPr>
        <w:t xml:space="preserve">Маленький, средний, большой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Кол-во карт в паках: </w:t>
      </w:r>
      <w:r w:rsidDel="00000000" w:rsidR="00000000" w:rsidRPr="00000000">
        <w:rPr>
          <w:sz w:val="28"/>
          <w:szCs w:val="28"/>
          <w:rtl w:val="0"/>
        </w:rPr>
        <w:t xml:space="preserve">Маленький (выпадает 5 рандомных (в зависимости какой вид пака открывается)), средний (выпадает 10 рандомных (в зависимости какой вид пака открывается)), большой (выпадает 20 рандомных (в зависимости какой вид пака открывается))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knqd9bugl7c0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Стоимость монет в рублях: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100 монет → 99 ₽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500 монет → 449 ₽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1 200 монет → 999 ₽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2 500 монет → 1 999 ₽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6 000 монет → 4 499 ₽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md13mhj25stw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Стоимость паков в монетах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Смешанные паки: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Маленький (5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100 монет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Средний (10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230 монет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Большой (20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410 монет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Коллекционные паки: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Маленький (5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140 монет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Средний (10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260 монет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Большой (20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500 монет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Логика ценообразования: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“Чуть-чуть не хватает” — если игрок покупает, например, 500 монет, он может взять средний и маленький пак, но до ещё одного пака будет не хватать 30-40 монет, мотивируя его купить ещё монет.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“Фритуплей-баланс” — цены подобраны так, чтобы активные игроки, получающие монеты внутриигровыми методами (например, за ежедневные задания), могли стабильно открывать паки, но с небольшими задержками. Например, если игрок получает 100-150 монет в день, то он сможет открыть 1 маленький или подкопить на средний пак.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