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34D4" w:rsidRDefault="00AC34D4" w:rsidP="007B5C64">
      <w:pPr>
        <w:pStyle w:val="isselectedend"/>
      </w:pPr>
      <w:r w:rsidRPr="00AC34D4">
        <w:rPr>
          <w:b/>
        </w:rPr>
        <w:t>Tittle</w:t>
      </w:r>
      <w:r>
        <w:t xml:space="preserve">: </w:t>
      </w:r>
      <w:r w:rsidR="007B5C64">
        <w:t>Linking</w:t>
      </w:r>
      <w:r w:rsidR="007B5C64">
        <w:t xml:space="preserve"> Medical Imaging to Cancer Biology Through AI: From Detection to Clinical Translation</w:t>
      </w:r>
    </w:p>
    <w:p w:rsidR="0021018D" w:rsidRDefault="00AC34D4" w:rsidP="00AC34D4">
      <w:pPr>
        <w:pStyle w:val="isselectedend"/>
      </w:pPr>
      <w:r w:rsidRPr="00AC34D4">
        <w:rPr>
          <w:b/>
        </w:rPr>
        <w:t>Abstract</w:t>
      </w:r>
      <w:r>
        <w:t xml:space="preserve">: </w:t>
      </w:r>
      <w:r w:rsidR="007B5C64">
        <w:t xml:space="preserve">Artificial intelligence in medical imaging has achieved remarkable performance in detecting, segmenting, and assessing tumors. Yet cancer is not a single imaging target, but a heterogeneous and evolving biological system. </w:t>
      </w:r>
      <w:r w:rsidR="0021018D">
        <w:t>Because precision oncology increasingly relies on molecular profiling to classify tumors and guide treatment, medical imaging AI must progress beyond tumor detection toward revealing clinically relevant aspects of cancer biology.</w:t>
      </w:r>
      <w:r w:rsidR="006F5EFF" w:rsidRPr="006F5EFF">
        <w:t xml:space="preserve"> </w:t>
      </w:r>
      <w:r w:rsidR="006F5EFF">
        <w:t>Rather than replacing pathology or genomic testing, AI-enabled imaging can complement them by providing a noninvasive, whole-tumor, and longitudinal view of cancer from detection and biological characterization to treatment selection and clinical translation.</w:t>
      </w:r>
    </w:p>
    <w:p w:rsidR="007B5C64" w:rsidRDefault="007B5C64" w:rsidP="00AC34D4">
      <w:pPr>
        <w:pStyle w:val="isselectedend"/>
        <w:jc w:val="both"/>
      </w:pPr>
      <w:r>
        <w:t xml:space="preserve">This talk will explore how quantitative imaging, radiomics, deep learning, and multimodal integration can </w:t>
      </w:r>
      <w:r w:rsidR="006F5EFF">
        <w:t>link</w:t>
      </w:r>
      <w:r>
        <w:t xml:space="preserve"> imaging phenotypes with tumor biology. Examples from our research include multiparametric breast MRI for characterizing tumor heterogeneity, vascular organization, molecular phenotypes, and treatment response; lung CT for the noninvasive prediction of molecular characteristics, including EGFR and KRAS mutation status; and multiparametric brain MRI for predicting IDH1 mutation status in gliomas. </w:t>
      </w:r>
      <w:r w:rsidR="001015AB">
        <w:t>Clinical translation, however, requires more than promising predictive performance. Imaging–biology associations must remain reliable across scanners, acquisition protocols, institutions, and patient populations. Achieving this requires biologically motivated, robust, interpretable, and externally validated AI.</w:t>
      </w:r>
      <w:bookmarkStart w:id="0" w:name="_GoBack"/>
      <w:bookmarkEnd w:id="0"/>
    </w:p>
    <w:sectPr w:rsidR="007B5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C64"/>
    <w:rsid w:val="001015AB"/>
    <w:rsid w:val="0021018D"/>
    <w:rsid w:val="006F5EFF"/>
    <w:rsid w:val="007B5C64"/>
    <w:rsid w:val="00AC34D4"/>
    <w:rsid w:val="00E0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F3E79"/>
  <w15:chartTrackingRefBased/>
  <w15:docId w15:val="{0CE11DE1-068C-4030-8EAA-1CE7C405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7B5C6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B5C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982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Marias</dc:creator>
  <cp:keywords/>
  <dc:description/>
  <cp:lastModifiedBy>Kostas Marias</cp:lastModifiedBy>
  <cp:revision>3</cp:revision>
  <dcterms:created xsi:type="dcterms:W3CDTF">2026-08-28T12:32:00Z</dcterms:created>
  <dcterms:modified xsi:type="dcterms:W3CDTF">2026-08-28T12:57:00Z</dcterms:modified>
</cp:coreProperties>
</file>