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投資組合管理平台-需求規格書-srs"/>
      <w:r>
        <w:rPr/>
        <w:t xml:space="preserve">投資組合管理平台 —— 需求規格書 </w:t>
      </w:r>
      <w:r>
        <w:rPr/>
        <w:t>(SRS)</w:t>
      </w:r>
    </w:p>
    <w:p>
      <w:pPr>
        <w:pStyle w:val="FirstParagraph"/>
        <w:rPr/>
      </w:pPr>
      <w:r>
        <w:rPr>
          <w:b/>
          <w:bCs/>
        </w:rPr>
        <w:t>文件版本</w:t>
      </w:r>
      <w:r>
        <w:rPr/>
        <w:t>:V3.1(</w:t>
      </w:r>
      <w:r>
        <w:rPr/>
        <w:t>計價模型定案修訂版</w:t>
      </w:r>
      <w:r>
        <w:rPr/>
        <w:t>)</w:t>
      </w:r>
    </w:p>
    <w:p>
      <w:pPr>
        <w:pStyle w:val="BodyText"/>
        <w:rPr/>
      </w:pPr>
      <w:r>
        <w:rPr>
          <w:b/>
          <w:bCs/>
        </w:rPr>
        <w:t>修訂摘要</w:t>
      </w:r>
      <w:r>
        <w:rPr>
          <w:b/>
          <w:bCs/>
        </w:rPr>
        <w:t>(V3.0 → V3.1)</w:t>
      </w:r>
      <w:r>
        <w:rPr/>
        <w:t>:</w:t>
      </w:r>
      <w:r>
        <w:rPr/>
        <w:t>本版依架構評審結論</w:t>
      </w:r>
      <w:r>
        <w:rPr/>
        <w:t>,</w:t>
      </w:r>
      <w:r>
        <w:rPr/>
        <w:t>對計價模型作出最終定案並修正若干技術矛盾</w:t>
      </w:r>
      <w:r>
        <w:rPr/>
        <w:t xml:space="preserve">:① </w:t>
      </w:r>
      <w:r>
        <w:rPr/>
        <w:t>精確定義「原始價格」為</w:t>
      </w:r>
      <w:r>
        <w:rPr>
          <w:b/>
          <w:bCs/>
        </w:rPr>
        <w:t>拆股已調整、股息未調整</w:t>
      </w:r>
      <w:r>
        <w:rPr/>
        <w:t>之收盤價</w:t>
      </w:r>
      <w:r>
        <w:rPr/>
        <w:t>,</w:t>
      </w:r>
      <w:r>
        <w:rPr/>
        <w:t>公司行動會計改採</w:t>
      </w:r>
      <w:r>
        <w:rPr>
          <w:b/>
          <w:bCs/>
        </w:rPr>
        <w:t>交易單位數重述</w:t>
      </w:r>
      <w:r>
        <w:rPr>
          <w:b/>
          <w:bCs/>
        </w:rPr>
        <w:t>(Restatement)</w:t>
      </w:r>
      <w:r>
        <w:rPr/>
        <w:t>模型</w:t>
      </w:r>
      <w:r>
        <w:rPr/>
        <w:t>(</w:t>
      </w:r>
      <w:r>
        <w:rPr/>
        <w:t>取代動態股數敘述</w:t>
      </w:r>
      <w:r>
        <w:rPr/>
        <w:t>,</w:t>
      </w:r>
      <w:r>
        <w:rPr/>
        <w:t>二者數學等價</w:t>
      </w:r>
      <w:r>
        <w:rPr/>
        <w:t>,</w:t>
      </w:r>
      <w:r>
        <w:rPr/>
        <w:t>前者與數據源實際口徑一致</w:t>
      </w:r>
      <w:r>
        <w:rPr/>
        <w:t xml:space="preserve">);② </w:t>
      </w:r>
      <w:r>
        <w:rPr/>
        <w:t>自動股息於</w:t>
      </w:r>
      <w:r>
        <w:rPr>
          <w:b/>
          <w:bCs/>
        </w:rPr>
        <w:t>除淨日</w:t>
      </w:r>
      <w:r>
        <w:rPr/>
        <w:t>入帳</w:t>
      </w:r>
      <w:r>
        <w:rPr/>
        <w:t>,</w:t>
      </w:r>
      <w:r>
        <w:rPr/>
        <w:t>支援逐筆修改與全局預扣稅率</w:t>
      </w:r>
      <w:r>
        <w:rPr/>
        <w:t>(</w:t>
      </w:r>
      <w:r>
        <w:rPr/>
        <w:t xml:space="preserve">預設 </w:t>
      </w:r>
      <w:r>
        <w:rPr/>
        <w:t xml:space="preserve">0%);③ </w:t>
      </w:r>
      <w:r>
        <w:rPr/>
        <w:t xml:space="preserve">修正 </w:t>
      </w:r>
      <w:r>
        <w:rPr/>
        <w:t xml:space="preserve">TWR </w:t>
      </w:r>
      <w:r>
        <w:rPr/>
        <w:t>公式之手續費重複扣減</w:t>
      </w:r>
      <w:r>
        <w:rPr/>
        <w:t xml:space="preserve">;④ </w:t>
      </w:r>
      <w:r>
        <w:rPr/>
        <w:t>修正增量更新與拆股事件之衝突規則</w:t>
      </w:r>
      <w:r>
        <w:rPr/>
        <w:t xml:space="preserve">;⑤ </w:t>
      </w:r>
      <w:r>
        <w:rPr/>
        <w:t>期權現金進出定義為外部資金流</w:t>
      </w:r>
      <w:r>
        <w:rPr/>
        <w:t xml:space="preserve">;⑥ </w:t>
      </w:r>
      <w:r>
        <w:rPr/>
        <w:t xml:space="preserve">明確 </w:t>
      </w:r>
      <w:r>
        <w:rPr/>
        <w:t xml:space="preserve">LIABILITY </w:t>
      </w:r>
      <w:r>
        <w:rPr/>
        <w:t>語義</w:t>
      </w:r>
      <w:r>
        <w:rPr/>
        <w:t xml:space="preserve">;⑦ FxRateMatrix </w:t>
      </w:r>
      <w:r>
        <w:rPr/>
        <w:t xml:space="preserve">以對 </w:t>
      </w:r>
      <w:r>
        <w:rPr/>
        <w:t xml:space="preserve">USD </w:t>
      </w:r>
      <w:r>
        <w:rPr/>
        <w:t>持久化加三角換算實現</w:t>
      </w:r>
      <w:r>
        <w:rPr/>
        <w:t xml:space="preserve">;⑧ </w:t>
      </w:r>
      <w:r>
        <w:rPr/>
        <w:t>預計算採前端按位置可加總快取。計價模型直接切換</w:t>
      </w:r>
      <w:r>
        <w:rPr/>
        <w:t>,</w:t>
      </w:r>
      <w:r>
        <w:rPr/>
        <w:t>不保留舊</w:t>
      </w:r>
      <w:r>
        <w:rPr/>
        <w:t>(</w:t>
      </w:r>
      <w:r>
        <w:rPr/>
        <w:t>經調整價</w:t>
      </w:r>
      <w:r>
        <w:rPr/>
        <w:t>)</w:t>
      </w:r>
      <w:r>
        <w:rPr/>
        <w:t>模型</w:t>
      </w:r>
      <w:r>
        <w:rPr/>
        <w:t>;</w:t>
      </w:r>
      <w:r>
        <w:rPr/>
        <w:t xml:space="preserve">歷史 </w:t>
      </w:r>
      <w:r>
        <w:rPr/>
        <w:t xml:space="preserve">TWR/MWR </w:t>
      </w:r>
      <w:r>
        <w:rPr/>
        <w:t>數值將隨之變動</w:t>
      </w:r>
      <w:r>
        <w:rPr/>
        <w:t>,</w:t>
      </w:r>
      <w:r>
        <w:rPr/>
        <w:t>屬預期行為。</w:t>
      </w:r>
    </w:p>
    <w:p>
      <w:pPr>
        <w:pStyle w:val="Heading2"/>
        <w:rPr/>
      </w:pPr>
      <w:bookmarkStart w:id="1" w:name="專案概述與核心目標"/>
      <w:r>
        <w:rPr/>
        <w:t xml:space="preserve">1. </w:t>
      </w:r>
      <w:r>
        <w:rPr/>
        <w:t>專案概述與核心目標</w:t>
      </w:r>
    </w:p>
    <w:p>
      <w:pPr>
        <w:pStyle w:val="FirstParagraph"/>
        <w:rPr/>
      </w:pPr>
      <w:r>
        <w:rPr/>
        <w:t>本專案旨在建構一個跨市場、多幣種的</w:t>
      </w:r>
      <w:r>
        <w:rPr>
          <w:b/>
          <w:bCs/>
        </w:rPr>
        <w:t>投資組合管理平台</w:t>
      </w:r>
      <w:r>
        <w:rPr/>
        <w:t>。系統採用</w:t>
      </w:r>
      <w:r>
        <w:rPr>
          <w:b/>
          <w:bCs/>
        </w:rPr>
        <w:t>手機端優先</w:t>
      </w:r>
      <w:r>
        <w:rPr>
          <w:b/>
          <w:bCs/>
        </w:rPr>
        <w:t>(Mobile-First)</w:t>
      </w:r>
      <w:r>
        <w:rPr/>
        <w:t>設計</w:t>
      </w:r>
      <w:r>
        <w:rPr/>
        <w:t>,</w:t>
      </w:r>
      <w:r>
        <w:rPr/>
        <w:t>最大兼顧至平板螢幕空間。</w:t>
      </w:r>
    </w:p>
    <w:p>
      <w:pPr>
        <w:pStyle w:val="BodyText"/>
        <w:rPr/>
      </w:pPr>
      <w:r>
        <w:rPr/>
        <w:t>本系統的核心架構價值在於</w:t>
      </w:r>
      <w:r>
        <w:rPr/>
        <w:t>:</w:t>
      </w:r>
      <w:r>
        <w:rPr/>
        <w:t>透過</w:t>
      </w:r>
      <w:r>
        <w:rPr>
          <w:b/>
          <w:bCs/>
        </w:rPr>
        <w:t>原始價格</w:t>
      </w:r>
      <w:r>
        <w:rPr>
          <w:b/>
          <w:bCs/>
        </w:rPr>
        <w:t>(Raw Price)</w:t>
      </w:r>
      <w:r>
        <w:rPr>
          <w:b/>
          <w:bCs/>
        </w:rPr>
        <w:t>計價體系</w:t>
      </w:r>
      <w:r>
        <w:rPr/>
        <w:t>、</w:t>
      </w:r>
      <w:r>
        <w:rPr>
          <w:b/>
          <w:bCs/>
        </w:rPr>
        <w:t>交易單位數重述機制</w:t>
      </w:r>
      <w:r>
        <w:rPr/>
        <w:t>與</w:t>
      </w:r>
      <w:r>
        <w:rPr>
          <w:b/>
          <w:bCs/>
        </w:rPr>
        <w:t>內部現金流轉模型</w:t>
      </w:r>
      <w:r>
        <w:rPr/>
        <w:t>,</w:t>
      </w:r>
      <w:r>
        <w:rPr/>
        <w:t>徹底解決股息除淨、拆股合股導致的資產淨值扭曲與雙重計算等行業痛點。同時</w:t>
      </w:r>
      <w:r>
        <w:rPr/>
        <w:t>,</w:t>
      </w:r>
      <w:r>
        <w:rPr/>
        <w:t>結合</w:t>
      </w:r>
      <w:r>
        <w:rPr>
          <w:b/>
          <w:bCs/>
        </w:rPr>
        <w:t>多源備援、增量持久化、後台數據預抓</w:t>
      </w:r>
      <w:r>
        <w:rPr/>
        <w:t>等工程設計</w:t>
      </w:r>
      <w:r>
        <w:rPr/>
        <w:t>,</w:t>
      </w:r>
      <w:r>
        <w:rPr/>
        <w:t>確保系統在處理大量交易與複雜會計指標</w:t>
      </w:r>
      <w:r>
        <w:rPr/>
        <w:t>(TWR/MWR)</w:t>
      </w:r>
      <w:r>
        <w:rPr/>
        <w:t>時</w:t>
      </w:r>
      <w:r>
        <w:rPr/>
        <w:t>,</w:t>
      </w:r>
      <w:r>
        <w:rPr/>
        <w:t>具備極致的效能、韌性與數據精準度。</w:t>
      </w:r>
      <w:bookmarkEnd w:id="1"/>
    </w:p>
    <w:p>
      <w:pPr>
        <w:pStyle w:val="Heading2"/>
        <w:rPr/>
      </w:pPr>
      <w:bookmarkStart w:id="2" w:name="數據層架構與市場數據持久化機制-resilient-data-layer"/>
      <w:r>
        <w:rPr/>
        <w:t xml:space="preserve">2. </w:t>
      </w:r>
      <w:r>
        <w:rPr/>
        <w:t xml:space="preserve">數據層架構與市場數據持久化機制 </w:t>
      </w:r>
      <w:r>
        <w:rPr/>
        <w:t>(Resilient Data Layer)</w:t>
      </w:r>
    </w:p>
    <w:p>
      <w:pPr>
        <w:pStyle w:val="Heading3"/>
        <w:rPr/>
      </w:pPr>
      <w:bookmarkStart w:id="3" w:name="數據源抽象層-dataprovider-interface"/>
      <w:r>
        <w:rPr/>
        <w:t xml:space="preserve">2.1 </w:t>
      </w:r>
      <w:r>
        <w:rPr/>
        <w:t xml:space="preserve">數據源抽象層 </w:t>
      </w:r>
      <w:r>
        <w:rPr/>
        <w:t>(DataProvider Interface)</w:t>
      </w:r>
    </w:p>
    <w:p>
      <w:pPr>
        <w:pStyle w:val="FirstParagraph"/>
        <w:rPr/>
      </w:pPr>
      <w:r>
        <w:rPr/>
        <w:t>後端須實作通用的行情</w:t>
      </w:r>
      <w:r>
        <w:rPr/>
        <w:t>/</w:t>
      </w:r>
      <w:r>
        <w:rPr/>
        <w:t>匯率介面</w:t>
      </w:r>
      <w:r>
        <w:rPr/>
        <w:t>,</w:t>
      </w:r>
      <w:r>
        <w:rPr/>
        <w:t>每筆金融資產</w:t>
      </w:r>
      <w:r>
        <w:rPr/>
        <w:t>(Security)</w:t>
      </w:r>
      <w:r>
        <w:rPr/>
        <w:t xml:space="preserve">記錄中必須包含 </w:t>
      </w:r>
      <w:r>
        <w:rPr/>
        <w:t xml:space="preserve">dataSource </w:t>
      </w:r>
      <w:r>
        <w:rPr/>
        <w:t>欄位</w:t>
      </w:r>
      <w:r>
        <w:rPr/>
        <w:t>,</w:t>
      </w:r>
      <w:r>
        <w:rPr/>
        <w:t>依資產類型進行分流</w:t>
      </w:r>
      <w:r>
        <w:rPr/>
        <w:t>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 xml:space="preserve">股票 </w:t>
      </w:r>
      <w:r>
        <w:rPr>
          <w:b/>
          <w:bCs/>
        </w:rPr>
        <w:t xml:space="preserve">/ </w:t>
      </w:r>
      <w:r>
        <w:rPr>
          <w:b/>
          <w:bCs/>
        </w:rPr>
        <w:t xml:space="preserve">普通 </w:t>
      </w:r>
      <w:r>
        <w:rPr>
          <w:b/>
          <w:bCs/>
        </w:rPr>
        <w:t>ETF</w:t>
      </w:r>
      <w:r>
        <w:rPr/>
        <w:t>:</w:t>
      </w:r>
      <w:r>
        <w:rPr/>
        <w:t xml:space="preserve">預設走 </w:t>
      </w:r>
      <w:r>
        <w:rPr/>
        <w:t>YAHOO Provider(</w:t>
      </w:r>
      <w:r>
        <w:rPr/>
        <w:t xml:space="preserve">調用 </w:t>
      </w:r>
      <w:r>
        <w:rPr/>
        <w:t xml:space="preserve">chart </w:t>
      </w:r>
      <w:r>
        <w:rPr/>
        <w:t>端點</w:t>
      </w:r>
      <w:r>
        <w:rPr/>
        <w:t>)</w:t>
      </w:r>
      <w:r>
        <w:rPr/>
        <w:t>。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加密貨幣</w:t>
      </w:r>
      <w:r>
        <w:rPr>
          <w:b/>
          <w:bCs/>
        </w:rPr>
        <w:t xml:space="preserve">(BTC/ETH </w:t>
      </w:r>
      <w:r>
        <w:rPr>
          <w:b/>
          <w:bCs/>
        </w:rPr>
        <w:t>等</w:t>
      </w:r>
      <w:r>
        <w:rPr>
          <w:b/>
          <w:bCs/>
        </w:rPr>
        <w:t>)</w:t>
      </w:r>
      <w:r>
        <w:rPr/>
        <w:t>:</w:t>
      </w:r>
      <w:r>
        <w:rPr/>
        <w:t xml:space="preserve">主源同走 </w:t>
      </w:r>
      <w:r>
        <w:rPr/>
        <w:t>YAHOO(</w:t>
      </w:r>
      <w:r>
        <w:rPr/>
        <w:t xml:space="preserve">原生支援 </w:t>
      </w:r>
      <w:r>
        <w:rPr/>
        <w:t xml:space="preserve">BTC-USD </w:t>
      </w:r>
      <w:r>
        <w:rPr/>
        <w:t>等代碼</w:t>
      </w:r>
      <w:r>
        <w:rPr/>
        <w:t>);</w:t>
      </w:r>
      <w:r>
        <w:rPr/>
        <w:t xml:space="preserve">失敗時降級至 </w:t>
      </w:r>
      <w:r>
        <w:rPr/>
        <w:t>COINGECKO Provider(</w:t>
      </w:r>
      <w:r>
        <w:rPr/>
        <w:t xml:space="preserve">免 </w:t>
      </w:r>
      <w:r>
        <w:rPr/>
        <w:t xml:space="preserve">API Key </w:t>
      </w:r>
      <w:r>
        <w:rPr/>
        <w:t>公開接口</w:t>
      </w:r>
      <w:r>
        <w:rPr/>
        <w:t>)</w:t>
      </w:r>
      <w:r>
        <w:rPr/>
        <w:t>。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美股期權</w:t>
      </w:r>
      <w:r>
        <w:rPr/>
        <w:t>:</w:t>
      </w:r>
      <w:r>
        <w:rPr>
          <w:b/>
          <w:bCs/>
        </w:rPr>
        <w:t>不對接自動行情源</w:t>
      </w:r>
      <w:r>
        <w:rPr/>
        <w:t xml:space="preserve">。系統僅支援 </w:t>
      </w:r>
      <w:r>
        <w:rPr/>
        <w:t>MANUAL(</w:t>
      </w:r>
      <w:r>
        <w:rPr/>
        <w:t>手動</w:t>
      </w:r>
      <w:r>
        <w:rPr/>
        <w:t>)</w:t>
      </w:r>
      <w:r>
        <w:rPr/>
        <w:t>模式</w:t>
      </w:r>
      <w:r>
        <w:rPr/>
        <w:t>,</w:t>
      </w:r>
      <w:r>
        <w:rPr/>
        <w:t>由用戶自行輸入交易價與結算價</w:t>
      </w:r>
      <w:r>
        <w:rPr/>
        <w:t>,</w:t>
      </w:r>
      <w:r>
        <w:rPr/>
        <w:t>且</w:t>
      </w:r>
      <w:r>
        <w:rPr>
          <w:b/>
          <w:bCs/>
        </w:rPr>
        <w:t xml:space="preserve">一律排除在歷史 </w:t>
      </w:r>
      <w:r>
        <w:rPr>
          <w:b/>
          <w:bCs/>
        </w:rPr>
        <w:t xml:space="preserve">K </w:t>
      </w:r>
      <w:r>
        <w:rPr>
          <w:b/>
          <w:bCs/>
        </w:rPr>
        <w:t>線與圖表動態追蹤之外</w:t>
      </w:r>
      <w:r>
        <w:rPr/>
        <w:t>(</w:t>
      </w:r>
      <w:r>
        <w:rPr/>
        <w:t xml:space="preserve">會計處理見 </w:t>
      </w:r>
      <w:r>
        <w:rPr/>
        <w:t>§3.4)</w:t>
      </w:r>
      <w:r>
        <w:rPr/>
        <w:t>。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冷門</w:t>
      </w:r>
      <w:r>
        <w:rPr>
          <w:b/>
          <w:bCs/>
        </w:rPr>
        <w:t>/</w:t>
      </w:r>
      <w:r>
        <w:rPr>
          <w:b/>
          <w:bCs/>
        </w:rPr>
        <w:t>其他資產</w:t>
      </w:r>
      <w:r>
        <w:rPr/>
        <w:t>:</w:t>
      </w:r>
      <w:r>
        <w:rPr/>
        <w:t xml:space="preserve">走 </w:t>
      </w:r>
      <w:r>
        <w:rPr/>
        <w:t>CUSTOM_JSON Provider(§2.5)</w:t>
      </w:r>
      <w:r>
        <w:rPr/>
        <w:t>。</w:t>
      </w:r>
      <w:bookmarkEnd w:id="3"/>
    </w:p>
    <w:p>
      <w:pPr>
        <w:pStyle w:val="Heading3"/>
        <w:rPr/>
      </w:pPr>
      <w:bookmarkStart w:id="4" w:name="多源自動降級與備援鏈-fallback-chain"/>
      <w:r>
        <w:rPr/>
        <w:t xml:space="preserve">2.2 </w:t>
      </w:r>
      <w:r>
        <w:rPr/>
        <w:t xml:space="preserve">多源自動降級與備援鏈 </w:t>
      </w:r>
      <w:r>
        <w:rPr/>
        <w:t>(Fallback Chain)</w:t>
      </w:r>
    </w:p>
    <w:p>
      <w:pPr>
        <w:pStyle w:val="FirstParagraph"/>
        <w:rPr/>
      </w:pPr>
      <w:r>
        <w:rPr/>
        <w:t>當主數據源失效</w:t>
      </w:r>
      <w:r>
        <w:rPr/>
        <w:t>(</w:t>
      </w:r>
      <w:r>
        <w:rPr/>
        <w:t>介面變更、頻率限制或封鎖</w:t>
      </w:r>
      <w:r>
        <w:rPr/>
        <w:t>)</w:t>
      </w:r>
      <w:r>
        <w:rPr/>
        <w:t>時</w:t>
      </w:r>
      <w:r>
        <w:rPr/>
        <w:t>,</w:t>
      </w:r>
      <w:r>
        <w:rPr/>
        <w:t>系統須秒級自動降級</w:t>
      </w:r>
      <w:r>
        <w:rPr/>
        <w:t>,</w:t>
      </w:r>
      <w:r>
        <w:rPr/>
        <w:t>確保平台不斷線</w:t>
      </w:r>
      <w:r>
        <w:rPr/>
        <w:t>: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行情備援</w:t>
      </w:r>
      <w:r>
        <w:rPr/>
        <w:t xml:space="preserve">:YAHOO → </w:t>
      </w:r>
      <w:r>
        <w:rPr/>
        <w:t xml:space="preserve">失敗 → </w:t>
      </w:r>
      <w:r>
        <w:rPr>
          <w:b/>
          <w:bCs/>
        </w:rPr>
        <w:t>本地歷史庫</w:t>
      </w:r>
      <w:r>
        <w:rPr>
          <w:b/>
          <w:bCs/>
        </w:rPr>
        <w:t>(</w:t>
      </w:r>
      <w:r>
        <w:rPr>
          <w:b/>
          <w:bCs/>
        </w:rPr>
        <w:t>過期數據</w:t>
      </w:r>
      <w:r>
        <w:rPr>
          <w:b/>
          <w:bCs/>
        </w:rPr>
        <w:t>,</w:t>
      </w:r>
      <w:r>
        <w:rPr>
          <w:b/>
          <w:bCs/>
        </w:rPr>
        <w:t xml:space="preserve">標記 </w:t>
      </w:r>
      <w:r>
        <w:rPr>
          <w:b/>
          <w:bCs/>
        </w:rPr>
        <w:t>stale)</w:t>
      </w:r>
      <w:r>
        <w:rPr/>
        <w:t xml:space="preserve"> → </w:t>
      </w:r>
      <w:r>
        <w:rPr/>
        <w:t xml:space="preserve">無庫存時 → </w:t>
      </w:r>
      <w:r>
        <w:rPr/>
        <w:t>STOOQ(</w:t>
      </w:r>
      <w:r>
        <w:rPr/>
        <w:t xml:space="preserve">免費 </w:t>
      </w:r>
      <w:r>
        <w:rPr/>
        <w:t xml:space="preserve">CSV </w:t>
      </w:r>
      <w:r>
        <w:rPr/>
        <w:t>接口</w:t>
      </w:r>
      <w:r>
        <w:rPr/>
        <w:t>)</w:t>
      </w:r>
      <w:r>
        <w:rPr/>
        <w:t>。優先採用過期但口徑一致的本地庫存</w:t>
      </w:r>
      <w:r>
        <w:rPr/>
        <w:t>,</w:t>
      </w:r>
      <w:r>
        <w:rPr/>
        <w:t xml:space="preserve">避免在「含股息調整 </w:t>
      </w:r>
      <w:r>
        <w:rPr/>
        <w:t xml:space="preserve">/ </w:t>
      </w:r>
      <w:r>
        <w:rPr/>
        <w:t>不含股息調整」的數據源之間切換造成基準對比口徑跳動。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法幣匯率備援</w:t>
      </w:r>
      <w:r>
        <w:rPr/>
        <w:t xml:space="preserve">:YAHOO {CCY}=X → </w:t>
      </w:r>
      <w:r>
        <w:rPr/>
        <w:t xml:space="preserve">失敗 → 本地歷史庫 → </w:t>
      </w:r>
      <w:r>
        <w:rPr/>
        <w:t>Frankfurter / ECB(</w:t>
      </w:r>
      <w:r>
        <w:rPr/>
        <w:t>歐洲央行公開數據</w:t>
      </w:r>
      <w:r>
        <w:rPr/>
        <w:t>;</w:t>
      </w:r>
      <w:r>
        <w:rPr/>
        <w:t xml:space="preserve">不含 </w:t>
      </w:r>
      <w:r>
        <w:rPr/>
        <w:t>TWD)</w:t>
      </w:r>
      <w:r>
        <w:rPr/>
        <w:t>。</w:t>
      </w:r>
      <w:bookmarkEnd w:id="4"/>
    </w:p>
    <w:p>
      <w:pPr>
        <w:pStyle w:val="Heading3"/>
        <w:rPr/>
      </w:pPr>
      <w:bookmarkStart w:id="5" w:name="X5bce7ac7429fb744f2dfabb0c3f58cae7080e0e"/>
      <w:r>
        <w:rPr/>
        <w:t xml:space="preserve">2.3 </w:t>
      </w:r>
      <w:r>
        <w:rPr/>
        <w:t xml:space="preserve">數據源數據契約約束 </w:t>
      </w:r>
      <w:r>
        <w:rPr/>
        <w:t>(Data Contract Constraint)</w:t>
      </w:r>
      <w:r>
        <w:rPr/>
        <w:t>【</w:t>
      </w:r>
      <w:r>
        <w:rPr/>
        <w:t xml:space="preserve">V3.1 </w:t>
      </w:r>
      <w:r>
        <w:rPr/>
        <w:t>修訂】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所有實現 </w:t>
      </w:r>
      <w:r>
        <w:rPr/>
        <w:t xml:space="preserve">DataProvider </w:t>
      </w:r>
      <w:r>
        <w:rPr/>
        <w:t>介面的行情源</w:t>
      </w:r>
      <w:r>
        <w:rPr/>
        <w:t>,</w:t>
      </w:r>
      <w:r>
        <w:rPr/>
        <w:t>其返回的歷史價格序列中</w:t>
      </w:r>
      <w:r>
        <w:rPr/>
        <w:t>,close(</w:t>
      </w:r>
      <w:r>
        <w:rPr/>
        <w:t>收盤價</w:t>
      </w:r>
      <w:r>
        <w:rPr/>
        <w:t>)</w:t>
      </w:r>
      <w:r>
        <w:rPr/>
        <w:t>屬性</w:t>
      </w:r>
      <w:r>
        <w:rPr>
          <w:b/>
          <w:bCs/>
        </w:rPr>
        <w:t>定義為「拆股已調整</w:t>
      </w:r>
      <w:r>
        <w:rPr>
          <w:b/>
          <w:bCs/>
        </w:rPr>
        <w:t>(split-adjusted)</w:t>
      </w:r>
      <w:r>
        <w:rPr>
          <w:b/>
          <w:bCs/>
        </w:rPr>
        <w:t>、股息未調整</w:t>
      </w:r>
      <w:r>
        <w:rPr>
          <w:b/>
          <w:bCs/>
        </w:rPr>
        <w:t>(dividend-unadjusted)</w:t>
      </w:r>
      <w:r>
        <w:rPr>
          <w:b/>
          <w:bCs/>
        </w:rPr>
        <w:t>」之收盤價</w:t>
      </w:r>
      <w:r>
        <w:rPr/>
        <w:t xml:space="preserve">。此定義與 </w:t>
      </w:r>
      <w:r>
        <w:rPr/>
        <w:t xml:space="preserve">Yahoo chart </w:t>
      </w:r>
      <w:r>
        <w:rPr/>
        <w:t xml:space="preserve">端點及 </w:t>
      </w:r>
      <w:r>
        <w:rPr/>
        <w:t xml:space="preserve">Stooq </w:t>
      </w:r>
      <w:r>
        <w:rPr/>
        <w:t>之原生口徑一致</w:t>
      </w:r>
      <w:r>
        <w:rPr/>
        <w:t>,</w:t>
      </w:r>
      <w:r>
        <w:rPr/>
        <w:t>全站以此為「原始價格</w:t>
      </w:r>
      <w:r>
        <w:rPr/>
        <w:t>(Raw Price)</w:t>
      </w:r>
      <w:r>
        <w:rPr/>
        <w:t>」之操作型定義。</w:t>
      </w:r>
    </w:p>
    <w:p>
      <w:pPr>
        <w:pStyle w:val="Compact"/>
        <w:numPr>
          <w:ilvl w:val="0"/>
          <w:numId w:val="23"/>
        </w:numPr>
        <w:rPr/>
      </w:pPr>
      <w:r>
        <w:rPr/>
        <w:t>各數據源「適配器</w:t>
      </w:r>
      <w:r>
        <w:rPr/>
        <w:t>(Adapter)</w:t>
      </w:r>
      <w:r>
        <w:rPr/>
        <w:t xml:space="preserve">」寫入本地 </w:t>
      </w:r>
      <w:r>
        <w:rPr/>
        <w:t xml:space="preserve">MarketData </w:t>
      </w:r>
      <w:r>
        <w:rPr/>
        <w:t>表的數值</w:t>
      </w:r>
      <w:r>
        <w:rPr/>
        <w:t>,</w:t>
      </w:r>
      <w:r>
        <w:rPr/>
        <w:t>必須排除</w:t>
      </w:r>
      <w:r>
        <w:rPr>
          <w:b/>
          <w:bCs/>
        </w:rPr>
        <w:t>股息</w:t>
      </w:r>
      <w:r>
        <w:rPr/>
        <w:t>調整、保留</w:t>
      </w:r>
      <w:r>
        <w:rPr>
          <w:b/>
          <w:bCs/>
        </w:rPr>
        <w:t>拆股</w:t>
      </w:r>
      <w:r>
        <w:rPr/>
        <w:t>調整</w:t>
      </w:r>
      <w:r>
        <w:rPr/>
        <w:t>;</w:t>
      </w:r>
      <w:r>
        <w:rPr/>
        <w:t>同時須處理特殊報價單位換算</w:t>
      </w:r>
      <w:r>
        <w:rPr/>
        <w:t>(</w:t>
      </w:r>
      <w:r>
        <w:rPr/>
        <w:t xml:space="preserve">如倫敦 </w:t>
      </w:r>
      <w:r>
        <w:rPr/>
        <w:t xml:space="preserve">GBp </w:t>
      </w:r>
      <w:r>
        <w:rPr/>
        <w:t xml:space="preserve">便士 → </w:t>
      </w:r>
      <w:r>
        <w:rPr/>
        <w:t>GBP</w:t>
      </w:r>
      <w:r>
        <w:rPr/>
        <w:t xml:space="preserve">、以色列 </w:t>
      </w:r>
      <w:r>
        <w:rPr/>
        <w:t>ILA → ILS)</w:t>
      </w:r>
      <w:r>
        <w:rPr/>
        <w:t>。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適配器須同步解析並持久化 </w:t>
      </w:r>
      <w:r>
        <w:rPr/>
        <w:t>dividends</w:t>
      </w:r>
      <w:hyperlink r:id="rId2">
        <w:r>
          <w:rPr/>
          <w:t xml:space="preserve">與 </w:t>
        </w:r>
      </w:hyperlink>
      <w:r>
        <w:rPr/>
        <w:t>splits</w:t>
      </w:r>
      <w:hyperlink r:id="rId3">
        <w:r>
          <w:rPr/>
          <w:t>事件序列。</w:t>
        </w:r>
      </w:hyperlink>
    </w:p>
    <w:p>
      <w:pPr>
        <w:pStyle w:val="Compact"/>
        <w:numPr>
          <w:ilvl w:val="0"/>
          <w:numId w:val="25"/>
        </w:numPr>
        <w:rPr/>
      </w:pPr>
      <w:r>
        <w:rPr/>
        <w:t>系統同時持久化</w:t>
      </w:r>
      <w:r>
        <w:rPr>
          <w:b/>
          <w:bCs/>
        </w:rPr>
        <w:t>經調整收盤價</w:t>
      </w:r>
      <w:r>
        <w:rPr>
          <w:b/>
          <w:bCs/>
        </w:rPr>
        <w:t>(Adjusted Close)</w:t>
      </w:r>
      <w:r>
        <w:rPr/>
        <w:t>序列</w:t>
      </w:r>
      <w:r>
        <w:rPr/>
        <w:t>,</w:t>
      </w:r>
      <w:r>
        <w:rPr/>
        <w:t>僅供大盤基準對比</w:t>
      </w:r>
      <w:r>
        <w:rPr/>
        <w:t>(§3.1)</w:t>
      </w:r>
      <w:r>
        <w:rPr/>
        <w:t>使用</w:t>
      </w:r>
      <w:r>
        <w:rPr/>
        <w:t>,</w:t>
      </w:r>
      <w:r>
        <w:rPr/>
        <w:t>嚴禁用於個人組合估值。</w:t>
      </w:r>
      <w:bookmarkEnd w:id="5"/>
    </w:p>
    <w:p>
      <w:pPr>
        <w:pStyle w:val="Heading3"/>
        <w:rPr/>
      </w:pPr>
      <w:bookmarkStart w:id="6" w:name="數據持久化增量更新與匯率矩陣v3.1-修訂"/>
      <w:r>
        <w:rPr/>
        <w:t xml:space="preserve">2.4 </w:t>
      </w:r>
      <w:r>
        <w:rPr/>
        <w:t>數據持久化、增量更新與匯率矩陣【</w:t>
      </w:r>
      <w:r>
        <w:rPr/>
        <w:t xml:space="preserve">V3.1 </w:t>
      </w:r>
      <w:r>
        <w:rPr/>
        <w:t>修訂】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行情增量抓取</w:t>
      </w:r>
      <w:r>
        <w:rPr/>
        <w:t>:</w:t>
      </w:r>
      <w:r>
        <w:rPr/>
        <w:t xml:space="preserve">行情數據寫入 </w:t>
      </w:r>
      <w:r>
        <w:rPr/>
        <w:t xml:space="preserve">MarketData </w:t>
      </w:r>
      <w:r>
        <w:rPr/>
        <w:t xml:space="preserve">表。後端查詢本地 </w:t>
      </w:r>
      <w:r>
        <w:rPr/>
        <w:t>max(date),</w:t>
      </w:r>
      <w:r>
        <w:rPr/>
        <w:t xml:space="preserve">僅向外部 </w:t>
      </w:r>
      <w:r>
        <w:rPr/>
        <w:t xml:space="preserve">API </w:t>
      </w:r>
      <w:r>
        <w:rPr/>
        <w:t xml:space="preserve">請求「最後一根 </w:t>
      </w:r>
      <w:r>
        <w:rPr/>
        <w:t xml:space="preserve">K </w:t>
      </w:r>
      <w:r>
        <w:rPr/>
        <w:t>線之後」的缺口數據</w:t>
      </w:r>
      <w:r>
        <w:rPr/>
        <w:t>(</w:t>
      </w:r>
      <w:r>
        <w:rPr/>
        <w:t>含約兩週重疊修復窗</w:t>
      </w:r>
      <w:r>
        <w:rPr/>
        <w:t>)</w:t>
      </w:r>
      <w:r>
        <w:rPr/>
        <w:t>。</w:t>
      </w:r>
      <w:r>
        <w:rPr>
          <w:b/>
          <w:bCs/>
        </w:rPr>
        <w:t>例外規則</w:t>
      </w:r>
      <w:r>
        <w:rPr/>
        <w:t xml:space="preserve">:① </w:t>
      </w:r>
      <w:r>
        <w:rPr/>
        <w:t>偵測到</w:t>
      </w:r>
      <w:r>
        <w:rPr>
          <w:b/>
          <w:bCs/>
        </w:rPr>
        <w:t>新拆股事件</w:t>
      </w:r>
      <w:r>
        <w:rPr/>
        <w:t>時</w:t>
      </w:r>
      <w:r>
        <w:rPr/>
        <w:t>,</w:t>
      </w:r>
      <w:r>
        <w:rPr/>
        <w:t>因外部源的拆股已調整價格會回溯變動</w:t>
      </w:r>
      <w:r>
        <w:rPr/>
        <w:t>,</w:t>
      </w:r>
      <w:r>
        <w:rPr/>
        <w:t>允許全量重抓或本地按因子重縮放</w:t>
      </w:r>
      <w:r>
        <w:rPr/>
        <w:t xml:space="preserve">;② </w:t>
      </w:r>
      <w:r>
        <w:rPr/>
        <w:t>因系統同時持久化經調整價序列供基準對比</w:t>
      </w:r>
      <w:r>
        <w:rPr/>
        <w:t>,</w:t>
      </w:r>
      <w:r>
        <w:rPr/>
        <w:t>新</w:t>
      </w:r>
      <w:r>
        <w:rPr>
          <w:b/>
          <w:bCs/>
        </w:rPr>
        <w:t>股息</w:t>
      </w:r>
      <w:r>
        <w:rPr/>
        <w:t>事件亦觸發調整價之全量重抓</w:t>
      </w:r>
      <w:r>
        <w:rPr/>
        <w:t>(</w:t>
      </w:r>
      <w:r>
        <w:rPr/>
        <w:t>原始價本身不受新股息影響</w:t>
      </w:r>
      <w:r>
        <w:rPr/>
        <w:t>)</w:t>
      </w:r>
      <w:r>
        <w:rPr/>
        <w:t>。除上述例外</w:t>
      </w:r>
      <w:r>
        <w:rPr/>
        <w:t>,</w:t>
      </w:r>
      <w:r>
        <w:rPr/>
        <w:t>禁止整段重抓歷史序列。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歷史匯率持久化</w:t>
      </w:r>
      <w:r>
        <w:rPr>
          <w:b/>
          <w:bCs/>
        </w:rPr>
        <w:t>(FxRateMatrix)</w:t>
      </w:r>
      <w:r>
        <w:rPr/>
        <w:t>:</w:t>
      </w:r>
      <w:r>
        <w:rPr/>
        <w:t>後端持久化每日</w:t>
      </w:r>
      <w:r>
        <w:rPr>
          <w:b/>
          <w:bCs/>
        </w:rPr>
        <w:t xml:space="preserve">各支援幣種對 </w:t>
      </w:r>
      <w:r>
        <w:rPr>
          <w:b/>
          <w:bCs/>
        </w:rPr>
        <w:t>USD</w:t>
      </w:r>
      <w:r>
        <w:rPr/>
        <w:t xml:space="preserve"> </w:t>
      </w:r>
      <w:r>
        <w:rPr/>
        <w:t>之匯率序列</w:t>
      </w:r>
      <w:r>
        <w:rPr/>
        <w:t>;</w:t>
      </w:r>
      <w:r>
        <w:rPr/>
        <w:t>任意交叉匯率</w:t>
      </w:r>
      <w:r>
        <w:rPr/>
        <w:t>(Cross Rate)</w:t>
      </w:r>
      <w:r>
        <w:rPr/>
        <w:t xml:space="preserve">由 </w:t>
      </w:r>
      <w:r>
        <w:rPr/>
        <w:t xml:space="preserve">USD </w:t>
      </w:r>
      <w:r>
        <w:rPr/>
        <w:t>三角換算即時求得</w:t>
      </w:r>
      <w:r>
        <w:rPr/>
        <w:t>,</w:t>
      </w:r>
      <w:r>
        <w:rPr/>
        <w:t xml:space="preserve">結果與完整交叉矩陣等價而儲存成本由 </w:t>
      </w:r>
      <w:r>
        <w:rPr/>
        <w:t xml:space="preserve">O(N²) </w:t>
      </w:r>
      <w:r>
        <w:rPr/>
        <w:t xml:space="preserve">降至 </w:t>
      </w:r>
      <w:r>
        <w:rPr/>
        <w:t>O(N)</w:t>
      </w:r>
      <w:r>
        <w:rPr/>
        <w:t>。前端切換基準貨幣時的動態歷史折算即基於此。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收市後自動預抓</w:t>
      </w:r>
      <w:r>
        <w:rPr/>
        <w:t>:</w:t>
      </w:r>
      <w:r>
        <w:rPr/>
        <w:t>定時任務於主要市場收市後</w:t>
      </w:r>
      <w:r>
        <w:rPr/>
        <w:t>(</w:t>
      </w:r>
      <w:r>
        <w:rPr/>
        <w:t xml:space="preserve">預設台北時間凌晨 </w:t>
      </w:r>
      <w:r>
        <w:rPr/>
        <w:t>05:00,</w:t>
      </w:r>
      <w:r>
        <w:rPr/>
        <w:t xml:space="preserve">可由 </w:t>
      </w:r>
      <w:r>
        <w:rPr/>
        <w:t xml:space="preserve">PREFETCH_HOUR </w:t>
      </w:r>
      <w:r>
        <w:rPr/>
        <w:t>配置</w:t>
      </w:r>
      <w:r>
        <w:rPr/>
        <w:t>),</w:t>
      </w:r>
      <w:r>
        <w:rPr/>
        <w:t>自動掃描全站用戶現有持倉之資產代碼與自訂源</w:t>
      </w:r>
      <w:r>
        <w:rPr/>
        <w:t>,</w:t>
      </w:r>
      <w:r>
        <w:rPr/>
        <w:t>以禮貌性間隔逐一同步當日最新原始價格、股息與拆股事件</w:t>
      </w:r>
      <w:r>
        <w:rPr/>
        <w:t>,</w:t>
      </w:r>
      <w:r>
        <w:rPr/>
        <w:t xml:space="preserve">實現用戶翌日「秒開 </w:t>
      </w:r>
      <w:r>
        <w:rPr/>
        <w:t>App</w:t>
      </w:r>
      <w:r>
        <w:rPr/>
        <w:t>」體驗。</w:t>
      </w:r>
      <w:bookmarkEnd w:id="6"/>
    </w:p>
    <w:p>
      <w:pPr>
        <w:pStyle w:val="Heading3"/>
        <w:rPr/>
      </w:pPr>
      <w:bookmarkStart w:id="7" w:name="通用-jsonpath-自訂數據源"/>
      <w:r>
        <w:rPr/>
        <w:t xml:space="preserve">2.5 </w:t>
      </w:r>
      <w:r>
        <w:rPr/>
        <w:t xml:space="preserve">通用 </w:t>
      </w:r>
      <w:r>
        <w:rPr/>
        <w:t xml:space="preserve">JSONPath </w:t>
      </w:r>
      <w:r>
        <w:rPr/>
        <w:t>自訂數據源</w:t>
      </w:r>
    </w:p>
    <w:p>
      <w:pPr>
        <w:pStyle w:val="FirstParagraph"/>
        <w:rPr/>
      </w:pPr>
      <w:r>
        <w:rPr/>
        <w:t>針對冷門資產</w:t>
      </w:r>
      <w:r>
        <w:rPr/>
        <w:t>,</w:t>
      </w:r>
      <w:r>
        <w:rPr/>
        <w:t xml:space="preserve">系統提供 </w:t>
      </w:r>
      <w:r>
        <w:rPr/>
        <w:t xml:space="preserve">/api/custom-sources </w:t>
      </w:r>
      <w:r>
        <w:rPr/>
        <w:t>接口</w:t>
      </w:r>
      <w:r>
        <w:rPr/>
        <w:t>,</w:t>
      </w:r>
      <w:r>
        <w:rPr/>
        <w:t xml:space="preserve">允許配置 </w:t>
      </w:r>
      <w:r>
        <w:rPr/>
        <w:t xml:space="preserve">JSONPath </w:t>
      </w:r>
      <w:r>
        <w:rPr/>
        <w:t>爬蟲規則</w:t>
      </w:r>
      <w:r>
        <w:rPr/>
        <w:t xml:space="preserve">(date_path </w:t>
      </w:r>
      <w:r>
        <w:rPr/>
        <w:t xml:space="preserve">與 </w:t>
      </w:r>
      <w:r>
        <w:rPr/>
        <w:t>price_path),</w:t>
      </w:r>
      <w:r>
        <w:rPr/>
        <w:t>日期格式自動偵測</w:t>
      </w:r>
      <w:r>
        <w:rPr/>
        <w:t xml:space="preserve">(ISO / Unix </w:t>
      </w:r>
      <w:r>
        <w:rPr/>
        <w:t xml:space="preserve">秒 </w:t>
      </w:r>
      <w:r>
        <w:rPr/>
        <w:t xml:space="preserve">/ Unix </w:t>
      </w:r>
      <w:r>
        <w:rPr/>
        <w:t xml:space="preserve">毫秒 </w:t>
      </w:r>
      <w:r>
        <w:rPr/>
        <w:t>/ MM/DD/YYYY)</w:t>
      </w:r>
      <w:r>
        <w:rPr/>
        <w:t>。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前端用戶提示機制</w:t>
      </w:r>
      <w:r>
        <w:rPr/>
        <w:t>:</w:t>
      </w:r>
      <w:r>
        <w:rPr/>
        <w:t>介面必須顯著提示</w:t>
      </w:r>
      <w:r>
        <w:rPr/>
        <w:t>:</w:t>
      </w:r>
      <w:r>
        <w:rPr/>
        <w:t>「</w:t>
      </w:r>
      <w:r>
        <w:rPr>
          <w:i/>
          <w:iCs/>
        </w:rPr>
        <w:t>此為自訂第三方數據源</w:t>
      </w:r>
      <w:r>
        <w:rPr>
          <w:i/>
          <w:iCs/>
        </w:rPr>
        <w:t>,</w:t>
      </w:r>
      <w:r>
        <w:rPr>
          <w:i/>
          <w:iCs/>
        </w:rPr>
        <w:t>若目標網站結構變更可能導致數據失效。</w:t>
      </w:r>
      <w:r>
        <w:rPr/>
        <w:t>」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後端錯誤日誌與監控</w:t>
      </w:r>
      <w:r>
        <w:rPr/>
        <w:t>:</w:t>
      </w:r>
      <w:r>
        <w:rPr/>
        <w:t>若某自訂源</w:t>
      </w:r>
      <w:r>
        <w:rPr>
          <w:b/>
          <w:bCs/>
        </w:rPr>
        <w:t xml:space="preserve">連續 </w:t>
      </w:r>
      <w:r>
        <w:rPr>
          <w:b/>
          <w:bCs/>
        </w:rPr>
        <w:t xml:space="preserve">3 </w:t>
      </w:r>
      <w:r>
        <w:rPr>
          <w:b/>
          <w:bCs/>
        </w:rPr>
        <w:t>次</w:t>
      </w:r>
      <w:r>
        <w:rPr/>
        <w:t>抓取失敗或解析超時</w:t>
      </w:r>
      <w:r>
        <w:rPr/>
        <w:t>,</w:t>
      </w:r>
      <w:r>
        <w:rPr/>
        <w:t>系統須自動記錄錯誤日誌</w:t>
      </w:r>
      <w:r>
        <w:rPr/>
        <w:t>(alerts)</w:t>
      </w:r>
      <w:r>
        <w:rPr/>
        <w:t>並向管理員報警</w:t>
      </w:r>
      <w:r>
        <w:rPr/>
        <w:t>,</w:t>
      </w:r>
      <w:r>
        <w:rPr/>
        <w:t>以便快速維護或通知用戶。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安全約束</w:t>
      </w:r>
      <w:r>
        <w:rPr/>
        <w:t>:</w:t>
      </w:r>
      <w:r>
        <w:rPr/>
        <w:t xml:space="preserve">自訂 </w:t>
      </w:r>
      <w:r>
        <w:rPr/>
        <w:t xml:space="preserve">URL </w:t>
      </w:r>
      <w:r>
        <w:rPr/>
        <w:t xml:space="preserve">僅允許 </w:t>
      </w:r>
      <w:r>
        <w:rPr/>
        <w:t xml:space="preserve">http(s) </w:t>
      </w:r>
      <w:r>
        <w:rPr/>
        <w:t>公網位址</w:t>
      </w:r>
      <w:r>
        <w:rPr/>
        <w:t>,</w:t>
      </w:r>
      <w:r>
        <w:rPr/>
        <w:t>伺服器端須拒絕內網</w:t>
      </w:r>
      <w:r>
        <w:rPr/>
        <w:t>/</w:t>
      </w:r>
      <w:r>
        <w:rPr/>
        <w:t>迴環位址</w:t>
      </w:r>
      <w:r>
        <w:rPr/>
        <w:t xml:space="preserve">(SSRF </w:t>
      </w:r>
      <w:r>
        <w:rPr/>
        <w:t>防護</w:t>
      </w:r>
      <w:r>
        <w:rPr/>
        <w:t>)</w:t>
      </w:r>
      <w:r>
        <w:rPr/>
        <w:t>。</w:t>
      </w:r>
      <w:bookmarkEnd w:id="2"/>
      <w:bookmarkEnd w:id="7"/>
    </w:p>
    <w:p>
      <w:pPr>
        <w:pStyle w:val="Heading2"/>
        <w:rPr/>
      </w:pPr>
      <w:bookmarkStart w:id="8" w:name="投資組合會計與資產回報計算架構業界標準方案v3.1-定案"/>
      <w:r>
        <w:rPr/>
        <w:t xml:space="preserve">3. </w:t>
      </w:r>
      <w:r>
        <w:rPr/>
        <w:t>投資組合會計與資產回報計算架構</w:t>
      </w:r>
      <w:r>
        <w:rPr/>
        <w:t>(</w:t>
      </w:r>
      <w:r>
        <w:rPr/>
        <w:t>業界標準方案</w:t>
      </w:r>
      <w:r>
        <w:rPr/>
        <w:t>)</w:t>
      </w:r>
      <w:r>
        <w:rPr/>
        <w:t>【</w:t>
      </w:r>
      <w:r>
        <w:rPr/>
        <w:t xml:space="preserve">V3.1 </w:t>
      </w:r>
      <w:r>
        <w:rPr/>
        <w:t>定案】</w:t>
      </w:r>
    </w:p>
    <w:p>
      <w:pPr>
        <w:pStyle w:val="FirstParagraph"/>
        <w:rPr/>
      </w:pPr>
      <w:r>
        <w:rPr/>
        <w:t>系統全面採用</w:t>
      </w:r>
      <w:r>
        <w:rPr>
          <w:b/>
          <w:bCs/>
        </w:rPr>
        <w:t>「原始價格</w:t>
      </w:r>
      <w:r>
        <w:rPr>
          <w:b/>
          <w:bCs/>
        </w:rPr>
        <w:t>(Raw Price)</w:t>
      </w:r>
      <w:r>
        <w:rPr>
          <w:b/>
          <w:bCs/>
        </w:rPr>
        <w:t>＋ 內部現金流轉</w:t>
      </w:r>
      <w:r>
        <w:rPr>
          <w:b/>
          <w:bCs/>
        </w:rPr>
        <w:t>(Internal Transfer)</w:t>
      </w:r>
      <w:r>
        <w:rPr>
          <w:b/>
          <w:bCs/>
        </w:rPr>
        <w:t>」</w:t>
      </w:r>
      <w:r>
        <w:rPr/>
        <w:t>會計模型</w:t>
      </w:r>
      <w:r>
        <w:rPr/>
        <w:t>,</w:t>
      </w:r>
      <w:r>
        <w:rPr/>
        <w:t xml:space="preserve">與 </w:t>
      </w:r>
      <w:r>
        <w:rPr/>
        <w:t xml:space="preserve">Portfolio Performance </w:t>
      </w:r>
      <w:r>
        <w:rPr/>
        <w:t>等業界標準工具口徑一致。本模型直接取代先前以經調整價估值之實作</w:t>
      </w:r>
      <w:r>
        <w:rPr/>
        <w:t>,</w:t>
      </w:r>
      <w:r>
        <w:rPr/>
        <w:t>不保留舊模型</w:t>
      </w:r>
      <w:r>
        <w:rPr/>
        <w:t>;</w:t>
      </w:r>
      <w:r>
        <w:rPr/>
        <w:t xml:space="preserve">切換後歷史 </w:t>
      </w:r>
      <w:r>
        <w:rPr/>
        <w:t xml:space="preserve">TWR/MWR </w:t>
      </w:r>
      <w:r>
        <w:rPr/>
        <w:t>數值將變動</w:t>
      </w:r>
      <w:r>
        <w:rPr/>
        <w:t>,</w:t>
      </w:r>
      <w:r>
        <w:rPr/>
        <w:t>屬預期行為</w:t>
      </w:r>
      <w:r>
        <w:rPr/>
        <w:t>,</w:t>
      </w:r>
      <w:r>
        <w:rPr/>
        <w:t>須於版本說明中告知用戶。</w:t>
      </w:r>
    </w:p>
    <w:p>
      <w:pPr>
        <w:pStyle w:val="Heading3"/>
        <w:rPr/>
      </w:pPr>
      <w:bookmarkStart w:id="9" w:name="計價與對比原則"/>
      <w:r>
        <w:rPr/>
        <w:t xml:space="preserve">3.1 </w:t>
      </w:r>
      <w:r>
        <w:rPr/>
        <w:t>計價與對比原則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個人投資組合</w:t>
      </w:r>
      <w:r>
        <w:rPr>
          <w:b/>
          <w:bCs/>
        </w:rPr>
        <w:t xml:space="preserve">(Portfolio NAV / TWR / MWR / </w:t>
      </w:r>
      <w:r>
        <w:rPr>
          <w:b/>
          <w:bCs/>
        </w:rPr>
        <w:t>陰陽燭</w:t>
      </w:r>
      <w:r>
        <w:rPr>
          <w:b/>
          <w:bCs/>
        </w:rPr>
        <w:t>)</w:t>
      </w:r>
      <w:r>
        <w:rPr/>
        <w:t>:</w:t>
      </w:r>
      <w:r>
        <w:rPr/>
        <w:t>一律採用</w:t>
      </w:r>
      <w:r>
        <w:rPr>
          <w:b/>
          <w:bCs/>
        </w:rPr>
        <w:t>原始收盤價</w:t>
      </w:r>
      <w:r>
        <w:rPr>
          <w:b/>
          <w:bCs/>
        </w:rPr>
        <w:t xml:space="preserve">(§2.3 </w:t>
      </w:r>
      <w:r>
        <w:rPr>
          <w:b/>
          <w:bCs/>
        </w:rPr>
        <w:t>定義</w:t>
      </w:r>
      <w:r>
        <w:rPr>
          <w:b/>
          <w:bCs/>
        </w:rPr>
        <w:t>)</w:t>
      </w:r>
      <w:r>
        <w:rPr/>
        <w:t>計算。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大盤基準對比</w:t>
      </w:r>
      <w:r>
        <w:rPr>
          <w:b/>
          <w:bCs/>
        </w:rPr>
        <w:t>(Benchmark Comparison)</w:t>
      </w:r>
      <w:r>
        <w:rPr/>
        <w:t>:</w:t>
      </w:r>
      <w:r>
        <w:rPr/>
        <w:t>一律採用</w:t>
      </w:r>
      <w:r>
        <w:rPr>
          <w:b/>
          <w:bCs/>
        </w:rPr>
        <w:t>經調整價</w:t>
      </w:r>
      <w:r>
        <w:rPr>
          <w:b/>
          <w:bCs/>
        </w:rPr>
        <w:t>(Adjusted Price)</w:t>
      </w:r>
      <w:r>
        <w:rPr/>
        <w:t xml:space="preserve">計算。因系統無法獲取對比 </w:t>
      </w:r>
      <w:r>
        <w:rPr/>
        <w:t>ETF(</w:t>
      </w:r>
      <w:r>
        <w:rPr/>
        <w:t xml:space="preserve">如 </w:t>
      </w:r>
      <w:r>
        <w:rPr/>
        <w:t>VT</w:t>
      </w:r>
      <w:r>
        <w:rPr/>
        <w:t>、</w:t>
      </w:r>
      <w:r>
        <w:rPr/>
        <w:t>SPY)</w:t>
      </w:r>
      <w:r>
        <w:rPr/>
        <w:t>的外部配息現金</w:t>
      </w:r>
      <w:r>
        <w:rPr/>
        <w:t>,</w:t>
      </w:r>
      <w:r>
        <w:rPr/>
        <w:t>惟有調整價能代表大盤「總報酬</w:t>
      </w:r>
      <w:r>
        <w:rPr/>
        <w:t>(Total Return)</w:t>
      </w:r>
      <w:r>
        <w:rPr/>
        <w:t>」。此不對稱為刻意設計</w:t>
      </w:r>
      <w:r>
        <w:rPr/>
        <w:t>;</w:t>
      </w:r>
      <w:r>
        <w:rPr/>
        <w:t xml:space="preserve">用戶端 </w:t>
      </w:r>
      <w:r>
        <w:rPr/>
        <w:t xml:space="preserve">TWR </w:t>
      </w:r>
      <w:r>
        <w:rPr/>
        <w:t>為扣費含息淨回報</w:t>
      </w:r>
      <w:r>
        <w:rPr/>
        <w:t>,</w:t>
      </w:r>
      <w:r>
        <w:rPr/>
        <w:t>與基準之毛總報酬對比屬業界慣例</w:t>
      </w:r>
      <w:r>
        <w:rPr/>
        <w:t>,</w:t>
      </w:r>
      <w:r>
        <w:rPr/>
        <w:t>須於說明文件註明。</w:t>
      </w:r>
      <w:bookmarkEnd w:id="9"/>
    </w:p>
    <w:p>
      <w:pPr>
        <w:pStyle w:val="Heading3"/>
        <w:rPr/>
      </w:pPr>
      <w:bookmarkStart w:id="10" w:name="股息與現金流轉邏輯v3.1-修訂"/>
      <w:r>
        <w:rPr/>
        <w:t xml:space="preserve">3.2 </w:t>
      </w:r>
      <w:r>
        <w:rPr/>
        <w:t>股息與現金流轉邏輯【</w:t>
      </w:r>
      <w:r>
        <w:rPr/>
        <w:t xml:space="preserve">V3.1 </w:t>
      </w:r>
      <w:r>
        <w:rPr/>
        <w:t>修訂】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自動入帳</w:t>
      </w:r>
      <w:r>
        <w:rPr/>
        <w:t>:</w:t>
      </w:r>
      <w:r>
        <w:rPr/>
        <w:t>後台同步事件後</w:t>
      </w:r>
      <w:r>
        <w:rPr/>
        <w:t>,</w:t>
      </w:r>
      <w:r>
        <w:rPr/>
        <w:t>系統於</w:t>
      </w:r>
      <w:r>
        <w:rPr>
          <w:b/>
          <w:bCs/>
        </w:rPr>
        <w:t>除淨日</w:t>
      </w:r>
      <w:r>
        <w:rPr>
          <w:b/>
          <w:bCs/>
        </w:rPr>
        <w:t>(Ex-Dividend Date)</w:t>
      </w:r>
      <w:r>
        <w:rPr/>
        <w:t xml:space="preserve">自動產生 </w:t>
      </w:r>
      <w:r>
        <w:rPr/>
        <w:t xml:space="preserve">DIVIDEND </w:t>
      </w:r>
      <w:r>
        <w:rPr/>
        <w:t>交易</w:t>
      </w:r>
      <w:r>
        <w:rPr/>
        <w:t>:</w:t>
      </w:r>
      <w:r>
        <w:rPr>
          <w:rStyle w:val="VerbatimChar"/>
        </w:rPr>
        <w:t xml:space="preserve">稅後金額 </w:t>
      </w:r>
      <w:r>
        <w:rPr>
          <w:rStyle w:val="VerbatimChar"/>
        </w:rPr>
        <w:t xml:space="preserve">= </w:t>
      </w:r>
      <w:r>
        <w:rPr>
          <w:rStyle w:val="VerbatimChar"/>
        </w:rPr>
        <w:t xml:space="preserve">重述後持股數 </w:t>
      </w:r>
      <w:r>
        <w:rPr>
          <w:rStyle w:val="VerbatimChar"/>
        </w:rPr>
        <w:t xml:space="preserve">× </w:t>
      </w:r>
      <w:r>
        <w:rPr>
          <w:rStyle w:val="VerbatimChar"/>
        </w:rPr>
        <w:t xml:space="preserve">每股股息 </w:t>
      </w:r>
      <w:r>
        <w:rPr>
          <w:rStyle w:val="VerbatimChar"/>
        </w:rPr>
        <w:t xml:space="preserve">× (1 − </w:t>
      </w:r>
      <w:r>
        <w:rPr>
          <w:rStyle w:val="VerbatimChar"/>
        </w:rPr>
        <w:t>預扣稅率</w:t>
      </w:r>
      <w:r>
        <w:rPr>
          <w:rStyle w:val="VerbatimChar"/>
        </w:rPr>
        <w:t>)</w:t>
      </w:r>
      <w:r>
        <w:rPr/>
        <w:t>。預扣稅率取值順序</w:t>
      </w:r>
      <w:r>
        <w:rPr/>
        <w:t>:</w:t>
      </w:r>
      <w:r>
        <w:rPr/>
        <w:t xml:space="preserve">該筆交易之用戶逐筆修改值 → 用戶全局「股息預扣稅率」設定 → 預設 </w:t>
      </w:r>
      <w:r>
        <w:rPr/>
        <w:t>0%</w:t>
      </w:r>
      <w:r>
        <w:rPr/>
        <w:t>。自動產生之交易標記為「預估</w:t>
      </w:r>
      <w:r>
        <w:rPr/>
        <w:t>(auto)</w:t>
      </w:r>
      <w:r>
        <w:rPr/>
        <w:t>」</w:t>
      </w:r>
      <w:r>
        <w:rPr/>
        <w:t>,</w:t>
      </w:r>
      <w:r>
        <w:rPr/>
        <w:t>用戶可逐筆修改金額、日期</w:t>
      </w:r>
      <w:r>
        <w:rPr/>
        <w:t>(</w:t>
      </w:r>
      <w:r>
        <w:rPr/>
        <w:t>如改為實際派息日</w:t>
      </w:r>
      <w:r>
        <w:rPr/>
        <w:t>)</w:t>
      </w:r>
      <w:r>
        <w:rPr/>
        <w:t>或刪除</w:t>
      </w:r>
      <w:r>
        <w:rPr/>
        <w:t>;</w:t>
      </w:r>
      <w:r>
        <w:rPr>
          <w:b/>
          <w:bCs/>
        </w:rPr>
        <w:t>經修改即視為手動交易</w:t>
      </w:r>
      <w:r>
        <w:rPr>
          <w:b/>
          <w:bCs/>
        </w:rPr>
        <w:t>,</w:t>
      </w:r>
      <w:r>
        <w:rPr>
          <w:b/>
          <w:bCs/>
        </w:rPr>
        <w:t>後續同步不再覆寫</w:t>
      </w:r>
      <w:r>
        <w:rPr>
          <w:b/>
          <w:bCs/>
        </w:rPr>
        <w:t>;</w:t>
      </w:r>
      <w:r>
        <w:rPr>
          <w:b/>
          <w:bCs/>
        </w:rPr>
        <w:t>經刪除者列入跳過清單</w:t>
      </w:r>
      <w:r>
        <w:rPr>
          <w:b/>
          <w:bCs/>
        </w:rPr>
        <w:t>,</w:t>
      </w:r>
      <w:r>
        <w:rPr>
          <w:b/>
          <w:bCs/>
        </w:rPr>
        <w:t>不再重生</w:t>
      </w:r>
      <w:r>
        <w:rPr/>
        <w:t>。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去重規則</w:t>
      </w:r>
      <w:r>
        <w:rPr/>
        <w:t>:</w:t>
      </w:r>
      <w:r>
        <w:rPr/>
        <w:t xml:space="preserve">同一代碼於除淨日 </w:t>
      </w:r>
      <w:r>
        <w:rPr/>
        <w:t xml:space="preserve">±14 </w:t>
      </w:r>
      <w:r>
        <w:rPr/>
        <w:t>天內已存在股息交易</w:t>
      </w:r>
      <w:r>
        <w:rPr/>
        <w:t>(</w:t>
      </w:r>
      <w:r>
        <w:rPr/>
        <w:t>手動或自動</w:t>
      </w:r>
      <w:r>
        <w:rPr/>
        <w:t>)</w:t>
      </w:r>
      <w:r>
        <w:rPr/>
        <w:t>者</w:t>
      </w:r>
      <w:r>
        <w:rPr/>
        <w:t>,</w:t>
      </w:r>
      <w:r>
        <w:rPr/>
        <w:t>不再自動產生。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資產位置分配</w:t>
      </w:r>
      <w:r>
        <w:rPr/>
        <w:t>:</w:t>
      </w:r>
      <w:r>
        <w:rPr/>
        <w:t>自動股息按除淨日當時各「資產位置」之持股比例分別入帳至對應位置之現金。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會計恆等式</w:t>
      </w:r>
      <w:r>
        <w:rPr/>
        <w:t>:</w:t>
      </w:r>
      <w:r>
        <w:rPr/>
        <w:t>除淨日股價自然下跌、現金等額增加</w:t>
      </w:r>
      <w:r>
        <w:rPr/>
        <w:t>,</w:t>
      </w:r>
      <w:r>
        <w:rPr/>
        <w:t>總資產</w:t>
      </w:r>
      <w:r>
        <w:rPr/>
        <w:t>(NAV)</w:t>
      </w:r>
      <w:r>
        <w:rPr/>
        <w:t>平滑不變</w:t>
      </w:r>
      <w:r>
        <w:rPr/>
        <w:t>;</w:t>
      </w:r>
      <w:r>
        <w:rPr/>
        <w:t>此為投資組合</w:t>
      </w:r>
      <w:r>
        <w:rPr>
          <w:b/>
          <w:bCs/>
        </w:rPr>
        <w:t>內部資產形態轉換</w:t>
      </w:r>
      <w:r>
        <w:rPr/>
        <w:t>,</w:t>
      </w:r>
      <w:r>
        <w:rPr>
          <w:b/>
          <w:bCs/>
        </w:rPr>
        <w:t>不計為外部資金流</w:t>
      </w:r>
      <w:r>
        <w:rPr>
          <w:b/>
          <w:bCs/>
        </w:rPr>
        <w:t>(No Inflow)</w:t>
      </w:r>
      <w:r>
        <w:rPr/>
        <w:t>,</w:t>
      </w:r>
      <w:r>
        <w:rPr/>
        <w:t>故回報率曲線於除淨時刻無虛假升降。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與券商對帳</w:t>
      </w:r>
      <w:r>
        <w:rPr/>
        <w:t>:</w:t>
      </w:r>
      <w:r>
        <w:rPr/>
        <w:t>因預扣稅率與派息時點因人而異</w:t>
      </w:r>
      <w:r>
        <w:rPr/>
        <w:t>,</w:t>
      </w:r>
      <w:r>
        <w:rPr/>
        <w:t>系統現金為</w:t>
      </w:r>
      <w:r>
        <w:rPr>
          <w:b/>
          <w:bCs/>
        </w:rPr>
        <w:t>趨近值</w:t>
      </w:r>
      <w:r>
        <w:rPr/>
        <w:t>,</w:t>
      </w:r>
      <w:r>
        <w:rPr/>
        <w:t>用戶可透過逐筆修改校正至與券商完全一致</w:t>
      </w:r>
      <w:r>
        <w:rPr/>
        <w:t>(</w:t>
      </w:r>
      <w:r>
        <w:rPr/>
        <w:t xml:space="preserve">取代 </w:t>
      </w:r>
      <w:r>
        <w:rPr/>
        <w:t xml:space="preserve">V3.0 </w:t>
      </w:r>
      <w:r>
        <w:rPr/>
        <w:t>之「</w:t>
      </w:r>
      <w:r>
        <w:rPr/>
        <w:t xml:space="preserve">100% </w:t>
      </w:r>
      <w:r>
        <w:rPr/>
        <w:t>一致」表述</w:t>
      </w:r>
      <w:r>
        <w:rPr/>
        <w:t>)</w:t>
      </w:r>
      <w:r>
        <w:rPr/>
        <w:t>。</w:t>
      </w:r>
      <w:bookmarkEnd w:id="10"/>
    </w:p>
    <w:p>
      <w:pPr>
        <w:pStyle w:val="Heading3"/>
        <w:rPr/>
      </w:pPr>
      <w:bookmarkStart w:id="11" w:name="公司行動與拆股合股會計處理v3.1-修訂交易單位數重述"/>
      <w:r>
        <w:rPr/>
        <w:t xml:space="preserve">3.3 </w:t>
      </w:r>
      <w:r>
        <w:rPr/>
        <w:t>公司行動與拆股</w:t>
      </w:r>
      <w:r>
        <w:rPr/>
        <w:t>/</w:t>
      </w:r>
      <w:r>
        <w:rPr/>
        <w:t>合股會計處理【</w:t>
      </w:r>
      <w:r>
        <w:rPr/>
        <w:t xml:space="preserve">V3.1 </w:t>
      </w:r>
      <w:r>
        <w:rPr/>
        <w:t>修訂</w:t>
      </w:r>
      <w:r>
        <w:rPr/>
        <w:t>:</w:t>
      </w:r>
      <w:r>
        <w:rPr/>
        <w:t>交易單位數重述】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事件監聽</w:t>
      </w:r>
      <w:r>
        <w:rPr/>
        <w:t>:</w:t>
      </w:r>
      <w:r>
        <w:rPr/>
        <w:t>後台定時任務同步行情時</w:t>
      </w:r>
      <w:r>
        <w:rPr/>
        <w:t>,</w:t>
      </w:r>
      <w:r>
        <w:rPr/>
        <w:t xml:space="preserve">必須同時解析 </w:t>
      </w:r>
      <w:r>
        <w:rPr/>
        <w:t>events=split</w:t>
      </w:r>
      <w:r>
        <w:rPr/>
        <w:t>。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交易單位數重述</w:t>
      </w:r>
      <w:r>
        <w:rPr>
          <w:b/>
          <w:bCs/>
        </w:rPr>
        <w:t>(Transaction Restatement)</w:t>
      </w:r>
      <w:r>
        <w:rPr/>
        <w:t>:</w:t>
      </w:r>
      <w:r>
        <w:rPr/>
        <w:t xml:space="preserve">因 </w:t>
      </w:r>
      <w:r>
        <w:rPr/>
        <w:t xml:space="preserve">§2.3 </w:t>
      </w:r>
      <w:r>
        <w:rPr/>
        <w:t>定義之原始價格已含拆股調整</w:t>
      </w:r>
      <w:r>
        <w:rPr/>
        <w:t>,</w:t>
      </w:r>
      <w:r>
        <w:rPr/>
        <w:t>系統</w:t>
      </w:r>
      <w:r>
        <w:rPr>
          <w:b/>
          <w:bCs/>
        </w:rPr>
        <w:t>不調整歷史價格</w:t>
      </w:r>
      <w:r>
        <w:rPr>
          <w:b/>
          <w:bCs/>
        </w:rPr>
        <w:t>,</w:t>
      </w:r>
      <w:r>
        <w:rPr>
          <w:b/>
          <w:bCs/>
        </w:rPr>
        <w:t>亦不採時間軸上的動態股數</w:t>
      </w:r>
      <w:r>
        <w:rPr/>
        <w:t>,</w:t>
      </w:r>
      <w:r>
        <w:rPr/>
        <w:t>而是於估值時將每筆交易之單位數與單價</w:t>
      </w:r>
      <w:r>
        <w:rPr>
          <w:b/>
          <w:bCs/>
        </w:rPr>
        <w:t>重述至現今拆股口徑</w:t>
      </w:r>
      <w:r>
        <w:rPr/>
        <w:t>:</w:t>
      </w:r>
      <w:r>
        <w:rPr>
          <w:rStyle w:val="VerbatimChar"/>
        </w:rPr>
        <w:t xml:space="preserve">重述單位數 </w:t>
      </w:r>
      <w:r>
        <w:rPr>
          <w:rStyle w:val="VerbatimChar"/>
        </w:rPr>
        <w:t xml:space="preserve">= </w:t>
      </w:r>
      <w:r>
        <w:rPr>
          <w:rStyle w:val="VerbatimChar"/>
        </w:rPr>
        <w:t xml:space="preserve">原始單位數 </w:t>
      </w:r>
      <w:r>
        <w:rPr>
          <w:rStyle w:val="VerbatimChar"/>
        </w:rPr>
        <w:t>× F</w:t>
      </w:r>
      <w:r>
        <w:rPr/>
        <w:t>、</w:t>
      </w:r>
      <w:r>
        <w:rPr>
          <w:rStyle w:val="VerbatimChar"/>
        </w:rPr>
        <w:t xml:space="preserve">重述單價 </w:t>
      </w:r>
      <w:r>
        <w:rPr>
          <w:rStyle w:val="VerbatimChar"/>
        </w:rPr>
        <w:t xml:space="preserve">= </w:t>
      </w:r>
      <w:r>
        <w:rPr>
          <w:rStyle w:val="VerbatimChar"/>
        </w:rPr>
        <w:t xml:space="preserve">原始單價 </w:t>
      </w:r>
      <w:r>
        <w:rPr>
          <w:rStyle w:val="VerbatimChar"/>
        </w:rPr>
        <w:t>÷ F</w:t>
      </w:r>
      <w:r>
        <w:rPr/>
        <w:t>,</w:t>
      </w:r>
      <w:r>
        <w:rPr/>
        <w:t xml:space="preserve">其中 </w:t>
      </w:r>
      <w:r>
        <w:rPr>
          <w:rStyle w:val="VerbatimChar"/>
        </w:rPr>
        <w:t>F = ∏(</w:t>
      </w:r>
      <w:r>
        <w:rPr>
          <w:rStyle w:val="VerbatimChar"/>
        </w:rPr>
        <w:t>交易日之後所有拆合股比例</w:t>
      </w:r>
      <w:r>
        <w:rPr>
          <w:rStyle w:val="VerbatimChar"/>
        </w:rPr>
        <w:t>)</w:t>
      </w:r>
      <w:r>
        <w:rPr/>
        <w:t>。用戶輸入之交易紀錄永遠以「成交當時口徑」保存</w:t>
      </w:r>
      <w:r>
        <w:rPr/>
        <w:t>,</w:t>
      </w:r>
      <w:r>
        <w:rPr/>
        <w:t>不被改寫</w:t>
      </w:r>
      <w:r>
        <w:rPr/>
        <w:t>;</w:t>
      </w:r>
      <w:r>
        <w:rPr/>
        <w:t>重述僅發生於計算層。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估值公式</w:t>
      </w:r>
      <w:r>
        <w:rPr/>
        <w:t>:</w:t>
      </w:r>
      <w:r>
        <w:rPr>
          <w:rStyle w:val="VerbatimChar"/>
        </w:rPr>
        <w:t xml:space="preserve">Value_t = </w:t>
      </w:r>
      <w:r>
        <w:rPr>
          <w:rStyle w:val="VerbatimChar"/>
        </w:rPr>
        <w:t xml:space="preserve">重述單位數 </w:t>
      </w:r>
      <w:r>
        <w:rPr>
          <w:rStyle w:val="VerbatimChar"/>
        </w:rPr>
        <w:t>× RawPrice_t</w:t>
      </w:r>
      <w:r>
        <w:rPr/>
        <w:t xml:space="preserve">。重述單位數 </w:t>
      </w:r>
      <w:r>
        <w:rPr/>
        <w:t xml:space="preserve">× </w:t>
      </w:r>
      <w:r>
        <w:rPr/>
        <w:t>重述單價 ≡ 原始金額</w:t>
      </w:r>
      <w:r>
        <w:rPr/>
        <w:t>,</w:t>
      </w:r>
      <w:r>
        <w:rPr/>
        <w:t>故現金扣減、成本基礎與資金流均不受影響</w:t>
      </w:r>
      <w:r>
        <w:rPr/>
        <w:t>;</w:t>
      </w:r>
      <w:r>
        <w:rPr/>
        <w:t>此變更屬內部會計調整</w:t>
      </w:r>
      <w:r>
        <w:rPr/>
        <w:t>,</w:t>
      </w:r>
      <w:r>
        <w:rPr>
          <w:b/>
          <w:bCs/>
        </w:rPr>
        <w:t>不觸發外部現金流</w:t>
      </w:r>
      <w:r>
        <w:rPr/>
        <w:t xml:space="preserve">,NAV </w:t>
      </w:r>
      <w:r>
        <w:rPr/>
        <w:t>平滑、回報率曲線無缺口。</w:t>
      </w:r>
    </w:p>
    <w:p>
      <w:pPr>
        <w:pStyle w:val="Compact"/>
        <w:numPr>
          <w:ilvl w:val="0"/>
          <w:numId w:val="42"/>
        </w:numPr>
        <w:rPr/>
      </w:pPr>
      <w:r>
        <w:rPr>
          <w:i/>
          <w:iCs/>
        </w:rPr>
        <w:t>(</w:t>
      </w:r>
      <w:r>
        <w:rPr>
          <w:i/>
          <w:iCs/>
        </w:rPr>
        <w:t>說明</w:t>
      </w:r>
      <w:r>
        <w:rPr>
          <w:i/>
          <w:iCs/>
        </w:rPr>
        <w:t>:</w:t>
      </w:r>
      <w:r>
        <w:rPr>
          <w:i/>
          <w:iCs/>
        </w:rPr>
        <w:t xml:space="preserve">本條與 </w:t>
      </w:r>
      <w:r>
        <w:rPr>
          <w:i/>
          <w:iCs/>
        </w:rPr>
        <w:t xml:space="preserve">V3.0 </w:t>
      </w:r>
      <w:r>
        <w:rPr>
          <w:i/>
          <w:iCs/>
        </w:rPr>
        <w:t>之「動態股數」模型數學等價</w:t>
      </w:r>
      <w:r>
        <w:rPr>
          <w:i/>
          <w:iCs/>
        </w:rPr>
        <w:t>;</w:t>
      </w:r>
      <w:r>
        <w:rPr>
          <w:i/>
          <w:iCs/>
        </w:rPr>
        <w:t xml:space="preserve">採重述式係因其與 </w:t>
      </w:r>
      <w:r>
        <w:rPr>
          <w:i/>
          <w:iCs/>
        </w:rPr>
        <w:t xml:space="preserve">§2.3 </w:t>
      </w:r>
      <w:r>
        <w:rPr>
          <w:i/>
          <w:iCs/>
        </w:rPr>
        <w:t>數據契約之拆股已調整口徑直接相容</w:t>
      </w:r>
      <w:r>
        <w:rPr>
          <w:i/>
          <w:iCs/>
        </w:rPr>
        <w:t>,</w:t>
      </w:r>
      <w:r>
        <w:rPr>
          <w:i/>
          <w:iCs/>
        </w:rPr>
        <w:t>且估值迴圈內股數恆定、實作更簡。</w:t>
      </w:r>
      <w:r>
        <w:rPr>
          <w:i/>
          <w:iCs/>
        </w:rPr>
        <w:t>)</w:t>
      </w:r>
      <w:bookmarkEnd w:id="11"/>
    </w:p>
    <w:p>
      <w:pPr>
        <w:pStyle w:val="Heading3"/>
        <w:rPr/>
      </w:pPr>
      <w:bookmarkStart w:id="12" w:name="期權之會計處理v3.1-新增"/>
      <w:r>
        <w:rPr/>
        <w:t xml:space="preserve">3.4 </w:t>
      </w:r>
      <w:r>
        <w:rPr/>
        <w:t>期權之會計處理【</w:t>
      </w:r>
      <w:r>
        <w:rPr/>
        <w:t xml:space="preserve">V3.1 </w:t>
      </w:r>
      <w:r>
        <w:rPr/>
        <w:t>新增】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期權不納入歷史曲線與 </w:t>
      </w:r>
      <w:r>
        <w:rPr/>
        <w:t xml:space="preserve">TWR/MWR </w:t>
      </w:r>
      <w:r>
        <w:rPr/>
        <w:t>追蹤</w:t>
      </w:r>
      <w:r>
        <w:rPr/>
        <w:t>(§2.1);</w:t>
      </w:r>
      <w:r>
        <w:rPr/>
        <w:t>其</w:t>
      </w:r>
      <w:r>
        <w:rPr>
          <w:b/>
          <w:bCs/>
        </w:rPr>
        <w:t>現金進出視為外部資金流</w:t>
      </w:r>
      <w:r>
        <w:rPr/>
        <w:t>:</w:t>
      </w:r>
      <w:r>
        <w:rPr/>
        <w:t xml:space="preserve">買入期權 </w:t>
      </w:r>
      <w:r>
        <w:rPr/>
        <w:t xml:space="preserve">= </w:t>
      </w:r>
      <w:r>
        <w:rPr/>
        <w:t>資金流出</w:t>
      </w:r>
      <w:r>
        <w:rPr/>
        <w:t>(Outflow),</w:t>
      </w:r>
      <w:r>
        <w:rPr/>
        <w:t>賣出</w:t>
      </w:r>
      <w:r>
        <w:rPr/>
        <w:t>/</w:t>
      </w:r>
      <w:r>
        <w:rPr/>
        <w:t xml:space="preserve">結算 </w:t>
      </w:r>
      <w:r>
        <w:rPr/>
        <w:t xml:space="preserve">= </w:t>
      </w:r>
      <w:r>
        <w:rPr/>
        <w:t>資金流入</w:t>
      </w:r>
      <w:r>
        <w:rPr/>
        <w:t>(Inflow)</w:t>
      </w:r>
      <w:r>
        <w:rPr/>
        <w:t xml:space="preserve">。此使 </w:t>
      </w:r>
      <w:r>
        <w:rPr/>
        <w:t xml:space="preserve">TWR/MWR </w:t>
      </w:r>
      <w:r>
        <w:rPr/>
        <w:t>對期權盈虧</w:t>
      </w:r>
      <w:r>
        <w:rPr>
          <w:b/>
          <w:bCs/>
        </w:rPr>
        <w:t>完全中立</w:t>
      </w:r>
      <w:r>
        <w:rPr/>
        <w:t>,</w:t>
      </w:r>
      <w:r>
        <w:rPr/>
        <w:t>且現金帳與券商實際進出一致。</w:t>
      </w:r>
    </w:p>
    <w:p>
      <w:pPr>
        <w:pStyle w:val="Compact"/>
        <w:numPr>
          <w:ilvl w:val="0"/>
          <w:numId w:val="44"/>
        </w:numPr>
        <w:rPr/>
      </w:pPr>
      <w:r>
        <w:rPr/>
        <w:t>期權於資產列表以</w:t>
      </w:r>
      <w:r>
        <w:rPr>
          <w:b/>
          <w:bCs/>
        </w:rPr>
        <w:t>最後手動輸入之結算價</w:t>
      </w:r>
      <w:r>
        <w:rPr/>
        <w:t>靜態參與當下總資產結算。</w:t>
      </w:r>
    </w:p>
    <w:p>
      <w:pPr>
        <w:pStyle w:val="Compact"/>
        <w:numPr>
          <w:ilvl w:val="0"/>
          <w:numId w:val="45"/>
        </w:numPr>
        <w:rPr/>
      </w:pPr>
      <w:r>
        <w:rPr/>
        <w:t>因歷史曲線不含期權現值</w:t>
      </w:r>
      <w:r>
        <w:rPr/>
        <w:t>,</w:t>
      </w:r>
      <w:r>
        <w:rPr/>
        <w:t>圖表須顯示註記</w:t>
      </w:r>
      <w:r>
        <w:rPr/>
        <w:t>:</w:t>
      </w:r>
      <w:r>
        <w:rPr/>
        <w:t xml:space="preserve">「不含期權現值 </w:t>
      </w:r>
      <w:r>
        <w:rPr/>
        <w:t>±X</w:t>
      </w:r>
      <w:r>
        <w:rPr/>
        <w:t>」</w:t>
      </w:r>
      <w:r>
        <w:rPr/>
        <w:t>,</w:t>
      </w:r>
      <w:r>
        <w:rPr/>
        <w:t>避免用戶誤認圖表末值與資產列表總額不符為錯誤。</w:t>
      </w:r>
      <w:bookmarkEnd w:id="8"/>
      <w:bookmarkEnd w:id="12"/>
    </w:p>
    <w:p>
      <w:pPr>
        <w:pStyle w:val="Heading2"/>
        <w:rPr/>
      </w:pPr>
      <w:bookmarkStart w:id="13" w:name="核心功能模組詳述"/>
      <w:r>
        <w:rPr/>
        <w:t xml:space="preserve">4. </w:t>
      </w:r>
      <w:r>
        <w:rPr/>
        <w:t>核心功能模組詳述</w:t>
      </w:r>
    </w:p>
    <w:p>
      <w:pPr>
        <w:pStyle w:val="Heading3"/>
        <w:rPr/>
      </w:pPr>
      <w:bookmarkStart w:id="14" w:name="模組一用戶認證系統"/>
      <w:r>
        <w:rPr/>
        <w:t>模組一</w:t>
      </w:r>
      <w:r>
        <w:rPr/>
        <w:t>:</w:t>
      </w:r>
      <w:r>
        <w:rPr/>
        <w:t>用戶認證系統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 xml:space="preserve">訪客模式 </w:t>
      </w:r>
      <w:r>
        <w:rPr>
          <w:b/>
          <w:bCs/>
        </w:rPr>
        <w:t>(Guest Mode)</w:t>
      </w:r>
      <w:r>
        <w:rPr/>
        <w:t>:</w:t>
      </w:r>
      <w:r>
        <w:rPr/>
        <w:t>免註冊</w:t>
      </w:r>
      <w:r>
        <w:rPr/>
        <w:t>,</w:t>
      </w:r>
      <w:r>
        <w:rPr/>
        <w:t>數據暫存於本地儲存</w:t>
      </w:r>
      <w:r>
        <w:rPr/>
        <w:t xml:space="preserve">(Local Storage / IndexedDB / </w:t>
      </w:r>
      <w:r>
        <w:rPr/>
        <w:t>等效機制</w:t>
      </w:r>
      <w:r>
        <w:rPr/>
        <w:t>)</w:t>
      </w:r>
      <w:r>
        <w:rPr/>
        <w:t>。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 xml:space="preserve">會員登入 </w:t>
      </w:r>
      <w:r>
        <w:rPr>
          <w:b/>
          <w:bCs/>
        </w:rPr>
        <w:t>(User Login)</w:t>
      </w:r>
      <w:r>
        <w:rPr/>
        <w:t>:</w:t>
      </w:r>
      <w:r>
        <w:rPr/>
        <w:t>支援雲端同步、修改密碼。代碼自主實作</w:t>
      </w:r>
      <w:r>
        <w:rPr/>
        <w:t>,</w:t>
      </w:r>
      <w:r>
        <w:rPr/>
        <w:t>防範開源授權</w:t>
      </w:r>
      <w:r>
        <w:rPr/>
        <w:t>(AGPL-3.0 / EPL-1.0)</w:t>
      </w:r>
      <w:r>
        <w:rPr/>
        <w:t>污染。</w:t>
      </w:r>
      <w:bookmarkEnd w:id="14"/>
    </w:p>
    <w:p>
      <w:pPr>
        <w:pStyle w:val="Heading3"/>
        <w:rPr/>
      </w:pPr>
      <w:bookmarkStart w:id="15" w:name="模組二擴展交易與帳戶管理模組-asset-list"/>
      <w:r>
        <w:rPr/>
        <w:t>模組二</w:t>
      </w:r>
      <w:r>
        <w:rPr/>
        <w:t>:</w:t>
      </w:r>
      <w:r>
        <w:rPr/>
        <w:t xml:space="preserve">擴展交易與帳戶管理模組 </w:t>
      </w:r>
      <w:r>
        <w:rPr/>
        <w:t>(Asset List)</w:t>
      </w:r>
    </w:p>
    <w:p>
      <w:pPr>
        <w:pStyle w:val="Heading4"/>
        <w:rPr/>
      </w:pPr>
      <w:bookmarkStart w:id="16" w:name="交易活動類型與模型擴展v3.1-修訂"/>
      <w:r>
        <w:rPr/>
        <w:t xml:space="preserve">1. </w:t>
      </w:r>
      <w:r>
        <w:rPr/>
        <w:t>交易活動類型與模型擴展【</w:t>
      </w:r>
      <w:r>
        <w:rPr/>
        <w:t xml:space="preserve">V3.1 </w:t>
      </w:r>
      <w:r>
        <w:rPr/>
        <w:t>修訂】</w:t>
      </w:r>
    </w:p>
    <w:p>
      <w:pPr>
        <w:pStyle w:val="FirstParagraph"/>
        <w:rPr/>
      </w:pPr>
      <w:r>
        <w:rPr/>
        <w:t>每筆買賣交易</w:t>
      </w:r>
      <w:r>
        <w:rPr>
          <w:b/>
          <w:bCs/>
        </w:rPr>
        <w:t xml:space="preserve">強制包含 </w:t>
      </w:r>
      <w:r>
        <w:rPr>
          <w:b/>
          <w:bCs/>
        </w:rPr>
        <w:t>fee(</w:t>
      </w:r>
      <w:r>
        <w:rPr>
          <w:b/>
          <w:bCs/>
        </w:rPr>
        <w:t>手續費</w:t>
      </w:r>
      <w:r>
        <w:rPr>
          <w:b/>
          <w:bCs/>
        </w:rPr>
        <w:t>/</w:t>
      </w:r>
      <w:r>
        <w:rPr>
          <w:b/>
          <w:bCs/>
        </w:rPr>
        <w:t>稅費</w:t>
      </w:r>
      <w:r>
        <w:rPr>
          <w:b/>
          <w:bCs/>
        </w:rPr>
        <w:t>)</w:t>
      </w:r>
      <w:r>
        <w:rPr>
          <w:b/>
          <w:bCs/>
        </w:rPr>
        <w:t>欄位</w:t>
      </w:r>
      <w:r>
        <w:rPr/>
        <w:t>(</w:t>
      </w:r>
      <w:r>
        <w:rPr/>
        <w:t xml:space="preserve">預設 </w:t>
      </w:r>
      <w:r>
        <w:rPr/>
        <w:t>0),</w:t>
      </w:r>
      <w:r>
        <w:rPr/>
        <w:t>以計算扣除成本後的「淨回報</w:t>
      </w:r>
      <w:r>
        <w:rPr/>
        <w:t>(Net Return)</w:t>
      </w:r>
      <w:r>
        <w:rPr/>
        <w:t>」。活動類型如下</w:t>
      </w:r>
      <w:r>
        <w:rPr/>
        <w:t>:</w:t>
      </w:r>
    </w:p>
    <w:p>
      <w:pPr>
        <w:pStyle w:val="Compact"/>
        <w:numPr>
          <w:ilvl w:val="0"/>
          <w:numId w:val="48"/>
        </w:numPr>
        <w:rPr/>
      </w:pPr>
      <w:r>
        <w:rPr/>
        <w:t>BUY(</w:t>
      </w:r>
      <w:r>
        <w:rPr/>
        <w:t>買入</w:t>
      </w:r>
      <w:r>
        <w:rPr/>
        <w:t>)/ SELL(</w:t>
      </w:r>
      <w:r>
        <w:rPr/>
        <w:t>賣出</w:t>
      </w:r>
      <w:r>
        <w:rPr/>
        <w:t>):</w:t>
      </w:r>
      <w:r>
        <w:rPr/>
        <w:t>買入手續費計入成本基礎</w:t>
      </w:r>
      <w:r>
        <w:rPr/>
        <w:t>;</w:t>
      </w:r>
      <w:r>
        <w:rPr/>
        <w:t>賣出手續費自現金扣除。</w:t>
      </w:r>
    </w:p>
    <w:p>
      <w:pPr>
        <w:pStyle w:val="Compact"/>
        <w:numPr>
          <w:ilvl w:val="0"/>
          <w:numId w:val="49"/>
        </w:numPr>
        <w:rPr/>
      </w:pPr>
      <w:r>
        <w:rPr/>
        <w:t>DIVIDEND(</w:t>
      </w:r>
      <w:r>
        <w:rPr/>
        <w:t>股息</w:t>
      </w:r>
      <w:r>
        <w:rPr/>
        <w:t>):</w:t>
      </w:r>
      <w:r>
        <w:rPr/>
        <w:t>計入對應資產位置現金</w:t>
      </w:r>
      <w:r>
        <w:rPr/>
        <w:t>;</w:t>
      </w:r>
      <w:r>
        <w:rPr/>
        <w:t xml:space="preserve">不計為外部 </w:t>
      </w:r>
      <w:r>
        <w:rPr/>
        <w:t>Inflow(§3.2)</w:t>
      </w:r>
      <w:r>
        <w:rPr/>
        <w:t>。</w:t>
      </w:r>
    </w:p>
    <w:p>
      <w:pPr>
        <w:pStyle w:val="Compact"/>
        <w:numPr>
          <w:ilvl w:val="0"/>
          <w:numId w:val="50"/>
        </w:numPr>
        <w:rPr/>
      </w:pPr>
      <w:r>
        <w:rPr/>
        <w:t>INTEREST(</w:t>
      </w:r>
      <w:r>
        <w:rPr/>
        <w:t>利息</w:t>
      </w:r>
      <w:r>
        <w:rPr/>
        <w:t>):</w:t>
      </w:r>
      <w:r>
        <w:rPr/>
        <w:t>現金餘額或債券派息</w:t>
      </w:r>
      <w:r>
        <w:rPr/>
        <w:t>;</w:t>
      </w:r>
      <w:r>
        <w:rPr/>
        <w:t>同上</w:t>
      </w:r>
      <w:r>
        <w:rPr/>
        <w:t>,</w:t>
      </w:r>
      <w:r>
        <w:rPr/>
        <w:t xml:space="preserve">不計為外部 </w:t>
      </w:r>
      <w:r>
        <w:rPr/>
        <w:t>Inflow</w:t>
      </w:r>
      <w:r>
        <w:rPr/>
        <w:t>。</w:t>
      </w:r>
    </w:p>
    <w:p>
      <w:pPr>
        <w:pStyle w:val="Compact"/>
        <w:numPr>
          <w:ilvl w:val="0"/>
          <w:numId w:val="51"/>
        </w:numPr>
        <w:rPr/>
      </w:pPr>
      <w:r>
        <w:rPr/>
        <w:t>FEE(</w:t>
      </w:r>
      <w:r>
        <w:rPr/>
        <w:t>單獨費用</w:t>
      </w:r>
      <w:r>
        <w:rPr/>
        <w:t>):</w:t>
      </w:r>
      <w:r>
        <w:rPr/>
        <w:t>平台費、帳戶管理費等投資損耗</w:t>
      </w:r>
      <w:r>
        <w:rPr/>
        <w:t>;</w:t>
      </w:r>
      <w:r>
        <w:rPr>
          <w:b/>
          <w:bCs/>
        </w:rPr>
        <w:t xml:space="preserve">自現金扣除、不計為外部 </w:t>
      </w:r>
      <w:r>
        <w:rPr>
          <w:b/>
          <w:bCs/>
        </w:rPr>
        <w:t>Outflow</w:t>
      </w:r>
      <w:r>
        <w:rPr/>
        <w:t>(</w:t>
      </w:r>
      <w:r>
        <w:rPr/>
        <w:t>屬投資損耗</w:t>
      </w:r>
      <w:r>
        <w:rPr/>
        <w:t>,</w:t>
      </w:r>
      <w:r>
        <w:rPr/>
        <w:t>自然壓低回報率</w:t>
      </w:r>
      <w:r>
        <w:rPr/>
        <w:t>)</w:t>
      </w:r>
      <w:r>
        <w:rPr/>
        <w:t>。</w:t>
      </w:r>
    </w:p>
    <w:p>
      <w:pPr>
        <w:pStyle w:val="Compact"/>
        <w:numPr>
          <w:ilvl w:val="0"/>
          <w:numId w:val="52"/>
        </w:numPr>
        <w:rPr/>
      </w:pPr>
      <w:r>
        <w:rPr/>
        <w:t>LIABILITY(</w:t>
      </w:r>
      <w:r>
        <w:rPr/>
        <w:t>負債支出</w:t>
      </w:r>
      <w:r>
        <w:rPr/>
        <w:t>):</w:t>
      </w:r>
      <w:r>
        <w:rPr/>
        <w:t>融資利息或應付款項</w:t>
      </w:r>
      <w:r>
        <w:rPr/>
        <w:t>;</w:t>
      </w:r>
      <w:r>
        <w:rPr>
          <w:b/>
          <w:bCs/>
        </w:rPr>
        <w:t xml:space="preserve">會計處理同 </w:t>
      </w:r>
      <w:r>
        <w:rPr>
          <w:b/>
          <w:bCs/>
        </w:rPr>
        <w:t>FEE</w:t>
      </w:r>
      <w:r>
        <w:rPr/>
        <w:t>(</w:t>
      </w:r>
      <w:r>
        <w:rPr/>
        <w:t>內部支出</w:t>
      </w:r>
      <w:r>
        <w:rPr/>
        <w:t>,</w:t>
      </w:r>
      <w:r>
        <w:rPr/>
        <w:t>減現金、不入資金流</w:t>
      </w:r>
      <w:r>
        <w:rPr/>
        <w:t>),</w:t>
      </w:r>
      <w:r>
        <w:rPr/>
        <w:t>僅標籤與報表分類不同。</w:t>
      </w:r>
      <w:bookmarkEnd w:id="16"/>
    </w:p>
    <w:p>
      <w:pPr>
        <w:pStyle w:val="Heading4"/>
        <w:rPr/>
      </w:pPr>
      <w:r>
        <w:rPr/>
        <w:t xml:space="preserve">2. </w:t>
      </w:r>
      <w:r>
        <w:rPr/>
        <w:t>交易明細輸入欄位規範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欄位名稱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類型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說明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規範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金融資產代碼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字串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輸入時觸發下拉選單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支援模糊搜尋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美股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港股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股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日股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資產類型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選單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現金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債券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股票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期權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僅手動輸入結算價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其他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股息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利息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費用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負債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資產位置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字串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區分券商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銀行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如富途、中銀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。留空系統填「預設」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交易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結算價格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浮點數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買賣單價或期權手動輸入的結算價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以成交當時口徑輸入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拆股重述由系統處理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交易手續費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(Fee)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浮點數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用戶輸入之交易成本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手續費、印花稅等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預設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  <w:bookmarkStart w:id="17" w:name="交易明細輸入欄位規範"/>
            <w:bookmarkEnd w:id="17"/>
          </w:p>
        </w:tc>
      </w:tr>
    </w:tbl>
    <w:p>
      <w:pPr>
        <w:pStyle w:val="Heading4"/>
        <w:rPr/>
      </w:pPr>
      <w:r>
        <w:rPr/>
        <w:t xml:space="preserve">3. </w:t>
      </w:r>
      <w:r>
        <w:rPr/>
        <w:t>多幣種現金水平看板</w:t>
      </w:r>
    </w:p>
    <w:p>
      <w:pPr>
        <w:pStyle w:val="Compact"/>
        <w:numPr>
          <w:ilvl w:val="0"/>
          <w:numId w:val="53"/>
        </w:numPr>
        <w:rPr/>
      </w:pPr>
      <w:r>
        <w:rPr/>
        <w:t>列表底部展示各幣種獨立現金餘額</w:t>
      </w:r>
      <w:r>
        <w:rPr/>
        <w:t>,</w:t>
      </w:r>
      <w:r>
        <w:rPr>
          <w:b/>
          <w:bCs/>
        </w:rPr>
        <w:t>支援因融資或期權保證金產生的負數</w:t>
      </w:r>
      <w:r>
        <w:rPr/>
        <w:t>;</w:t>
      </w:r>
      <w:r>
        <w:rPr/>
        <w:t>另列示「累計股息</w:t>
      </w:r>
      <w:r>
        <w:rPr/>
        <w:t>/</w:t>
      </w:r>
      <w:r>
        <w:rPr/>
        <w:t>利息收入」與「累計費用</w:t>
      </w:r>
      <w:r>
        <w:rPr/>
        <w:t>/</w:t>
      </w:r>
      <w:r>
        <w:rPr/>
        <w:t>負債支出」。</w:t>
      </w:r>
    </w:p>
    <w:p>
      <w:pPr>
        <w:pStyle w:val="Compact"/>
        <w:numPr>
          <w:ilvl w:val="0"/>
          <w:numId w:val="54"/>
        </w:numPr>
        <w:rPr/>
      </w:pPr>
      <w:r>
        <w:rPr/>
        <w:t>提供「基準貨幣」切換</w:t>
      </w:r>
      <w:r>
        <w:rPr/>
        <w:t>,</w:t>
      </w:r>
      <w:r>
        <w:rPr/>
        <w:t xml:space="preserve">調用本地持久化之對 </w:t>
      </w:r>
      <w:r>
        <w:rPr/>
        <w:t xml:space="preserve">USD </w:t>
      </w:r>
      <w:r>
        <w:rPr/>
        <w:t>匯率序列三角換算進行即時與歷史折算。</w:t>
      </w:r>
      <w:bookmarkEnd w:id="15"/>
    </w:p>
    <w:p>
      <w:pPr>
        <w:pStyle w:val="Heading3"/>
        <w:rPr/>
      </w:pPr>
      <w:bookmarkStart w:id="18" w:name="模組三資產變化圖模組-performance-chart"/>
      <w:r>
        <w:rPr/>
        <w:t>模組三</w:t>
      </w:r>
      <w:r>
        <w:rPr/>
        <w:t>:</w:t>
      </w:r>
      <w:r>
        <w:rPr/>
        <w:t xml:space="preserve">資產變化圖模組 </w:t>
      </w:r>
      <w:r>
        <w:rPr/>
        <w:t>(Performance Chart)</w:t>
      </w:r>
    </w:p>
    <w:p>
      <w:pPr>
        <w:pStyle w:val="Heading4"/>
        <w:rPr/>
      </w:pPr>
      <w:bookmarkStart w:id="19" w:name="淨回報指標計算與效能優化v3.1-修訂"/>
      <w:r>
        <w:rPr/>
        <w:t xml:space="preserve">1. </w:t>
      </w:r>
      <w:r>
        <w:rPr/>
        <w:t>淨回報指標計算與效能優化【</w:t>
      </w:r>
      <w:r>
        <w:rPr/>
        <w:t xml:space="preserve">V3.1 </w:t>
      </w:r>
      <w:r>
        <w:rPr/>
        <w:t>修訂】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時間加權回報率</w:t>
      </w:r>
      <w:r>
        <w:rPr>
          <w:b/>
          <w:bCs/>
        </w:rPr>
        <w:t>(TWR)</w:t>
      </w:r>
      <w:r>
        <w:rPr/>
        <w:t>:</w:t>
      </w:r>
      <w:r>
        <w:rPr/>
        <w:t>消除外部資金存取干擾之複合收益率</w:t>
      </w:r>
      <w:r>
        <w:rPr/>
        <w:t>:</w:t>
      </w:r>
      <w:r>
        <w:rPr>
          <w:rStyle w:val="VerbatimChar"/>
        </w:rPr>
        <w:t>TWR = ∏ᵢ ( V₁,ᵢ / (V₀,ᵢ + Cᵢ) ) − 1</w:t>
      </w:r>
      <w:r>
        <w:rPr/>
        <w:t xml:space="preserve">。其中 </w:t>
      </w:r>
      <w:r>
        <w:rPr/>
        <w:t xml:space="preserve">Cᵢ </w:t>
      </w:r>
      <w:r>
        <w:rPr/>
        <w:t>為子期間外部資金流</w:t>
      </w:r>
      <w:r>
        <w:rPr/>
        <w:t>(</w:t>
      </w:r>
      <w:r>
        <w:rPr/>
        <w:t>現金存提與期權現金進出</w:t>
      </w:r>
      <w:r>
        <w:rPr/>
        <w:t>);</w:t>
      </w:r>
      <w:r>
        <w:rPr>
          <w:b/>
          <w:bCs/>
        </w:rPr>
        <w:t>手續費、</w:t>
      </w:r>
      <w:r>
        <w:rPr>
          <w:b/>
          <w:bCs/>
        </w:rPr>
        <w:t>FEE</w:t>
      </w:r>
      <w:r>
        <w:rPr>
          <w:b/>
          <w:bCs/>
        </w:rPr>
        <w:t>、</w:t>
      </w:r>
      <w:r>
        <w:rPr>
          <w:b/>
          <w:bCs/>
        </w:rPr>
        <w:t xml:space="preserve">LIABILITY </w:t>
      </w:r>
      <w:r>
        <w:rPr>
          <w:b/>
          <w:bCs/>
        </w:rPr>
        <w:t xml:space="preserve">均不得計入 </w:t>
      </w:r>
      <w:r>
        <w:rPr>
          <w:b/>
          <w:bCs/>
        </w:rPr>
        <w:t>C</w:t>
      </w:r>
      <w:r>
        <w:rPr/>
        <w:t>——</w:t>
      </w:r>
      <w:r>
        <w:rPr/>
        <w:t>費用由組合內現金支付</w:t>
      </w:r>
      <w:r>
        <w:rPr/>
        <w:t>,</w:t>
      </w:r>
      <w:r>
        <w:rPr/>
        <w:t xml:space="preserve">已自然反映於 </w:t>
      </w:r>
      <w:r>
        <w:rPr/>
        <w:t>V,</w:t>
      </w:r>
      <w:r>
        <w:rPr/>
        <w:t>於分子再行扣減將構成重複計算</w:t>
      </w:r>
      <w:r>
        <w:rPr/>
        <w:t>(</w:t>
      </w:r>
      <w:r>
        <w:rPr/>
        <w:t xml:space="preserve">修正 </w:t>
      </w:r>
      <w:r>
        <w:rPr/>
        <w:t xml:space="preserve">V3.0 </w:t>
      </w:r>
      <w:r>
        <w:rPr/>
        <w:t>公式</w:t>
      </w:r>
      <w:r>
        <w:rPr/>
        <w:t>)</w:t>
      </w:r>
      <w:r>
        <w:rPr/>
        <w:t>。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現金加權回報率</w:t>
      </w:r>
      <w:r>
        <w:rPr>
          <w:b/>
          <w:bCs/>
        </w:rPr>
        <w:t>(MWR / IRR)</w:t>
      </w:r>
      <w:r>
        <w:rPr/>
        <w:t>:</w:t>
      </w:r>
      <w:r>
        <w:rPr/>
        <w:t xml:space="preserve">求解使外部淨現金流折現為 </w:t>
      </w:r>
      <w:r>
        <w:rPr/>
        <w:t xml:space="preserve">0 </w:t>
      </w:r>
      <w:r>
        <w:rPr/>
        <w:t>之內部收益率</w:t>
      </w:r>
      <w:r>
        <w:rPr/>
        <w:t>(</w:t>
      </w:r>
      <w:r>
        <w:rPr/>
        <w:t>年化</w:t>
      </w:r>
      <w:r>
        <w:rPr/>
        <w:t>);</w:t>
      </w:r>
      <w:r>
        <w:rPr/>
        <w:t>外部流定義同上。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效能設計</w:t>
      </w:r>
      <w:r>
        <w:rPr>
          <w:b/>
          <w:bCs/>
        </w:rPr>
        <w:t>(</w:t>
      </w:r>
      <w:r>
        <w:rPr>
          <w:b/>
          <w:bCs/>
        </w:rPr>
        <w:t xml:space="preserve">取代 </w:t>
      </w:r>
      <w:r>
        <w:rPr>
          <w:b/>
          <w:bCs/>
        </w:rPr>
        <w:t xml:space="preserve">V3.0 </w:t>
      </w:r>
      <w:r>
        <w:rPr>
          <w:b/>
          <w:bCs/>
        </w:rPr>
        <w:t>後台預計算</w:t>
      </w:r>
      <w:r>
        <w:rPr>
          <w:b/>
          <w:bCs/>
        </w:rPr>
        <w:t>)</w:t>
      </w:r>
      <w:r>
        <w:rPr/>
        <w:t>:</w:t>
      </w:r>
      <w:r>
        <w:rPr/>
        <w:t>每日資產淨值與外部資金流</w:t>
      </w:r>
      <w:r>
        <w:rPr>
          <w:b/>
          <w:bCs/>
        </w:rPr>
        <w:t>按資產位置可加總</w:t>
      </w:r>
      <w:r>
        <w:rPr/>
        <w:t>(V_</w:t>
      </w:r>
      <w:r>
        <w:rPr/>
        <w:t xml:space="preserve">總 </w:t>
      </w:r>
      <w:r>
        <w:rPr/>
        <w:t>= Σ V_</w:t>
      </w:r>
      <w:r>
        <w:rPr/>
        <w:t>位置</w:t>
      </w:r>
      <w:r>
        <w:rPr/>
        <w:t>),</w:t>
      </w:r>
      <w:r>
        <w:rPr/>
        <w:t xml:space="preserve">前端按位置快取每日 </w:t>
      </w:r>
      <w:r>
        <w:rPr/>
        <w:t xml:space="preserve">{V, C} </w:t>
      </w:r>
      <w:r>
        <w:rPr/>
        <w:t>向量</w:t>
      </w:r>
      <w:r>
        <w:rPr/>
        <w:t>,</w:t>
      </w:r>
      <w:r>
        <w:rPr/>
        <w:t xml:space="preserve">用戶任意勾選位置組合時相加後即時計算 </w:t>
      </w:r>
      <w:r>
        <w:rPr/>
        <w:t>TWR/MWR,</w:t>
      </w:r>
      <w:r>
        <w:rPr/>
        <w:t xml:space="preserve">切換延遲 </w:t>
      </w:r>
      <w:r>
        <w:rPr/>
        <w:t>&lt; 500ms</w:t>
      </w:r>
      <w:r>
        <w:rPr/>
        <w:t>。</w:t>
      </w:r>
      <w:r>
        <w:rPr/>
        <w:t xml:space="preserve">XIRR </w:t>
      </w:r>
      <w:r>
        <w:rPr/>
        <w:t>迭代於交易筆數超過閾值</w:t>
      </w:r>
      <w:r>
        <w:rPr/>
        <w:t>(</w:t>
      </w:r>
      <w:r>
        <w:rPr/>
        <w:t xml:space="preserve">建議 </w:t>
      </w:r>
      <w:r>
        <w:rPr/>
        <w:t xml:space="preserve">5,000 </w:t>
      </w:r>
      <w:r>
        <w:rPr/>
        <w:t>筆</w:t>
      </w:r>
      <w:r>
        <w:rPr/>
        <w:t>)</w:t>
      </w:r>
      <w:r>
        <w:rPr/>
        <w:t xml:space="preserve">時移入 </w:t>
      </w:r>
      <w:r>
        <w:rPr/>
        <w:t xml:space="preserve">Web Worker </w:t>
      </w:r>
      <w:r>
        <w:rPr/>
        <w:t>異步執行</w:t>
      </w:r>
      <w:r>
        <w:rPr/>
        <w:t>,</w:t>
      </w:r>
      <w:r>
        <w:rPr/>
        <w:t>絕不阻塞主線程。後端預計算保留為大規模部署之選配方案。</w:t>
      </w:r>
      <w:bookmarkEnd w:id="19"/>
    </w:p>
    <w:p>
      <w:pPr>
        <w:pStyle w:val="Heading4"/>
        <w:rPr/>
      </w:pPr>
      <w:bookmarkStart w:id="20" w:name="圖表互動期權排除與事件標註"/>
      <w:r>
        <w:rPr/>
        <w:t xml:space="preserve">2. </w:t>
      </w:r>
      <w:r>
        <w:rPr/>
        <w:t>圖表互動、期權排除與事件標註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期權排除規則</w:t>
      </w:r>
      <w:r>
        <w:rPr/>
        <w:t>:</w:t>
      </w:r>
      <w:r>
        <w:rPr/>
        <w:t xml:space="preserve">見 </w:t>
      </w:r>
      <w:r>
        <w:rPr/>
        <w:t>§3.4;</w:t>
      </w:r>
      <w:r>
        <w:rPr/>
        <w:t xml:space="preserve">圖表須顯示「不含期權現值 </w:t>
      </w:r>
      <w:r>
        <w:rPr/>
        <w:t>±X</w:t>
      </w:r>
      <w:r>
        <w:rPr/>
        <w:t>」註記。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手勢操作與形態</w:t>
      </w:r>
      <w:r>
        <w:rPr/>
        <w:t>:</w:t>
      </w:r>
      <w:r>
        <w:rPr/>
        <w:t>支援移動端單指查價</w:t>
      </w:r>
      <w:r>
        <w:rPr/>
        <w:t>(Tooltip)</w:t>
      </w:r>
      <w:r>
        <w:rPr/>
        <w:t>、雙指縮放</w:t>
      </w:r>
      <w:r>
        <w:rPr/>
        <w:t>(Pinch to Zoom)</w:t>
      </w:r>
      <w:r>
        <w:rPr/>
        <w:t>、左右拖動歷史區間</w:t>
      </w:r>
      <w:r>
        <w:rPr/>
        <w:t>;</w:t>
      </w:r>
      <w:r>
        <w:rPr/>
        <w:t>折線圖、平滑曲線圖、陰陽燭圖</w:t>
      </w:r>
      <w:r>
        <w:rPr/>
        <w:t>(</w:t>
      </w:r>
      <w:r>
        <w:rPr/>
        <w:t xml:space="preserve">日、週、月、年 </w:t>
      </w:r>
      <w:r>
        <w:rPr/>
        <w:t xml:space="preserve">K </w:t>
      </w:r>
      <w:r>
        <w:rPr/>
        <w:t>線</w:t>
      </w:r>
      <w:r>
        <w:rPr/>
        <w:t>,</w:t>
      </w:r>
      <w:r>
        <w:rPr/>
        <w:t>基於原始價</w:t>
      </w:r>
      <w:r>
        <w:rPr/>
        <w:t>)</w:t>
      </w:r>
      <w:r>
        <w:rPr/>
        <w:t>。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基準對比</w:t>
      </w:r>
      <w:r>
        <w:rPr>
          <w:b/>
          <w:bCs/>
        </w:rPr>
        <w:t>(Benchmark)</w:t>
      </w:r>
      <w:r>
        <w:rPr/>
        <w:t>:</w:t>
      </w:r>
      <w:r>
        <w:rPr/>
        <w:t>輸入代碼</w:t>
      </w:r>
      <w:r>
        <w:rPr/>
        <w:t>(</w:t>
      </w:r>
      <w:r>
        <w:rPr/>
        <w:t xml:space="preserve">如 </w:t>
      </w:r>
      <w:r>
        <w:rPr/>
        <w:t>VT),</w:t>
      </w:r>
      <w:r>
        <w:rPr/>
        <w:t>拉取對應</w:t>
      </w:r>
      <w:r>
        <w:rPr>
          <w:b/>
          <w:bCs/>
        </w:rPr>
        <w:t>經調整價</w:t>
      </w:r>
      <w:r>
        <w:rPr/>
        <w:t>,</w:t>
      </w:r>
      <w:r>
        <w:rPr/>
        <w:t xml:space="preserve">將其回報率曲線與用戶 </w:t>
      </w:r>
      <w:r>
        <w:rPr/>
        <w:t xml:space="preserve">TWR/MWR </w:t>
      </w:r>
      <w:r>
        <w:rPr/>
        <w:t>曲線重疊對比。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股息與拆股事件標註</w:t>
      </w:r>
      <w:r>
        <w:rPr/>
        <w:t>:</w:t>
      </w:r>
      <w:r>
        <w:rPr/>
        <w:t xml:space="preserve">於圖表 </w:t>
      </w:r>
      <w:r>
        <w:rPr/>
        <w:t xml:space="preserve">X </w:t>
      </w:r>
      <w:r>
        <w:rPr/>
        <w:t xml:space="preserve">軸動態標註 </w:t>
      </w:r>
      <w:r>
        <w:rPr/>
        <w:t xml:space="preserve">Div / Split </w:t>
      </w:r>
      <w:r>
        <w:rPr/>
        <w:t>圖示</w:t>
      </w:r>
      <w:r>
        <w:rPr/>
        <w:t>,</w:t>
      </w:r>
      <w:r>
        <w:rPr/>
        <w:t>用戶點擊</w:t>
      </w:r>
      <w:r>
        <w:rPr/>
        <w:t>(</w:t>
      </w:r>
      <w:r>
        <w:rPr/>
        <w:t>或十字線停留於事件日</w:t>
      </w:r>
      <w:r>
        <w:rPr/>
        <w:t>)</w:t>
      </w:r>
      <w:r>
        <w:rPr/>
        <w:t>時彈出提示</w:t>
      </w:r>
      <w:r>
        <w:rPr/>
        <w:t>(</w:t>
      </w:r>
      <w:r>
        <w:rPr/>
        <w:t>如「</w:t>
      </w:r>
      <w:r>
        <w:rPr/>
        <w:t xml:space="preserve">2026-04-15 VT </w:t>
      </w:r>
      <w:r>
        <w:rPr/>
        <w:t xml:space="preserve">每股派息 </w:t>
      </w:r>
      <w:r>
        <w:rPr/>
        <w:t>$0.62</w:t>
      </w:r>
      <w:r>
        <w:rPr/>
        <w:t>」「</w:t>
      </w:r>
      <w:r>
        <w:rPr/>
        <w:t xml:space="preserve">AAPL 1 </w:t>
      </w:r>
      <w:r>
        <w:rPr/>
        <w:t xml:space="preserve">拆 </w:t>
      </w:r>
      <w:r>
        <w:rPr/>
        <w:t>4</w:t>
      </w:r>
      <w:r>
        <w:rPr/>
        <w:t>」</w:t>
      </w:r>
      <w:r>
        <w:rPr/>
        <w:t>),</w:t>
      </w:r>
      <w:r>
        <w:rPr/>
        <w:t>令原始價、股數與現金變動之對帳完全透明。</w:t>
      </w:r>
      <w:bookmarkEnd w:id="18"/>
      <w:bookmarkEnd w:id="20"/>
    </w:p>
    <w:p>
      <w:pPr>
        <w:pStyle w:val="Heading3"/>
        <w:rPr/>
      </w:pPr>
      <w:bookmarkStart w:id="21" w:name="模組四資訊平台模組"/>
      <w:r>
        <w:rPr/>
        <w:t>模組四</w:t>
      </w:r>
      <w:r>
        <w:rPr/>
        <w:t>:</w:t>
      </w:r>
      <w:r>
        <w:rPr/>
        <w:t>資訊平台模組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精準推送</w:t>
      </w:r>
      <w:r>
        <w:rPr/>
        <w:t>:</w:t>
      </w:r>
      <w:r>
        <w:rPr/>
        <w:t>自動提取用戶當前持倉代碼</w:t>
      </w:r>
      <w:r>
        <w:rPr/>
        <w:t>,</w:t>
      </w:r>
      <w:r>
        <w:rPr/>
        <w:t>優先推送直接相關新聞</w:t>
      </w:r>
      <w:r>
        <w:rPr/>
        <w:t>;</w:t>
      </w:r>
      <w:r>
        <w:rPr/>
        <w:t>支援「持倉相關」「熱門財經」「全部資訊」切換。</w:t>
      </w:r>
      <w:bookmarkEnd w:id="21"/>
    </w:p>
    <w:p>
      <w:pPr>
        <w:pStyle w:val="Heading3"/>
        <w:rPr/>
      </w:pPr>
      <w:bookmarkStart w:id="22" w:name="模組五個人中心模組"/>
      <w:r>
        <w:rPr/>
        <w:t>模組五</w:t>
      </w:r>
      <w:r>
        <w:rPr/>
        <w:t>:</w:t>
      </w:r>
      <w:r>
        <w:rPr/>
        <w:t>個人中心模組</w:t>
      </w:r>
    </w:p>
    <w:p>
      <w:pPr>
        <w:pStyle w:val="Compact"/>
        <w:numPr>
          <w:ilvl w:val="0"/>
          <w:numId w:val="63"/>
        </w:numPr>
        <w:rPr/>
      </w:pPr>
      <w:r>
        <w:rPr/>
        <w:t xml:space="preserve">全局 </w:t>
      </w:r>
      <w:r>
        <w:rPr/>
        <w:t xml:space="preserve">UI </w:t>
      </w:r>
      <w:r>
        <w:rPr/>
        <w:t>偏好</w:t>
      </w:r>
      <w:r>
        <w:rPr/>
        <w:t>:</w:t>
      </w:r>
      <w:r>
        <w:rPr/>
        <w:t>深色</w:t>
      </w:r>
      <w:r>
        <w:rPr/>
        <w:t>/</w:t>
      </w:r>
      <w:r>
        <w:rPr/>
        <w:t>淺色、多語言</w:t>
      </w:r>
      <w:r>
        <w:rPr/>
        <w:t>(</w:t>
      </w:r>
      <w:r>
        <w:rPr/>
        <w:t>繁、簡、英</w:t>
      </w:r>
      <w:r>
        <w:rPr/>
        <w:t>)</w:t>
      </w:r>
      <w:r>
        <w:rPr/>
        <w:t>、漲跌顏色偏好、預設圖表形態。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股息設定【</w:t>
      </w:r>
      <w:r>
        <w:rPr>
          <w:b/>
          <w:bCs/>
        </w:rPr>
        <w:t xml:space="preserve">V3.1 </w:t>
      </w:r>
      <w:r>
        <w:rPr>
          <w:b/>
          <w:bCs/>
        </w:rPr>
        <w:t>新增】</w:t>
      </w:r>
      <w:r>
        <w:rPr/>
        <w:t>:</w:t>
      </w:r>
      <w:r>
        <w:rPr/>
        <w:t>「自動股息入帳」開關</w:t>
      </w:r>
      <w:r>
        <w:rPr/>
        <w:t>(</w:t>
      </w:r>
      <w:r>
        <w:rPr/>
        <w:t>預設開</w:t>
      </w:r>
      <w:r>
        <w:rPr/>
        <w:t>)</w:t>
      </w:r>
      <w:r>
        <w:rPr/>
        <w:t>、「股息預扣稅率</w:t>
      </w:r>
      <w:r>
        <w:rPr/>
        <w:t>(%)</w:t>
      </w:r>
      <w:r>
        <w:rPr/>
        <w:t>」全局設定</w:t>
      </w:r>
      <w:r>
        <w:rPr/>
        <w:t>(</w:t>
      </w:r>
      <w:r>
        <w:rPr/>
        <w:t xml:space="preserve">預設 </w:t>
      </w:r>
      <w:r>
        <w:rPr/>
        <w:t>0)</w:t>
      </w:r>
      <w:r>
        <w:rPr/>
        <w:t>。</w:t>
      </w:r>
    </w:p>
    <w:p>
      <w:pPr>
        <w:pStyle w:val="Compact"/>
        <w:numPr>
          <w:ilvl w:val="0"/>
          <w:numId w:val="65"/>
        </w:numPr>
        <w:rPr/>
      </w:pPr>
      <w:r>
        <w:rPr/>
        <w:t>自訂數據源管理、</w:t>
      </w:r>
      <w:r>
        <w:rPr/>
        <w:t xml:space="preserve">CSV </w:t>
      </w:r>
      <w:r>
        <w:rPr/>
        <w:t>匯入</w:t>
      </w:r>
      <w:r>
        <w:rPr/>
        <w:t>/</w:t>
      </w:r>
      <w:r>
        <w:rPr/>
        <w:t>匯出入口。</w:t>
      </w:r>
      <w:bookmarkEnd w:id="13"/>
      <w:bookmarkEnd w:id="22"/>
    </w:p>
    <w:p>
      <w:pPr>
        <w:pStyle w:val="Heading2"/>
        <w:rPr/>
      </w:pPr>
      <w:bookmarkStart w:id="23" w:name="數據導入與遷移功能-data-migration"/>
      <w:r>
        <w:rPr/>
        <w:t xml:space="preserve">5. </w:t>
      </w:r>
      <w:r>
        <w:rPr/>
        <w:t xml:space="preserve">數據導入與遷移功能 </w:t>
      </w:r>
      <w:r>
        <w:rPr/>
        <w:t>(Data Migration)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 xml:space="preserve">通用 </w:t>
      </w:r>
      <w:r>
        <w:rPr>
          <w:b/>
          <w:bCs/>
        </w:rPr>
        <w:t xml:space="preserve">CSV </w:t>
      </w:r>
      <w:r>
        <w:rPr>
          <w:b/>
          <w:bCs/>
        </w:rPr>
        <w:t>匯入</w:t>
      </w:r>
      <w:r>
        <w:rPr>
          <w:b/>
          <w:bCs/>
        </w:rPr>
        <w:t>/</w:t>
      </w:r>
      <w:r>
        <w:rPr>
          <w:b/>
          <w:bCs/>
        </w:rPr>
        <w:t>匯出</w:t>
      </w:r>
      <w:r>
        <w:rPr/>
        <w:t>:</w:t>
      </w:r>
      <w:r>
        <w:rPr/>
        <w:t xml:space="preserve">標準 </w:t>
      </w:r>
      <w:r>
        <w:rPr/>
        <w:t xml:space="preserve">CSV </w:t>
      </w:r>
      <w:r>
        <w:rPr/>
        <w:t>範本</w:t>
      </w:r>
      <w:r>
        <w:rPr/>
        <w:t>(</w:t>
      </w:r>
      <w:r>
        <w:rPr/>
        <w:t xml:space="preserve">含 </w:t>
      </w:r>
      <w:r>
        <w:rPr/>
        <w:t xml:space="preserve">Fee </w:t>
      </w:r>
      <w:r>
        <w:rPr/>
        <w:t>與全部活動類型</w:t>
      </w:r>
      <w:r>
        <w:rPr/>
        <w:t>);</w:t>
      </w:r>
      <w:r>
        <w:rPr/>
        <w:t xml:space="preserve">匯入須相容 </w:t>
      </w:r>
      <w:r>
        <w:rPr/>
        <w:t xml:space="preserve">Portfolio Performance / Ghostfolio </w:t>
      </w:r>
      <w:r>
        <w:rPr/>
        <w:t>風格標頭</w:t>
      </w:r>
      <w:r>
        <w:rPr/>
        <w:t xml:space="preserve">(type/symbol/quantity/unitPrice/currency;DIVIDEND </w:t>
      </w:r>
      <w:r>
        <w:rPr/>
        <w:t xml:space="preserve">列之 </w:t>
      </w:r>
      <w:r>
        <w:rPr/>
        <w:t xml:space="preserve">unitPrice × quantity </w:t>
      </w:r>
      <w:r>
        <w:rPr/>
        <w:t>自動換算為金額</w:t>
      </w:r>
      <w:r>
        <w:rPr/>
        <w:t>),</w:t>
      </w:r>
      <w:r>
        <w:rPr/>
        <w:t>支援「取代」或「合併」兩種模式。</w:t>
      </w:r>
      <w:bookmarkEnd w:id="23"/>
    </w:p>
    <w:p>
      <w:pPr>
        <w:pStyle w:val="Heading2"/>
        <w:rPr/>
      </w:pPr>
      <w:bookmarkStart w:id="24" w:name="非功能性需求與技術指標"/>
      <w:r>
        <w:rPr/>
        <w:t xml:space="preserve">6. </w:t>
      </w:r>
      <w:r>
        <w:rPr/>
        <w:t>非功能性需求與技術指標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移動端體驗</w:t>
      </w:r>
      <w:r>
        <w:rPr/>
        <w:t>:</w:t>
      </w:r>
      <w:r>
        <w:rPr/>
        <w:t xml:space="preserve">觸控元件點擊熱區 ≥ </w:t>
      </w:r>
      <w:r>
        <w:rPr/>
        <w:t>44×44 dp;</w:t>
      </w:r>
      <w:r>
        <w:rPr/>
        <w:t xml:space="preserve">雙指縮放與拖拽圖表渲染幀率穩定 </w:t>
      </w:r>
      <w:r>
        <w:rPr/>
        <w:t>55–60 fps</w:t>
      </w:r>
      <w:r>
        <w:rPr/>
        <w:t>。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計算與加載延遲</w:t>
      </w:r>
      <w:r>
        <w:rPr/>
        <w:t>:</w:t>
      </w:r>
      <w:r>
        <w:rPr/>
        <w:t>切換「資產位置」或「</w:t>
      </w:r>
      <w:r>
        <w:rPr/>
        <w:t>TWR/MWR</w:t>
      </w:r>
      <w:r>
        <w:rPr/>
        <w:t xml:space="preserve">」之重渲染觸發延遲 </w:t>
      </w:r>
      <w:r>
        <w:rPr/>
        <w:t>&lt; 500ms;</w:t>
      </w:r>
      <w:r>
        <w:rPr/>
        <w:t>首載時間</w:t>
      </w:r>
      <w:r>
        <w:rPr/>
        <w:t>(TTFB)&lt; 300ms</w:t>
      </w:r>
      <w:r>
        <w:rPr/>
        <w:t>。</w:t>
      </w:r>
    </w:p>
    <w:p>
      <w:pPr>
        <w:pStyle w:val="Compact"/>
        <w:numPr>
          <w:ilvl w:val="0"/>
          <w:numId w:val="69"/>
        </w:numPr>
        <w:spacing w:before="36" w:after="36"/>
        <w:rPr/>
      </w:pPr>
      <w:r>
        <w:rPr>
          <w:b/>
          <w:bCs/>
        </w:rPr>
        <w:t>語系分離</w:t>
      </w:r>
      <w:r>
        <w:rPr>
          <w:b/>
          <w:bCs/>
        </w:rPr>
        <w:t>(i18n)</w:t>
      </w:r>
      <w:r>
        <w:rPr/>
        <w:t>:</w:t>
      </w:r>
      <w:r>
        <w:rPr/>
        <w:t>全站禁止硬編碼文本</w:t>
      </w:r>
      <w:r>
        <w:rPr/>
        <w:t>;</w:t>
      </w:r>
      <w:r>
        <w:rPr/>
        <w:t xml:space="preserve">語系內容抽離至 </w:t>
      </w:r>
      <w:r>
        <w:rPr/>
        <w:t>zh-Hant.json</w:t>
      </w:r>
      <w:r>
        <w:rPr/>
        <w:t>、</w:t>
      </w:r>
      <w:r>
        <w:rPr/>
        <w:t>zh-Hans.json</w:t>
      </w:r>
      <w:r>
        <w:rPr/>
        <w:t>、</w:t>
      </w:r>
      <w:r>
        <w:rPr/>
        <w:t xml:space="preserve">en.json </w:t>
      </w:r>
      <w:r>
        <w:rPr/>
        <w:t>語系包</w:t>
      </w:r>
      <w:r>
        <w:rPr/>
        <w:t>,</w:t>
      </w:r>
      <w:r>
        <w:rPr/>
        <w:t>由前端啟動時載入</w:t>
      </w:r>
      <w:r>
        <w:rPr/>
        <w:t>;</w:t>
      </w:r>
      <w:r>
        <w:rPr/>
        <w:t>為支援離線</w:t>
      </w:r>
      <w:r>
        <w:rPr/>
        <w:t xml:space="preserve">/file:// </w:t>
      </w:r>
      <w:r>
        <w:rPr/>
        <w:t>場景</w:t>
      </w:r>
      <w:r>
        <w:rPr/>
        <w:t>,</w:t>
      </w:r>
      <w:r>
        <w:rPr/>
        <w:t>允許內嵌等效字典作為載入失敗之兜底。</w:t>
      </w:r>
      <w:bookmarkEnd w:id="0"/>
      <w:bookmarkEnd w:id="2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TC" w:cs="Noto Sans CJK TC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CJK TC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CJK TC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&#38500;&#28136;&#26085;&#12289;&#27599;&#32929;&#32929;&#24687;,&#21475;&#24465;&#28858;&#29694;&#20170;&#25286;&#32929;&#21934;&#20301;" TargetMode="External"/><Relationship Id="rId3" Type="http://schemas.openxmlformats.org/officeDocument/2006/relationships/hyperlink" Target="./&#38500;&#27402;&#26085;&#12289;&#25286;&#21512;&#32929;&#27604;&#20363;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7</Pages>
  <Words>4603</Words>
  <Characters>6043</Characters>
  <CharactersWithSpaces>6435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2026-06-12T05:24:05Z</dcterms:created>
  <dc:creator/>
  <dc:description/>
  <dc:language>zh-TW</dc:language>
  <cp:lastModifiedBy/>
  <dcterms:modified xsi:type="dcterms:W3CDTF">2026-06-12T20:46:29Z</dcterms:modified>
  <cp:revision>1</cp:revision>
  <dc:subject/>
  <dc:title>������������������������ ��������������� V3.1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