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563EB" w:sz="4" w:space="1"/>
        </w:pBdr>
        <w:spacing w:after="120" w:before="360"/>
      </w:pPr>
      <w:r>
        <w:rPr>
          <w:rFonts w:ascii="Arial" w:cs="Arial" w:eastAsia="Arial" w:hAnsi="Arial"/>
          <w:b/>
          <w:bCs/>
          <w:color w:val="2563EB"/>
          <w:sz w:val="32"/>
          <w:szCs w:val="32"/>
        </w:rPr>
        <w:t xml:space="preserve">CloudAxis Inc.</w:t>
      </w:r>
    </w:p>
    <w:p>
      <w:pPr>
        <w:spacing w:after="80" w:before="80"/>
      </w:pPr>
      <w:r>
        <w:rPr>
          <w:rFonts w:ascii="Arial" w:cs="Arial" w:eastAsia="Arial" w:hAnsi="Arial"/>
          <w:b/>
          <w:bCs/>
          <w:color w:val="0F172A"/>
          <w:sz w:val="32"/>
          <w:szCs w:val="32"/>
        </w:rPr>
        <w:t xml:space="preserve">Data Dictionary &amp; Model Reference</w:t>
      </w:r>
    </w:p>
    <w:p>
      <w:pPr>
        <w:spacing w:after="200" w:before="0"/>
      </w:pPr>
      <w:r>
        <w:rPr>
          <w:rFonts w:ascii="Arial" w:cs="Arial" w:eastAsia="Arial" w:hAnsi="Arial"/>
          <w:color w:val="475569"/>
          <w:sz w:val="20"/>
          <w:szCs w:val="20"/>
        </w:rPr>
        <w:t xml:space="preserve">ASC 606 Revenue Recognition · SaaS Portfolio Project · 2023–2024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W w:type="dxa" w:w="240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r>
              <w:rPr>
                <w:rFonts w:ascii="Arial" w:cs="Arial" w:eastAsia="Arial" w:hAnsi="Arial"/>
                <w:b/>
                <w:bCs/>
                <w:color w:val="2563EB"/>
                <w:sz w:val="26"/>
                <w:szCs w:val="26"/>
              </w:rPr>
              <w:t xml:space="preserve">3 source files</w:t>
            </w:r>
          </w:p>
          <w:p>
            <w:r>
              <w:rPr>
                <w:rFonts w:ascii="Arial" w:cs="Arial" w:eastAsia="Arial" w:hAnsi="Arial"/>
                <w:color w:val="475569"/>
                <w:sz w:val="16"/>
                <w:szCs w:val="16"/>
              </w:rPr>
              <w:t xml:space="preserve">Input layer</w:t>
            </w:r>
          </w:p>
        </w:tc>
        <w:tc>
          <w:tcPr>
            <w:tcW w:type="dxa" w:w="240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r>
              <w:rPr>
                <w:rFonts w:ascii="Arial" w:cs="Arial" w:eastAsia="Arial" w:hAnsi="Arial"/>
                <w:b/>
                <w:bCs/>
                <w:color w:val="2563EB"/>
                <w:sz w:val="26"/>
                <w:szCs w:val="26"/>
              </w:rPr>
              <w:t xml:space="preserve">61 contracts</w:t>
            </w:r>
          </w:p>
          <w:p>
            <w:r>
              <w:rPr>
                <w:rFonts w:ascii="Arial" w:cs="Arial" w:eastAsia="Arial" w:hAnsi="Arial"/>
                <w:color w:val="475569"/>
                <w:sz w:val="16"/>
                <w:szCs w:val="16"/>
              </w:rPr>
              <w:t xml:space="preserve">948 activity rows</w:t>
            </w:r>
          </w:p>
        </w:tc>
        <w:tc>
          <w:tcPr>
            <w:tcW w:type="dxa" w:w="240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r>
              <w:rPr>
                <w:rFonts w:ascii="Arial" w:cs="Arial" w:eastAsia="Arial" w:hAnsi="Arial"/>
                <w:b/>
                <w:bCs/>
                <w:color w:val="2563EB"/>
                <w:sz w:val="26"/>
                <w:szCs w:val="26"/>
              </w:rPr>
              <w:t xml:space="preserve">12 engine steps</w:t>
            </w:r>
          </w:p>
          <w:p>
            <w:r>
              <w:rPr>
                <w:rFonts w:ascii="Arial" w:cs="Arial" w:eastAsia="Arial" w:hAnsi="Arial"/>
                <w:color w:val="475569"/>
                <w:sz w:val="16"/>
                <w:szCs w:val="16"/>
              </w:rPr>
              <w:t xml:space="preserve">ASC 606 loop</w:t>
            </w:r>
          </w:p>
        </w:tc>
        <w:tc>
          <w:tcPr>
            <w:tcW w:type="dxa" w:w="240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r>
              <w:rPr>
                <w:rFonts w:ascii="Arial" w:cs="Arial" w:eastAsia="Arial" w:hAnsi="Arial"/>
                <w:b/>
                <w:bCs/>
                <w:color w:val="2563EB"/>
                <w:sz w:val="26"/>
                <w:szCs w:val="26"/>
              </w:rPr>
              <w:t xml:space="preserve">8 metric outputs</w:t>
            </w:r>
          </w:p>
          <w:p>
            <w:r>
              <w:rPr>
                <w:rFonts w:ascii="Arial" w:cs="Arial" w:eastAsia="Arial" w:hAnsi="Arial"/>
                <w:color w:val="475569"/>
                <w:sz w:val="16"/>
                <w:szCs w:val="16"/>
              </w:rPr>
              <w:t xml:space="preserve">Phase 3</w:t>
            </w:r>
          </w:p>
        </w:tc>
      </w:tr>
    </w:tbl>
    <w:p>
      <w:pPr>
        <w:spacing w:after="0" w:before="0"/>
      </w:pPr>
      <w:r>
        <w:t xml:space="preserve"/>
      </w:r>
    </w:p>
    <w:p>
      <w:pPr>
        <w:spacing w:after="0" w:before="0"/>
      </w:pPr>
      <w:r>
        <w:t xml:space="preserve"/>
      </w:r>
    </w:p>
    <w:p>
      <w:pPr>
        <w:spacing w:after="80" w:before="180"/>
      </w:pPr>
      <w:r>
        <w:rPr>
          <w:rFonts w:ascii="Arial" w:cs="Arial" w:eastAsia="Arial" w:hAnsi="Arial"/>
          <w:b/>
          <w:bCs/>
          <w:color w:val="0F172A"/>
          <w:sz w:val="22"/>
          <w:szCs w:val="22"/>
        </w:rPr>
        <w:t xml:space="preserve">Contents</w:t>
      </w:r>
    </w:p>
    <w:p>
      <w:pPr>
        <w:spacing w:after="40" w:before="40"/>
      </w:pPr>
      <w:r>
        <w:rPr>
          <w:rFonts w:ascii="Arial" w:cs="Arial" w:eastAsia="Arial" w:hAnsi="Arial"/>
          <w:color w:val="475569"/>
          <w:sz w:val="18"/>
          <w:szCs w:val="18"/>
        </w:rPr>
        <w:t xml:space="preserve">   1. contracts.csv — 34 columns</w:t>
      </w:r>
    </w:p>
    <w:p>
      <w:pPr>
        <w:spacing w:after="40" w:before="40"/>
      </w:pPr>
      <w:r>
        <w:rPr>
          <w:rFonts w:ascii="Arial" w:cs="Arial" w:eastAsia="Arial" w:hAnsi="Arial"/>
          <w:color w:val="475569"/>
          <w:sz w:val="18"/>
          <w:szCs w:val="18"/>
        </w:rPr>
        <w:t xml:space="preserve">   2. monthly_activity.csv — 25 columns</w:t>
      </w:r>
    </w:p>
    <w:p>
      <w:pPr>
        <w:spacing w:after="40" w:before="40"/>
      </w:pPr>
      <w:r>
        <w:rPr>
          <w:rFonts w:ascii="Arial" w:cs="Arial" w:eastAsia="Arial" w:hAnsi="Arial"/>
          <w:color w:val="475569"/>
          <w:sz w:val="18"/>
          <w:szCs w:val="18"/>
        </w:rPr>
        <w:t xml:space="preserve">   3. recognition_schedule.csv — 12 columns</w:t>
      </w:r>
    </w:p>
    <w:p>
      <w:pPr>
        <w:spacing w:after="40" w:before="40"/>
      </w:pPr>
      <w:r>
        <w:rPr>
          <w:rFonts w:ascii="Arial" w:cs="Arial" w:eastAsia="Arial" w:hAnsi="Arial"/>
          <w:color w:val="475569"/>
          <w:sz w:val="18"/>
          <w:szCs w:val="18"/>
        </w:rPr>
        <w:t xml:space="preserve">   4. Key Accounting Assumptions</w:t>
      </w:r>
    </w:p>
    <w:p>
      <w:pPr>
        <w:spacing w:after="40" w:before="40"/>
      </w:pPr>
      <w:r>
        <w:rPr>
          <w:rFonts w:ascii="Arial" w:cs="Arial" w:eastAsia="Arial" w:hAnsi="Arial"/>
          <w:color w:val="475569"/>
          <w:sz w:val="18"/>
          <w:szCs w:val="18"/>
        </w:rPr>
        <w:t xml:space="preserve">   5. Python Script Reference</w:t>
      </w:r>
    </w:p>
    <w:p>
      <w:pPr>
        <w:spacing w:after="40" w:before="40"/>
      </w:pPr>
      <w:r>
        <w:rPr>
          <w:rFonts w:ascii="Arial" w:cs="Arial" w:eastAsia="Arial" w:hAnsi="Arial"/>
          <w:color w:val="475569"/>
          <w:sz w:val="18"/>
          <w:szCs w:val="18"/>
        </w:rPr>
        <w:t xml:space="preserve">   6. Metrics Output Reference</w:t>
      </w:r>
    </w:p>
    <w:p>
      <w:r>
        <w:br w:type="page"/>
      </w:r>
    </w:p>
    <w:p>
      <w:pPr>
        <w:pBdr>
          <w:bottom w:val="single" w:color="2563EB" w:sz="4" w:space="1"/>
        </w:pBdr>
        <w:spacing w:after="120" w:before="360"/>
      </w:pPr>
      <w:r>
        <w:rPr>
          <w:rFonts w:ascii="Arial" w:cs="Arial" w:eastAsia="Arial" w:hAnsi="Arial"/>
          <w:b/>
          <w:bCs/>
          <w:color w:val="0F172A"/>
          <w:sz w:val="32"/>
          <w:szCs w:val="32"/>
        </w:rPr>
        <w:t xml:space="preserve">1. contracts.csv</w:t>
      </w:r>
    </w:p>
    <w:p>
      <w:pPr>
        <w:spacing w:after="60" w:before="60"/>
      </w:pPr>
      <w:r>
        <w:rPr>
          <w:rFonts w:ascii="Arial" w:cs="Arial" w:eastAsia="Arial" w:hAnsi="Arial"/>
          <w:color w:val="475569"/>
          <w:sz w:val="20"/>
          <w:szCs w:val="20"/>
        </w:rPr>
        <w:t xml:space="preserve">Primary reference table. One row per contract. 61 rows × 34 columns. Generated by generate_cloudaxis_50.py. Contains all contract terms, pricing, modification flags, and policy classifications.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0"/>
        <w:gridCol w:w="740"/>
        <w:gridCol w:w="540"/>
        <w:gridCol w:w="2900"/>
        <w:gridCol w:w="2680"/>
        <w:gridCol w:w="640"/>
      </w:tblGrid>
      <w:tr>
        <w:trPr>
          <w:tblHeader/>
        </w:trPr>
        <w:tc>
          <w:tcPr>
            <w:tcW w:type="dxa" w:w="15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Column</w:t>
            </w:r>
          </w:p>
        </w:tc>
        <w:tc>
          <w:tcPr>
            <w:tcW w:type="dxa" w:w="7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Type</w:t>
            </w:r>
          </w:p>
        </w:tc>
        <w:tc>
          <w:tcPr>
            <w:tcW w:type="dxa" w:w="5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Null?</w:t>
            </w:r>
          </w:p>
        </w:tc>
        <w:tc>
          <w:tcPr>
            <w:tcW w:type="dxa" w:w="29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Description</w:t>
            </w:r>
          </w:p>
        </w:tc>
        <w:tc>
          <w:tcPr>
            <w:tcW w:type="dxa" w:w="26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Values / Notes</w:t>
            </w:r>
          </w:p>
        </w:tc>
        <w:tc>
          <w:tcPr>
            <w:tcW w:type="dxa" w:w="6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Source</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contract_id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Primary key. Unique contract identifier.</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CTR-0001 to CTR-0061</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customer_id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Customer identifier. Multiple contracts can share one customer.</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CUST-0001 to CUST-0050</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customer_segment</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Commercial segment. Drives commission rate and expected life.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SMB | Mid-Market | Enterprise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region</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Geographic region of customer billing address.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North America | EMEA | APAC | LATAM</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product</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Product line. Determines recognition pattern.</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Core | Analytics | DataPipeline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pricing_model</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Pricing structure of the contract.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per_seat_annual | flat_rate | usage_based</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contract_start_date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DATE</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First day of contract term (including any free trial).</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YYYY-MM-DD</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contract_end_date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DATE</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Last day of contracted term. Null for month-to-month.</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YYYY-MM-DD | null (m2m)</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contract_tcv</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Total Contract Value. Sum of all committed MRR over term plus impl fee.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base_mrr</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Monthly Recurring Revenue at contract inception before modifications.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seats_contracted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INTEGER</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Number of seats at signing. Core product only. Null for Analytics/DataPipeline.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Positive integer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price_per_seat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Price per seat at contract signing. LOCKED — used for all seat add calculations.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usage_base_fee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Fixed monthly base fee for DataPipeline. Null for Core/Analytics.</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overage_rate_per_unit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Per-unit rate for DataPipeline usage above included tier. Null for Core/Analytics.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4dp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usage_tier_included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Monthly unit threshold before overage charges apply. DataPipeline only.</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Units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free_trial_months</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INTEGER</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Number of months before first billing. Zero if no trial.</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0 | 1 | 2 | 3</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has_impl_fee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BOOLEAN</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Whether contract includes a non-distinct implementation fee.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True | False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impl_fee_amount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Total implementation fee. Zero if has_impl_fee=False. Recognised ratably.</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is_multi_element</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BOOLEAN</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Whether contract is part of a bundle (Core + Analytics). Requires SSP allocation.</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True | False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bundle_contract_id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Partner contract in a bundle arrangement. Null if solo contract.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CTR-XXXX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payment_terms</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Billing and payment structure.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annual_upfront | annual_quarterly | monthly</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sales_commission_pct_new</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Commission rate on TCV for new business. Applied to orig_commission_capitalized.</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0.10 (SMB) | 0.12 (MM) | 0.15 (ENT)</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sales_commission_pct_upgrade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Legacy field. Prospective treatment now uses same rate as new business.</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0.05 (legacy, not used in final engine)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Deprecated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ssp_amount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Standalone Selling Price used for bundle allocation. Equals base_mrr for solo.</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base_mrr × 1.10-1.20 for bundles</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cohort_month</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First paying month. Offset from contract_start_date by free_trial_months.</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YYYY-MM</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is_committed_term</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BOOLEAN</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Whether contract has a fixed end date. Determines RPO inclusion.</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True | False</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expected_customer_life_months</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INTEGER</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Expected life for commission amortisation. Set by segment.</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18 (SMB) | 24 (MM) | 36 (ENT)</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Policy</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renewal_type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Outcome at contract expiry. Null if contract still active at Dec 2024.</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renewed | churned_at_renewal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modification_type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Type of contract modification. Null if unmodified.</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product_switch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asc606_modification_treatment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ASC 606 modification accounting approach applied.</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prospective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Policy</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modified_from_contract_id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Source contract for product_switch_in contracts.</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CTR-XXXX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termination_date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DATE</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Date of early termination. Null if not terminated.</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YYYY-MM-DD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termination_type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Early termination treatment.</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early_with_penalty | early_with_refund | early_no_penalty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termination_penalty_amount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Cash penalty recognised as additional revenue on termination.</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bl>
    <w:p>
      <w:pPr>
        <w:spacing w:after="0" w:before="0"/>
      </w:pPr>
      <w:r>
        <w:t xml:space="preserve"/>
      </w:r>
    </w:p>
    <w:p>
      <w:pPr>
        <w:spacing w:after="0" w:before="0"/>
      </w:pPr>
      <w:r>
        <w:t xml:space="preserve"/>
      </w:r>
    </w:p>
    <w:p>
      <w:r>
        <w:br w:type="page"/>
      </w:r>
    </w:p>
    <w:p>
      <w:pPr>
        <w:pBdr>
          <w:bottom w:val="single" w:color="2563EB" w:sz="4" w:space="1"/>
        </w:pBdr>
        <w:spacing w:after="120" w:before="360"/>
      </w:pPr>
      <w:r>
        <w:rPr>
          <w:rFonts w:ascii="Arial" w:cs="Arial" w:eastAsia="Arial" w:hAnsi="Arial"/>
          <w:b/>
          <w:bCs/>
          <w:color w:val="0F172A"/>
          <w:sz w:val="32"/>
          <w:szCs w:val="32"/>
        </w:rPr>
        <w:t xml:space="preserve">2. monthly_activity.csv</w:t>
      </w:r>
    </w:p>
    <w:p>
      <w:pPr>
        <w:spacing w:after="60" w:before="60"/>
      </w:pPr>
      <w:r>
        <w:rPr>
          <w:rFonts w:ascii="Arial" w:cs="Arial" w:eastAsia="Arial" w:hAnsi="Arial"/>
          <w:color w:val="475569"/>
          <w:sz w:val="20"/>
          <w:szCs w:val="20"/>
        </w:rPr>
        <w:t xml:space="preserve">Transaction-level activity table. One row per contract per active month. 948 rows × 25 columns. Generated by generate_cloudaxis_50.py alongside contracts.csv. Contains billing, MRR movement, commission events, and modification events.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0"/>
        <w:gridCol w:w="740"/>
        <w:gridCol w:w="540"/>
        <w:gridCol w:w="2900"/>
        <w:gridCol w:w="2680"/>
        <w:gridCol w:w="640"/>
      </w:tblGrid>
      <w:tr>
        <w:trPr>
          <w:tblHeader/>
        </w:trPr>
        <w:tc>
          <w:tcPr>
            <w:tcW w:type="dxa" w:w="15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Column</w:t>
            </w:r>
          </w:p>
        </w:tc>
        <w:tc>
          <w:tcPr>
            <w:tcW w:type="dxa" w:w="7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Type</w:t>
            </w:r>
          </w:p>
        </w:tc>
        <w:tc>
          <w:tcPr>
            <w:tcW w:type="dxa" w:w="5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Null?</w:t>
            </w:r>
          </w:p>
        </w:tc>
        <w:tc>
          <w:tcPr>
            <w:tcW w:type="dxa" w:w="29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Description</w:t>
            </w:r>
          </w:p>
        </w:tc>
        <w:tc>
          <w:tcPr>
            <w:tcW w:type="dxa" w:w="26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Values / Notes</w:t>
            </w:r>
          </w:p>
        </w:tc>
        <w:tc>
          <w:tcPr>
            <w:tcW w:type="dxa" w:w="6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Source</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contract_id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Foreign key to contracts.csv.</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CTR-0001 to CTR-0061</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FK</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customer_id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Foreign key. Denormalised for aggregation convenience.</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CUST-0001 to CUST-0050</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FK</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period_month</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Month of this row. One row per contract per active month.</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YYYY-MM (2023-01 to 2024-12)</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seats_active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Seats active this month after any seat additions. Core only. Null for others.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Positive integer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usage_units_consumed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Total units consumed this month. DataPipeline only.</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Units, 1dp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usage_tier_included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Included tier this month (denormalised from contracts). DataPipeline only.</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Units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Denorm</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overage_units</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Units above included tier. DataPipeline only. max(0, consumed - tier).</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Units, 1dp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overage_revenue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Overage revenue this month = overage_units × rate. DataPipeline only.</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mrr_this_month</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Current MRR after all modifications applied this month. Used as recognition base.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amount_billed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Cash invoiced this month. Pattern depends on payment_terms and product.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0 for non-billing months</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is_in_trial</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BOOLEAN</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Whether this month is a free trial month. Revenue = 0 when True.</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True | False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modification_event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Type of modification event in this month. Null if no event.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seat_add | tier_upgrade | tier_downgrade | product_switch_in | product_switch_out | churn | early_termination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modification_delta_mrr</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MRR change from modification. Positive=expansion, negative=contraction.</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mrr_movement_type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MRR cohort movement category for waterfall analysis.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new | expansion | contraction | churned | reactivation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Classified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impl_fee_recognized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Impl fee revenue component this month = impl_fee_amount / contract_months.</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 (no impl fee)</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orig_asset_id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Identifier of the original commission asset for this contract.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ASSET-XXXXX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orig_commission_capitalized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Original commission capitalised at contract signing. Non-zero in month 1 only.</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 (not month 1)</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orig_commission_amortized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Original commission amortised this month (monthly straight-line).</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orig_commission_asset_bal</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Closing balance of original commission asset after amortisation.</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exp_asset_id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Identifier of expansion commission asset (seat add or upgrade). Null if none.</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ASSET-XXXXX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exp_commission_capitalized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Expansion commission capitalised at expansion event month. Non-zero in event month only.</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exp_commission_amortized</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Expansion commission amortised this month.</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exp_commission_asset_bal</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Closing balance of expansion commission asset.</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commission_event_type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Type of commission event this month.</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original_asset_created | expansion_asset_created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Classified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churn_reason</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Reason for churn. Populated on churn/termination month only.</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price | competitor | end_of_need | no_renewal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Generated</w:t>
            </w:r>
          </w:p>
        </w:tc>
      </w:tr>
    </w:tbl>
    <w:p>
      <w:pPr>
        <w:spacing w:after="0" w:before="0"/>
      </w:pPr>
      <w:r>
        <w:t xml:space="preserve"/>
      </w:r>
    </w:p>
    <w:p>
      <w:pPr>
        <w:spacing w:after="0" w:before="0"/>
      </w:pPr>
      <w:r>
        <w:t xml:space="preserve"/>
      </w:r>
    </w:p>
    <w:p>
      <w:r>
        <w:br w:type="page"/>
      </w:r>
    </w:p>
    <w:p>
      <w:pPr>
        <w:pBdr>
          <w:bottom w:val="single" w:color="2563EB" w:sz="4" w:space="1"/>
        </w:pBdr>
        <w:spacing w:after="120" w:before="360"/>
      </w:pPr>
      <w:r>
        <w:rPr>
          <w:rFonts w:ascii="Arial" w:cs="Arial" w:eastAsia="Arial" w:hAnsi="Arial"/>
          <w:b/>
          <w:bCs/>
          <w:color w:val="0F172A"/>
          <w:sz w:val="32"/>
          <w:szCs w:val="32"/>
        </w:rPr>
        <w:t xml:space="preserve">3. recognition_schedule.csv</w:t>
      </w:r>
    </w:p>
    <w:p>
      <w:pPr>
        <w:spacing w:after="60" w:before="60"/>
      </w:pPr>
      <w:r>
        <w:rPr>
          <w:rFonts w:ascii="Arial" w:cs="Arial" w:eastAsia="Arial" w:hAnsi="Arial"/>
          <w:color w:val="475569"/>
          <w:sz w:val="20"/>
          <w:szCs w:val="20"/>
        </w:rPr>
        <w:t xml:space="preserve">ASC 606 recognition output. One row per contract per active month. 948 rows × 12 columns. Generated by recognition_engine_fixed.py. Source for all Phase 3 metrics and the ASC 606 disclosure package.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0"/>
        <w:gridCol w:w="740"/>
        <w:gridCol w:w="540"/>
        <w:gridCol w:w="2900"/>
        <w:gridCol w:w="2680"/>
        <w:gridCol w:w="640"/>
      </w:tblGrid>
      <w:tr>
        <w:trPr>
          <w:tblHeader/>
        </w:trPr>
        <w:tc>
          <w:tcPr>
            <w:tcW w:type="dxa" w:w="15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Column</w:t>
            </w:r>
          </w:p>
        </w:tc>
        <w:tc>
          <w:tcPr>
            <w:tcW w:type="dxa" w:w="7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Type</w:t>
            </w:r>
          </w:p>
        </w:tc>
        <w:tc>
          <w:tcPr>
            <w:tcW w:type="dxa" w:w="5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Null?</w:t>
            </w:r>
          </w:p>
        </w:tc>
        <w:tc>
          <w:tcPr>
            <w:tcW w:type="dxa" w:w="29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Description</w:t>
            </w:r>
          </w:p>
        </w:tc>
        <w:tc>
          <w:tcPr>
            <w:tcW w:type="dxa" w:w="26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Values / Notes</w:t>
            </w:r>
          </w:p>
        </w:tc>
        <w:tc>
          <w:tcPr>
            <w:tcW w:type="dxa" w:w="64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Source</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contract_id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Foreign key to contracts.csv.</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CTR-0001 to CTR-0061</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FK</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period_month</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Recognition period. One row per contract per active month.</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YYYY-MM</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FK</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revenue_recognized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Revenue recognised this month. Includes subscription + impl_fee portion. Zero during trial.</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deferred_rev_balance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Closing deferred revenue balance. max(0, cum_billed×ratio - cum_recognised). Mutually exclusive with contract_asset.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contract_asset_balance</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Closing contract asset balance. max(0, cum_recognised - cum_billed×ratio). Mutually exclusive with deferred.</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catchup_adjustment</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Cumulative catch-up adjustment. Always 0 — all modifications are prospective.</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Always 0.00 in final model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rpo_remaining</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Remaining Performance Obligation = current_mrr × months_remaining. Null for month-to-month and DataPipeline overages.</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null</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orig_commission_asset_bal</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Closing balance of original commission asset at period end.</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exp_commission_asset_bal</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Closing balance of expansion commission asset at period end.</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total_commission_asset_bal</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Sum of orig + exp commission asset balances. Reported on balance sheet.</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Computed</w:t>
            </w:r>
          </w:p>
        </w:tc>
      </w:tr>
      <w:tr>
        <w:tc>
          <w:tcPr>
            <w:tcW w:type="dxa" w:w="15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cumulative_recognized</w:t>
            </w:r>
          </w:p>
        </w:tc>
        <w:tc>
          <w:tcPr>
            <w:tcW w:type="dxa" w:w="7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DECIMAL</w:t>
            </w:r>
          </w:p>
        </w:tc>
        <w:tc>
          <w:tcPr>
            <w:tcW w:type="dxa" w:w="5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N</w:t>
            </w:r>
          </w:p>
        </w:tc>
        <w:tc>
          <w:tcPr>
            <w:tcW w:type="dxa" w:w="290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Running total of revenue recognised for this contract from inception.</w:t>
            </w:r>
          </w:p>
        </w:tc>
        <w:tc>
          <w:tcPr>
            <w:tcW w:type="dxa" w:w="268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USD, 2dp | ≥ 0</w:t>
            </w:r>
          </w:p>
        </w:tc>
        <w:tc>
          <w:tcPr>
            <w:tcW w:type="dxa" w:w="640"/>
            <w:tcBorders>
              <w:top w:val="single" w:color="E2E8F0" w:sz="1"/>
              <w:left w:val="single" w:color="E2E8F0" w:sz="1"/>
              <w:bottom w:val="single" w:color="E2E8F0" w:sz="1"/>
              <w:right w:val="single" w:color="E2E8F0" w:sz="1"/>
            </w:tcBorders>
            <w:shd w:fill="FFFFFF"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r>
        <w:tc>
          <w:tcPr>
            <w:tcW w:type="dxa" w:w="15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bCs/>
                <w:color w:val="2563EB"/>
                <w:sz w:val="16"/>
                <w:szCs w:val="16"/>
              </w:rPr>
              <w:t xml:space="preserve">note</w:t>
            </w:r>
          </w:p>
        </w:tc>
        <w:tc>
          <w:tcPr>
            <w:tcW w:type="dxa" w:w="7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Courier New" w:cs="Courier New" w:eastAsia="Courier New" w:hAnsi="Courier New"/>
                <w:b w:val="false"/>
                <w:bCs w:val="false"/>
                <w:color w:val="065F46"/>
                <w:sz w:val="15"/>
                <w:szCs w:val="15"/>
              </w:rPr>
              <w:t xml:space="preserve">STRING</w:t>
            </w:r>
          </w:p>
        </w:tc>
        <w:tc>
          <w:tcPr>
            <w:tcW w:type="dxa" w:w="5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Y</w:t>
            </w:r>
          </w:p>
        </w:tc>
        <w:tc>
          <w:tcPr>
            <w:tcW w:type="dxa" w:w="290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Descriptive note for special period events.</w:t>
            </w:r>
          </w:p>
        </w:tc>
        <w:tc>
          <w:tcPr>
            <w:tcW w:type="dxa" w:w="268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trial_period | seat_add | tier_upgrade | tier_downgrade | product_switch_out | early_termination | churn | null</w:t>
            </w:r>
          </w:p>
        </w:tc>
        <w:tc>
          <w:tcPr>
            <w:tcW w:type="dxa" w:w="640"/>
            <w:tcBorders>
              <w:top w:val="single" w:color="E2E8F0" w:sz="1"/>
              <w:left w:val="single" w:color="E2E8F0" w:sz="1"/>
              <w:bottom w:val="single" w:color="E2E8F0" w:sz="1"/>
              <w:right w:val="single" w:color="E2E8F0" w:sz="1"/>
            </w:tcBorders>
            <w:shd w:fill="F8FAFC" w:val="clear"/>
            <w:tcMar>
              <w:top w:type="dxa" w:w="65"/>
              <w:left w:type="dxa" w:w="100"/>
              <w:bottom w:type="dxa" w:w="65"/>
              <w:right w:type="dxa" w:w="100"/>
            </w:tcMar>
          </w:tcPr>
          <w:p>
            <w:r>
              <w:rPr>
                <w:rFonts w:ascii="Arial" w:cs="Arial" w:eastAsia="Arial" w:hAnsi="Arial"/>
                <w:b w:val="false"/>
                <w:bCs w:val="false"/>
                <w:color w:val="0F172A"/>
                <w:sz w:val="15"/>
                <w:szCs w:val="15"/>
              </w:rPr>
              <w:t xml:space="preserve">Engine</w:t>
            </w:r>
          </w:p>
        </w:tc>
      </w:tr>
    </w:tbl>
    <w:p>
      <w:pPr>
        <w:spacing w:after="0" w:before="0"/>
      </w:pPr>
      <w:r>
        <w:t xml:space="preserve"/>
      </w:r>
    </w:p>
    <w:p>
      <w:pPr>
        <w:spacing w:after="0" w:before="0"/>
      </w:pPr>
      <w:r>
        <w:t xml:space="preserve"/>
      </w:r>
    </w:p>
    <w:p>
      <w:r>
        <w:br w:type="page"/>
      </w:r>
    </w:p>
    <w:p>
      <w:pPr>
        <w:pBdr>
          <w:bottom w:val="single" w:color="2563EB" w:sz="4" w:space="1"/>
        </w:pBdr>
        <w:spacing w:after="120" w:before="360"/>
      </w:pPr>
      <w:r>
        <w:rPr>
          <w:rFonts w:ascii="Arial" w:cs="Arial" w:eastAsia="Arial" w:hAnsi="Arial"/>
          <w:b/>
          <w:bCs/>
          <w:color w:val="0F172A"/>
          <w:sz w:val="32"/>
          <w:szCs w:val="32"/>
        </w:rPr>
        <w:t xml:space="preserve">4. Key Accounting Assumptions</w:t>
      </w:r>
    </w:p>
    <w:p>
      <w:pPr>
        <w:spacing w:after="60" w:before="60"/>
      </w:pPr>
      <w:r>
        <w:rPr>
          <w:rFonts w:ascii="Arial" w:cs="Arial" w:eastAsia="Arial" w:hAnsi="Arial"/>
          <w:color w:val="475569"/>
          <w:sz w:val="20"/>
          <w:szCs w:val="20"/>
        </w:rPr>
        <w:t xml:space="preserve">All accounting policy decisions applied in the recognition engine and disclosure package. Each was determined by an accounting professional and then executed by the engine. AI did not make any of these decisions independently.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248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Decision / Assumption</w:t>
            </w:r>
          </w:p>
        </w:tc>
        <w:tc>
          <w:tcPr>
            <w:tcW w:type="dxa" w:w="30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Treatment Applied</w:t>
            </w:r>
          </w:p>
        </w:tc>
        <w:tc>
          <w:tcPr>
            <w:tcW w:type="dxa" w:w="18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ASC Reference</w:t>
            </w:r>
          </w:p>
        </w:tc>
        <w:tc>
          <w:tcPr>
            <w:tcW w:type="dxa" w:w="24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Category</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b/>
                <w:bCs/>
                <w:color w:val="0F172A"/>
                <w:sz w:val="16"/>
                <w:szCs w:val="16"/>
              </w:rPr>
              <w:t xml:space="preserve">Prospective modification treatment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All contract types — upgrades and downgrades</w:t>
            </w:r>
          </w:p>
        </w:tc>
        <w:tc>
          <w:tcPr>
            <w:tcW w:type="dxa" w:w="18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ASC 606-10-25-12</w:t>
            </w:r>
          </w:p>
        </w:tc>
        <w:tc>
          <w:tcPr>
            <w:tcW w:type="dxa" w:w="2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b/>
                <w:bCs/>
                <w:color w:val="0F172A"/>
                <w:sz w:val="16"/>
                <w:szCs w:val="16"/>
              </w:rPr>
              <w:t xml:space="preserve">Implementation fees — not distinct</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Combined with subscription, ratable over term</w:t>
            </w:r>
          </w:p>
        </w:tc>
        <w:tc>
          <w:tcPr>
            <w:tcW w:type="dxa" w:w="1800"/>
            <w:tcBorders>
              <w:top w:val="single" w:color="E2E8F0" w:sz="1"/>
              <w:left w:val="single" w:color="E2E8F0" w:sz="1"/>
              <w:bottom w:val="single" w:color="E2E8F0" w:sz="1"/>
              <w:right w:val="single" w:color="E2E8F0" w:sz="1"/>
            </w:tcBorders>
            <w:shd w:fill="DCFCE7" w:val="clear"/>
            <w:tcMar>
              <w:top w:type="dxa" w:w="70"/>
              <w:left w:type="dxa" w:w="100"/>
              <w:bottom w:type="dxa" w:w="70"/>
              <w:right w:type="dxa" w:w="100"/>
            </w:tcMar>
          </w:tcPr>
          <w:p>
            <w:r>
              <w:rPr>
                <w:rFonts w:ascii="Courier New" w:cs="Courier New" w:eastAsia="Courier New" w:hAnsi="Courier New"/>
                <w:b/>
                <w:bCs/>
                <w:color w:val="059669"/>
                <w:sz w:val="14"/>
                <w:szCs w:val="14"/>
              </w:rPr>
              <w:t xml:space="preserve">ASC 606-10-25-19</w:t>
            </w:r>
          </w:p>
        </w:tc>
        <w:tc>
          <w:tcPr>
            <w:tcW w:type="dxa" w:w="24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b/>
                <w:bCs/>
                <w:color w:val="0F172A"/>
                <w:sz w:val="16"/>
                <w:szCs w:val="16"/>
              </w:rPr>
              <w:t xml:space="preserve">Renewal options — not a material right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Renewals priced at market rates, no price advantage</w:t>
            </w:r>
          </w:p>
        </w:tc>
        <w:tc>
          <w:tcPr>
            <w:tcW w:type="dxa" w:w="1800"/>
            <w:tcBorders>
              <w:top w:val="single" w:color="E2E8F0" w:sz="1"/>
              <w:left w:val="single" w:color="E2E8F0" w:sz="1"/>
              <w:bottom w:val="single" w:color="E2E8F0" w:sz="1"/>
              <w:right w:val="single" w:color="E2E8F0" w:sz="1"/>
            </w:tcBorders>
            <w:shd w:fill="DCFCE7" w:val="clear"/>
            <w:tcMar>
              <w:top w:type="dxa" w:w="70"/>
              <w:left w:type="dxa" w:w="100"/>
              <w:bottom w:type="dxa" w:w="70"/>
              <w:right w:type="dxa" w:w="100"/>
            </w:tcMar>
          </w:tcPr>
          <w:p>
            <w:r>
              <w:rPr>
                <w:rFonts w:ascii="Courier New" w:cs="Courier New" w:eastAsia="Courier New" w:hAnsi="Courier New"/>
                <w:b/>
                <w:bCs/>
                <w:color w:val="059669"/>
                <w:sz w:val="14"/>
                <w:szCs w:val="14"/>
              </w:rPr>
              <w:t xml:space="preserve">ASC 606-10-55-42</w:t>
            </w:r>
          </w:p>
        </w:tc>
        <w:tc>
          <w:tcPr>
            <w:tcW w:type="dxa" w:w="2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b/>
                <w:bCs/>
                <w:color w:val="0F172A"/>
                <w:sz w:val="16"/>
                <w:szCs w:val="16"/>
              </w:rPr>
              <w:t xml:space="preserve">DataPipeline variable overages</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Excluded from RPO under practical expedient</w:t>
            </w:r>
          </w:p>
        </w:tc>
        <w:tc>
          <w:tcPr>
            <w:tcW w:type="dxa" w:w="18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ASC 606-10-50-14</w:t>
            </w:r>
          </w:p>
        </w:tc>
        <w:tc>
          <w:tcPr>
            <w:tcW w:type="dxa" w:w="24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b/>
                <w:bCs/>
                <w:color w:val="0F172A"/>
                <w:sz w:val="16"/>
                <w:szCs w:val="16"/>
              </w:rPr>
              <w:t xml:space="preserve">Month-to-month contracts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Excluded from RPO — no enforceable future right</w:t>
            </w:r>
          </w:p>
        </w:tc>
        <w:tc>
          <w:tcPr>
            <w:tcW w:type="dxa" w:w="1800"/>
            <w:tcBorders>
              <w:top w:val="single" w:color="E2E8F0" w:sz="1"/>
              <w:left w:val="single" w:color="E2E8F0" w:sz="1"/>
              <w:bottom w:val="single" w:color="E2E8F0" w:sz="1"/>
              <w:right w:val="single" w:color="E2E8F0" w:sz="1"/>
            </w:tcBorders>
            <w:shd w:fill="DBEAFE"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ASC 606-10-50-13</w:t>
            </w:r>
          </w:p>
        </w:tc>
        <w:tc>
          <w:tcPr>
            <w:tcW w:type="dxa" w:w="2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b/>
                <w:bCs/>
                <w:color w:val="0F172A"/>
                <w:sz w:val="16"/>
                <w:szCs w:val="16"/>
              </w:rPr>
              <w:t xml:space="preserve">Bundle SSP allocation</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Solo = base_mrr; Bundle = base_mrr × 1.10-1.20</w:t>
            </w:r>
          </w:p>
        </w:tc>
        <w:tc>
          <w:tcPr>
            <w:tcW w:type="dxa" w:w="1800"/>
            <w:tcBorders>
              <w:top w:val="single" w:color="E2E8F0" w:sz="1"/>
              <w:left w:val="single" w:color="E2E8F0" w:sz="1"/>
              <w:bottom w:val="single" w:color="E2E8F0" w:sz="1"/>
              <w:right w:val="single" w:color="E2E8F0" w:sz="1"/>
            </w:tcBorders>
            <w:shd w:fill="F3E8FF" w:val="clear"/>
            <w:tcMar>
              <w:top w:type="dxa" w:w="70"/>
              <w:left w:type="dxa" w:w="100"/>
              <w:bottom w:type="dxa" w:w="70"/>
              <w:right w:type="dxa" w:w="100"/>
            </w:tcMar>
          </w:tcPr>
          <w:p>
            <w:r>
              <w:rPr>
                <w:rFonts w:ascii="Courier New" w:cs="Courier New" w:eastAsia="Courier New" w:hAnsi="Courier New"/>
                <w:b/>
                <w:bCs/>
                <w:color w:val="7C3AED"/>
                <w:sz w:val="14"/>
                <w:szCs w:val="14"/>
              </w:rPr>
              <w:t xml:space="preserve">ASC 606-10-32-31</w:t>
            </w:r>
          </w:p>
        </w:tc>
        <w:tc>
          <w:tcPr>
            <w:tcW w:type="dxa" w:w="24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b/>
                <w:bCs/>
                <w:color w:val="0F172A"/>
                <w:sz w:val="16"/>
                <w:szCs w:val="16"/>
              </w:rPr>
              <w:t xml:space="preserve">Commission asset amortisation</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Straight-line over expected life: 18/24/36 months</w:t>
            </w:r>
          </w:p>
        </w:tc>
        <w:tc>
          <w:tcPr>
            <w:tcW w:type="dxa" w:w="1800"/>
            <w:tcBorders>
              <w:top w:val="single" w:color="E2E8F0" w:sz="1"/>
              <w:left w:val="single" w:color="E2E8F0" w:sz="1"/>
              <w:bottom w:val="single" w:color="E2E8F0" w:sz="1"/>
              <w:right w:val="single" w:color="E2E8F0" w:sz="1"/>
            </w:tcBorders>
            <w:shd w:fill="FEF3C7" w:val="clear"/>
            <w:tcMar>
              <w:top w:type="dxa" w:w="70"/>
              <w:left w:type="dxa" w:w="100"/>
              <w:bottom w:type="dxa" w:w="70"/>
              <w:right w:type="dxa" w:w="100"/>
            </w:tcMar>
          </w:tcPr>
          <w:p>
            <w:r>
              <w:rPr>
                <w:rFonts w:ascii="Courier New" w:cs="Courier New" w:eastAsia="Courier New" w:hAnsi="Courier New"/>
                <w:b/>
                <w:bCs/>
                <w:color w:val="D97706"/>
                <w:sz w:val="14"/>
                <w:szCs w:val="14"/>
              </w:rPr>
              <w:t xml:space="preserve">ASC 340-40-35-1</w:t>
            </w:r>
          </w:p>
        </w:tc>
        <w:tc>
          <w:tcPr>
            <w:tcW w:type="dxa" w:w="2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b/>
                <w:bCs/>
                <w:color w:val="0F172A"/>
                <w:sz w:val="16"/>
                <w:szCs w:val="16"/>
              </w:rPr>
              <w:t xml:space="preserve">Commission write-off on termination</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Immediate expense of unamortised balance</w:t>
            </w:r>
          </w:p>
        </w:tc>
        <w:tc>
          <w:tcPr>
            <w:tcW w:type="dxa" w:w="1800"/>
            <w:tcBorders>
              <w:top w:val="single" w:color="E2E8F0" w:sz="1"/>
              <w:left w:val="single" w:color="E2E8F0" w:sz="1"/>
              <w:bottom w:val="single" w:color="E2E8F0" w:sz="1"/>
              <w:right w:val="single" w:color="E2E8F0" w:sz="1"/>
            </w:tcBorders>
            <w:shd w:fill="FEF3C7" w:val="clear"/>
            <w:tcMar>
              <w:top w:type="dxa" w:w="70"/>
              <w:left w:type="dxa" w:w="100"/>
              <w:bottom w:type="dxa" w:w="70"/>
              <w:right w:type="dxa" w:w="100"/>
            </w:tcMar>
          </w:tcPr>
          <w:p>
            <w:r>
              <w:rPr>
                <w:rFonts w:ascii="Courier New" w:cs="Courier New" w:eastAsia="Courier New" w:hAnsi="Courier New"/>
                <w:b/>
                <w:bCs/>
                <w:color w:val="D97706"/>
                <w:sz w:val="14"/>
                <w:szCs w:val="14"/>
              </w:rPr>
              <w:t xml:space="preserve">ASC 340-40-35-1</w:t>
            </w:r>
          </w:p>
        </w:tc>
        <w:tc>
          <w:tcPr>
            <w:tcW w:type="dxa" w:w="24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94A3B8"/>
                <w:sz w:val="14"/>
                <w:szCs w:val="14"/>
              </w:rPr>
              <w:t xml:space="preserve">ASC 606 / 340-40</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b/>
                <w:bCs/>
                <w:color w:val="0F172A"/>
                <w:sz w:val="16"/>
                <w:szCs w:val="16"/>
              </w:rPr>
              <w:t xml:space="preserve">LTV churn methodology</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Trailing 12-month MRR average, 6% annual floor, 5-year cap</w:t>
            </w:r>
          </w:p>
        </w:tc>
        <w:tc>
          <w:tcPr>
            <w:tcW w:type="dxa" w:w="1800"/>
            <w:tcBorders>
              <w:top w:val="single" w:color="E2E8F0" w:sz="1"/>
              <w:left w:val="single" w:color="E2E8F0" w:sz="1"/>
              <w:bottom w:val="single" w:color="E2E8F0" w:sz="1"/>
              <w:right w:val="single" w:color="E2E8F0" w:sz="1"/>
            </w:tcBorders>
            <w:shd w:fill="F3E8FF" w:val="clear"/>
            <w:tcMar>
              <w:top w:type="dxa" w:w="70"/>
              <w:left w:type="dxa" w:w="100"/>
              <w:bottom w:type="dxa" w:w="70"/>
              <w:right w:type="dxa" w:w="100"/>
            </w:tcMar>
          </w:tcPr>
          <w:p>
            <w:r>
              <w:rPr>
                <w:rFonts w:ascii="Courier New" w:cs="Courier New" w:eastAsia="Courier New" w:hAnsi="Courier New"/>
                <w:b/>
                <w:bCs/>
                <w:color w:val="7C3AED"/>
                <w:sz w:val="14"/>
                <w:szCs w:val="14"/>
              </w:rPr>
              <w:t xml:space="preserve">Finance convention</w:t>
            </w:r>
          </w:p>
        </w:tc>
        <w:tc>
          <w:tcPr>
            <w:tcW w:type="dxa" w:w="2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94A3B8"/>
                <w:sz w:val="14"/>
                <w:szCs w:val="14"/>
              </w:rPr>
              <w:t xml:space="preserve">Finance / Business</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b/>
                <w:bCs/>
                <w:color w:val="0F172A"/>
                <w:sz w:val="16"/>
                <w:szCs w:val="16"/>
              </w:rPr>
              <w:t xml:space="preserve">CAC calculation</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Commission CAC ÷ 0.35 (commissions ≈ 35% of S&amp;M costs)</w:t>
            </w:r>
          </w:p>
        </w:tc>
        <w:tc>
          <w:tcPr>
            <w:tcW w:type="dxa" w:w="1800"/>
            <w:tcBorders>
              <w:top w:val="single" w:color="E2E8F0" w:sz="1"/>
              <w:left w:val="single" w:color="E2E8F0" w:sz="1"/>
              <w:bottom w:val="single" w:color="E2E8F0" w:sz="1"/>
              <w:right w:val="single" w:color="E2E8F0" w:sz="1"/>
            </w:tcBorders>
            <w:shd w:fill="F3E8FF" w:val="clear"/>
            <w:tcMar>
              <w:top w:type="dxa" w:w="70"/>
              <w:left w:type="dxa" w:w="100"/>
              <w:bottom w:type="dxa" w:w="70"/>
              <w:right w:type="dxa" w:w="100"/>
            </w:tcMar>
          </w:tcPr>
          <w:p>
            <w:r>
              <w:rPr>
                <w:rFonts w:ascii="Courier New" w:cs="Courier New" w:eastAsia="Courier New" w:hAnsi="Courier New"/>
                <w:b/>
                <w:bCs/>
                <w:color w:val="7C3AED"/>
                <w:sz w:val="14"/>
                <w:szCs w:val="14"/>
              </w:rPr>
              <w:t xml:space="preserve">Finance convention</w:t>
            </w:r>
          </w:p>
        </w:tc>
        <w:tc>
          <w:tcPr>
            <w:tcW w:type="dxa" w:w="24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94A3B8"/>
                <w:sz w:val="14"/>
                <w:szCs w:val="14"/>
              </w:rPr>
              <w:t xml:space="preserve">Finance / Business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b/>
                <w:bCs/>
                <w:color w:val="0F172A"/>
                <w:sz w:val="16"/>
                <w:szCs w:val="16"/>
              </w:rPr>
              <w:t xml:space="preserve">DataPipeline billing</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Always monthly regardless of payment_terms commitment</w:t>
            </w:r>
          </w:p>
        </w:tc>
        <w:tc>
          <w:tcPr>
            <w:tcW w:type="dxa" w:w="1800"/>
            <w:tcBorders>
              <w:top w:val="single" w:color="E2E8F0" w:sz="1"/>
              <w:left w:val="single" w:color="E2E8F0" w:sz="1"/>
              <w:bottom w:val="single" w:color="E2E8F0" w:sz="1"/>
              <w:right w:val="single" w:color="E2E8F0" w:sz="1"/>
            </w:tcBorders>
            <w:shd w:fill="FEE2E2" w:val="clear"/>
            <w:tcMar>
              <w:top w:type="dxa" w:w="70"/>
              <w:left w:type="dxa" w:w="100"/>
              <w:bottom w:type="dxa" w:w="70"/>
              <w:right w:type="dxa" w:w="100"/>
            </w:tcMar>
          </w:tcPr>
          <w:p>
            <w:r>
              <w:rPr>
                <w:rFonts w:ascii="Courier New" w:cs="Courier New" w:eastAsia="Courier New" w:hAnsi="Courier New"/>
                <w:b/>
                <w:bCs/>
                <w:color w:val="DC2626"/>
                <w:sz w:val="14"/>
                <w:szCs w:val="14"/>
              </w:rPr>
              <w:t xml:space="preserve">Business rule</w:t>
            </w:r>
          </w:p>
        </w:tc>
        <w:tc>
          <w:tcPr>
            <w:tcW w:type="dxa" w:w="2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94A3B8"/>
                <w:sz w:val="14"/>
                <w:szCs w:val="14"/>
              </w:rPr>
              <w:t xml:space="preserve">Finance / Business</w:t>
            </w:r>
          </w:p>
        </w:tc>
      </w:tr>
      <w:tr>
        <w:tc>
          <w:tcPr>
            <w:tcW w:type="dxa" w:w="28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b/>
                <w:bCs/>
                <w:color w:val="0F172A"/>
                <w:sz w:val="16"/>
                <w:szCs w:val="16"/>
              </w:rPr>
              <w:t xml:space="preserve">Price per seat — locked</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Seat additions use original contracted PPS, not repriced</w:t>
            </w:r>
          </w:p>
        </w:tc>
        <w:tc>
          <w:tcPr>
            <w:tcW w:type="dxa" w:w="1800"/>
            <w:tcBorders>
              <w:top w:val="single" w:color="E2E8F0" w:sz="1"/>
              <w:left w:val="single" w:color="E2E8F0" w:sz="1"/>
              <w:bottom w:val="single" w:color="E2E8F0" w:sz="1"/>
              <w:right w:val="single" w:color="E2E8F0" w:sz="1"/>
            </w:tcBorders>
            <w:shd w:fill="FEE2E2" w:val="clear"/>
            <w:tcMar>
              <w:top w:type="dxa" w:w="70"/>
              <w:left w:type="dxa" w:w="100"/>
              <w:bottom w:type="dxa" w:w="70"/>
              <w:right w:type="dxa" w:w="100"/>
            </w:tcMar>
          </w:tcPr>
          <w:p>
            <w:r>
              <w:rPr>
                <w:rFonts w:ascii="Courier New" w:cs="Courier New" w:eastAsia="Courier New" w:hAnsi="Courier New"/>
                <w:b/>
                <w:bCs/>
                <w:color w:val="DC2626"/>
                <w:sz w:val="14"/>
                <w:szCs w:val="14"/>
              </w:rPr>
              <w:t xml:space="preserve">Business rule</w:t>
            </w:r>
          </w:p>
        </w:tc>
        <w:tc>
          <w:tcPr>
            <w:tcW w:type="dxa" w:w="24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94A3B8"/>
                <w:sz w:val="14"/>
                <w:szCs w:val="14"/>
              </w:rPr>
              <w:t xml:space="preserve">Finance / Business</w:t>
            </w:r>
          </w:p>
        </w:tc>
      </w:tr>
    </w:tbl>
    <w:p>
      <w:pPr>
        <w:spacing w:after="0" w:before="0"/>
      </w:pPr>
      <w:r>
        <w:t xml:space="preserve"/>
      </w:r>
    </w:p>
    <w:p>
      <w:pPr>
        <w:spacing w:after="0" w:before="0"/>
      </w:pPr>
      <w:r>
        <w:t xml:space="preserve"/>
      </w:r>
    </w:p>
    <w:p>
      <w:r>
        <w:br w:type="page"/>
      </w:r>
    </w:p>
    <w:p>
      <w:pPr>
        <w:pBdr>
          <w:bottom w:val="single" w:color="2563EB" w:sz="4" w:space="1"/>
        </w:pBdr>
        <w:spacing w:after="120" w:before="360"/>
      </w:pPr>
      <w:r>
        <w:rPr>
          <w:rFonts w:ascii="Arial" w:cs="Arial" w:eastAsia="Arial" w:hAnsi="Arial"/>
          <w:b/>
          <w:bCs/>
          <w:color w:val="0F172A"/>
          <w:sz w:val="32"/>
          <w:szCs w:val="32"/>
        </w:rPr>
        <w:t xml:space="preserve">5. Python Script Reference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59669" w:sz="1"/>
              <w:left w:val="single" w:color="059669" w:sz="8"/>
              <w:bottom w:val="single" w:color="059669" w:sz="1"/>
              <w:right w:val="single" w:color="059669" w:sz="1"/>
            </w:tcBorders>
            <w:shd w:fill="F8FAFC" w:val="clear"/>
            <w:tcMar>
              <w:top w:type="dxa" w:w="100"/>
              <w:left w:type="dxa" w:w="140"/>
              <w:bottom w:type="dxa" w:w="100"/>
              <w:right w:type="dxa" w:w="140"/>
            </w:tcMar>
          </w:tcPr>
          <w:p>
            <w:r>
              <w:rPr>
                <w:rFonts w:ascii="Courier New" w:cs="Courier New" w:eastAsia="Courier New" w:hAnsi="Courier New"/>
                <w:b/>
                <w:bCs/>
                <w:color w:val="059669"/>
                <w:sz w:val="20"/>
                <w:szCs w:val="20"/>
              </w:rPr>
              <w:t xml:space="preserve">generate_cloudaxis_50.py</w:t>
            </w:r>
          </w:p>
          <w:p>
            <w:r>
              <w:rPr>
                <w:rFonts w:ascii="Arial" w:cs="Arial" w:eastAsia="Arial" w:hAnsi="Arial"/>
                <w:color w:val="94A3B8"/>
                <w:sz w:val="15"/>
                <w:szCs w:val="15"/>
              </w:rPr>
              <w:t xml:space="preserve">Depends on: Run first — no dependencies</w:t>
            </w:r>
          </w:p>
          <w:p>
            <w:pPr>
              <w:spacing w:before="60"/>
            </w:pPr>
            <w:r>
              <w:rPr>
                <w:rFonts w:ascii="Arial" w:cs="Arial" w:eastAsia="Arial" w:hAnsi="Arial"/>
                <w:color w:val="475569"/>
                <w:sz w:val="16"/>
                <w:szCs w:val="16"/>
              </w:rPr>
              <w:t xml:space="preserve">50 customers, 61 contracts, all edge cases. Outputs contracts.csv and monthly_activity.csv. Designed so every modification type, payment term, segment, product, and special feature (trial, impl fee, bundle, termination, renewal) appears at least once.</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563EB" w:sz="1"/>
              <w:left w:val="single" w:color="2563EB" w:sz="8"/>
              <w:bottom w:val="single" w:color="2563EB" w:sz="1"/>
              <w:right w:val="single" w:color="2563EB" w:sz="1"/>
            </w:tcBorders>
            <w:shd w:fill="F8FAFC" w:val="clear"/>
            <w:tcMar>
              <w:top w:type="dxa" w:w="100"/>
              <w:left w:type="dxa" w:w="140"/>
              <w:bottom w:type="dxa" w:w="100"/>
              <w:right w:type="dxa" w:w="140"/>
            </w:tcMar>
          </w:tcPr>
          <w:p>
            <w:r>
              <w:rPr>
                <w:rFonts w:ascii="Courier New" w:cs="Courier New" w:eastAsia="Courier New" w:hAnsi="Courier New"/>
                <w:b/>
                <w:bCs/>
                <w:color w:val="2563EB"/>
                <w:sz w:val="20"/>
                <w:szCs w:val="20"/>
              </w:rPr>
              <w:t xml:space="preserve">recognition_engine_fixed.py</w:t>
            </w:r>
          </w:p>
          <w:p>
            <w:r>
              <w:rPr>
                <w:rFonts w:ascii="Arial" w:cs="Arial" w:eastAsia="Arial" w:hAnsi="Arial"/>
                <w:color w:val="94A3B8"/>
                <w:sz w:val="15"/>
                <w:szCs w:val="15"/>
              </w:rPr>
              <w:t xml:space="preserve">Depends on: Reads contracts.csv + monthly_activity.csv</w:t>
            </w:r>
          </w:p>
          <w:p>
            <w:pPr>
              <w:spacing w:before="60"/>
            </w:pPr>
            <w:r>
              <w:rPr>
                <w:rFonts w:ascii="Arial" w:cs="Arial" w:eastAsia="Arial" w:hAnsi="Arial"/>
                <w:color w:val="475569"/>
                <w:sz w:val="16"/>
                <w:szCs w:val="16"/>
              </w:rPr>
              <w:t xml:space="preserve">8-step ASC 606 recognition loop per contract per month. Outputs recognition_schedule.csv. All 12 validation checks pass. Key fixes: DataPipeline excluded from annual_upfront billing guard; tier_upgrade and tier_downgrade always prospective; commission write-off on early termination.</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97706" w:sz="1"/>
              <w:left w:val="single" w:color="D97706" w:sz="8"/>
              <w:bottom w:val="single" w:color="D97706" w:sz="1"/>
              <w:right w:val="single" w:color="D97706" w:sz="1"/>
            </w:tcBorders>
            <w:shd w:fill="F8FAFC" w:val="clear"/>
            <w:tcMar>
              <w:top w:type="dxa" w:w="100"/>
              <w:left w:type="dxa" w:w="140"/>
              <w:bottom w:type="dxa" w:w="100"/>
              <w:right w:type="dxa" w:w="140"/>
            </w:tcMar>
          </w:tcPr>
          <w:p>
            <w:r>
              <w:rPr>
                <w:rFonts w:ascii="Courier New" w:cs="Courier New" w:eastAsia="Courier New" w:hAnsi="Courier New"/>
                <w:b/>
                <w:bCs/>
                <w:color w:val="D97706"/>
                <w:sz w:val="20"/>
                <w:szCs w:val="20"/>
              </w:rPr>
              <w:t xml:space="preserve">phase3_metrics.py</w:t>
            </w:r>
          </w:p>
          <w:p>
            <w:r>
              <w:rPr>
                <w:rFonts w:ascii="Arial" w:cs="Arial" w:eastAsia="Arial" w:hAnsi="Arial"/>
                <w:color w:val="94A3B8"/>
                <w:sz w:val="15"/>
                <w:szCs w:val="15"/>
              </w:rPr>
              <w:t xml:space="preserve">Depends on: Reads all 3 source files</w:t>
            </w:r>
          </w:p>
          <w:p>
            <w:pPr>
              <w:spacing w:before="60"/>
            </w:pPr>
            <w:r>
              <w:rPr>
                <w:rFonts w:ascii="Arial" w:cs="Arial" w:eastAsia="Arial" w:hAnsi="Arial"/>
                <w:color w:val="475569"/>
                <w:sz w:val="16"/>
                <w:szCs w:val="16"/>
              </w:rPr>
              <w:t xml:space="preserve">Produces 8 metric CSV files. LTV uses trailing 12-month churn rate with 6% annual floor and 5-year cap. CAC adjusted to full S&amp;M cost (commission ÷ 0.35). MRR growth reported from stable baseline (April 2023, 16+ customers).</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C2626" w:sz="1"/>
              <w:left w:val="single" w:color="DC2626" w:sz="8"/>
              <w:bottom w:val="single" w:color="DC2626" w:sz="1"/>
              <w:right w:val="single" w:color="DC2626" w:sz="1"/>
            </w:tcBorders>
            <w:shd w:fill="F8FAFC" w:val="clear"/>
            <w:tcMar>
              <w:top w:type="dxa" w:w="100"/>
              <w:left w:type="dxa" w:w="140"/>
              <w:bottom w:type="dxa" w:w="100"/>
              <w:right w:type="dxa" w:w="140"/>
            </w:tcMar>
          </w:tcPr>
          <w:p>
            <w:r>
              <w:rPr>
                <w:rFonts w:ascii="Courier New" w:cs="Courier New" w:eastAsia="Courier New" w:hAnsi="Courier New"/>
                <w:b/>
                <w:bCs/>
                <w:color w:val="DC2626"/>
                <w:sz w:val="20"/>
                <w:szCs w:val="20"/>
              </w:rPr>
              <w:t xml:space="preserve">build_disclosure_pdf.py</w:t>
            </w:r>
          </w:p>
          <w:p>
            <w:r>
              <w:rPr>
                <w:rFonts w:ascii="Arial" w:cs="Arial" w:eastAsia="Arial" w:hAnsi="Arial"/>
                <w:color w:val="94A3B8"/>
                <w:sz w:val="15"/>
                <w:szCs w:val="15"/>
              </w:rPr>
              <w:t xml:space="preserve">Depends on: Reads 3 source files + 8 metric CSVs</w:t>
            </w:r>
          </w:p>
          <w:p>
            <w:pPr>
              <w:spacing w:before="60"/>
            </w:pPr>
            <w:r>
              <w:rPr>
                <w:rFonts w:ascii="Arial" w:cs="Arial" w:eastAsia="Arial" w:hAnsi="Arial"/>
                <w:color w:val="475569"/>
                <w:sz w:val="16"/>
                <w:szCs w:val="16"/>
              </w:rPr>
              <w:t xml:space="preserve">8-page ASC 606 disclosure PDF using reportlab. Notes 1–6. Corrected roll-forward format (additions vs releases, not gross billings). Commission write-offs shown as separate column. Geography disaggregation included.</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7C3AED" w:sz="1"/>
              <w:left w:val="single" w:color="7C3AED" w:sz="8"/>
              <w:bottom w:val="single" w:color="7C3AED" w:sz="1"/>
              <w:right w:val="single" w:color="7C3AED" w:sz="1"/>
            </w:tcBorders>
            <w:shd w:fill="F8FAFC" w:val="clear"/>
            <w:tcMar>
              <w:top w:type="dxa" w:w="100"/>
              <w:left w:type="dxa" w:w="140"/>
              <w:bottom w:type="dxa" w:w="100"/>
              <w:right w:type="dxa" w:w="140"/>
            </w:tcMar>
          </w:tcPr>
          <w:p>
            <w:r>
              <w:rPr>
                <w:rFonts w:ascii="Courier New" w:cs="Courier New" w:eastAsia="Courier New" w:hAnsi="Courier New"/>
                <w:b/>
                <w:bCs/>
                <w:color w:val="7C3AED"/>
                <w:sz w:val="20"/>
                <w:szCs w:val="20"/>
              </w:rPr>
              <w:t xml:space="preserve">build_carousel_v2.py</w:t>
            </w:r>
          </w:p>
          <w:p>
            <w:r>
              <w:rPr>
                <w:rFonts w:ascii="Arial" w:cs="Arial" w:eastAsia="Arial" w:hAnsi="Arial"/>
                <w:color w:val="94A3B8"/>
                <w:sz w:val="15"/>
                <w:szCs w:val="15"/>
              </w:rPr>
              <w:t xml:space="preserve">Depends on: Standalone — uses hardcoded final numbers</w:t>
            </w:r>
          </w:p>
          <w:p>
            <w:pPr>
              <w:spacing w:before="60"/>
            </w:pPr>
            <w:r>
              <w:rPr>
                <w:rFonts w:ascii="Arial" w:cs="Arial" w:eastAsia="Arial" w:hAnsi="Arial"/>
                <w:color w:val="475569"/>
                <w:sz w:val="16"/>
                <w:szCs w:val="16"/>
              </w:rPr>
              <w:t xml:space="preserve">6-slide LinkedIn carousel PDF. Light theme slides 2–5, dark for slides 1 and 6. Real data from project. Rebuild if underlying numbers change.</w:t>
            </w:r>
          </w:p>
        </w:tc>
      </w:tr>
    </w:tbl>
    <w:p>
      <w:pPr>
        <w:spacing w:after="0" w:before="0"/>
      </w:pPr>
      <w:r>
        <w:t xml:space="preserve"/>
      </w:r>
    </w:p>
    <w:p>
      <w:r>
        <w:br w:type="page"/>
      </w:r>
    </w:p>
    <w:p>
      <w:pPr>
        <w:pBdr>
          <w:bottom w:val="single" w:color="2563EB" w:sz="4" w:space="1"/>
        </w:pBdr>
        <w:spacing w:after="120" w:before="360"/>
      </w:pPr>
      <w:r>
        <w:rPr>
          <w:rFonts w:ascii="Arial" w:cs="Arial" w:eastAsia="Arial" w:hAnsi="Arial"/>
          <w:b/>
          <w:bCs/>
          <w:color w:val="0F172A"/>
          <w:sz w:val="32"/>
          <w:szCs w:val="32"/>
        </w:rPr>
        <w:t xml:space="preserve">6. Metrics Output Reference</w:t>
      </w:r>
    </w:p>
    <w:p>
      <w:pPr>
        <w:spacing w:after="60" w:before="60"/>
      </w:pPr>
      <w:r>
        <w:rPr>
          <w:rFonts w:ascii="Arial" w:cs="Arial" w:eastAsia="Arial" w:hAnsi="Arial"/>
          <w:color w:val="475569"/>
          <w:sz w:val="20"/>
          <w:szCs w:val="20"/>
        </w:rPr>
        <w:t xml:space="preserve">Output files from phase3_metrics.py. All consumed by the Excel model and dashboard.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408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File</w:t>
            </w:r>
          </w:p>
        </w:tc>
        <w:tc>
          <w:tcPr>
            <w:tcW w:type="dxa" w:w="14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Rows</w:t>
            </w:r>
          </w:p>
        </w:tc>
        <w:tc>
          <w:tcPr>
            <w:tcW w:type="dxa" w:w="220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Key Columns</w:t>
            </w:r>
          </w:p>
        </w:tc>
        <w:tc>
          <w:tcPr>
            <w:tcW w:type="dxa" w:w="4080"/>
            <w:tcBorders>
              <w:top w:val="single" w:color="2563EB" w:sz="1"/>
              <w:left w:val="single" w:color="2563EB" w:sz="1"/>
              <w:bottom w:val="single" w:color="2563EB" w:sz="1"/>
              <w:right w:val="single" w:color="2563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metrics_mrr_waterfall.csv</w:t>
            </w:r>
          </w:p>
        </w:tc>
        <w:tc>
          <w:tcPr>
            <w:tcW w:type="dxa" w:w="1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24</w:t>
            </w:r>
          </w:p>
        </w:tc>
        <w:tc>
          <w:tcPr>
            <w:tcW w:type="dxa" w:w="2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color w:val="065F46"/>
                <w:sz w:val="13"/>
                <w:szCs w:val="13"/>
              </w:rPr>
              <w:t xml:space="preserve">new_mrr, expansion_mrr, churned_mrr, net_new_mrr, arr</w:t>
            </w:r>
          </w:p>
        </w:tc>
        <w:tc>
          <w:tcPr>
            <w:tcW w:type="dxa" w:w="40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Monthly MRR movement across all 5 categories. Includes growth_from_baseline_pct (vs April 2023 stable base).</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metrics_nrr_grr.csv</w:t>
            </w:r>
          </w:p>
        </w:tc>
        <w:tc>
          <w:tcPr>
            <w:tcW w:type="dxa" w:w="1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12</w:t>
            </w:r>
          </w:p>
        </w:tc>
        <w:tc>
          <w:tcPr>
            <w:tcW w:type="dxa" w:w="2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color w:val="065F46"/>
                <w:sz w:val="13"/>
                <w:szCs w:val="13"/>
              </w:rPr>
              <w:t xml:space="preserve">nrr_pct, grr_pct, starting_mrr</w:t>
            </w:r>
          </w:p>
        </w:tc>
        <w:tc>
          <w:tcPr>
            <w:tcW w:type="dxa" w:w="40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Rolling 12-month NRR and GRR. Available from Jan 2024 (requires 12-month lookback).</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metrics_cohort_retention.csv</w:t>
            </w:r>
          </w:p>
        </w:tc>
        <w:tc>
          <w:tcPr>
            <w:tcW w:type="dxa" w:w="1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256</w:t>
            </w:r>
          </w:p>
        </w:tc>
        <w:tc>
          <w:tcPr>
            <w:tcW w:type="dxa" w:w="2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color w:val="065F46"/>
                <w:sz w:val="13"/>
                <w:szCs w:val="13"/>
              </w:rPr>
              <w:t xml:space="preserve">cohort_month, months_since, retention_pct</w:t>
            </w:r>
          </w:p>
        </w:tc>
        <w:tc>
          <w:tcPr>
            <w:tcW w:type="dxa" w:w="40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Cohort MRR retention. Rows per cohort per period. Used for heatmap and line chart.</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metrics_ltv_cac.csv</w:t>
            </w:r>
          </w:p>
        </w:tc>
        <w:tc>
          <w:tcPr>
            <w:tcW w:type="dxa" w:w="1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122</w:t>
            </w:r>
          </w:p>
        </w:tc>
        <w:tc>
          <w:tcPr>
            <w:tcW w:type="dxa" w:w="2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color w:val="065F46"/>
                <w:sz w:val="13"/>
                <w:szCs w:val="13"/>
              </w:rPr>
              <w:t xml:space="preserve">ltv, cac, ltv_cac_ratio, payback_months</w:t>
            </w:r>
          </w:p>
        </w:tc>
        <w:tc>
          <w:tcPr>
            <w:tcW w:type="dxa" w:w="40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LTV:CAC by segment per month. LTV: trailing 12-mo churn, 6% floor, 5yr cap. CAC: full S&amp;M adjusted.</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metrics_billings_vs_revenue.csv</w:t>
            </w:r>
          </w:p>
        </w:tc>
        <w:tc>
          <w:tcPr>
            <w:tcW w:type="dxa" w:w="1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24</w:t>
            </w:r>
          </w:p>
        </w:tc>
        <w:tc>
          <w:tcPr>
            <w:tcW w:type="dxa" w:w="2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color w:val="065F46"/>
                <w:sz w:val="13"/>
                <w:szCs w:val="13"/>
              </w:rPr>
              <w:t xml:space="preserve">billings, revenue_recognized, deferred_balance, contract_asset</w:t>
            </w:r>
          </w:p>
        </w:tc>
        <w:tc>
          <w:tcPr>
            <w:tcW w:type="dxa" w:w="40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Monthly ASC 606 bridge. Billings vs recognised. Closing deferred and contract asset balances.</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metrics_deferred_rollforward.csv</w:t>
            </w:r>
          </w:p>
        </w:tc>
        <w:tc>
          <w:tcPr>
            <w:tcW w:type="dxa" w:w="1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24</w:t>
            </w:r>
          </w:p>
        </w:tc>
        <w:tc>
          <w:tcPr>
            <w:tcW w:type="dxa" w:w="2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color w:val="065F46"/>
                <w:sz w:val="13"/>
                <w:szCs w:val="13"/>
              </w:rPr>
              <w:t xml:space="preserve">opening, billings, recognized, closing</w:t>
            </w:r>
          </w:p>
        </w:tc>
        <w:tc>
          <w:tcPr>
            <w:tcW w:type="dxa" w:w="40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Monthly deferred revenue roll-forward. Note: billings here = gross billed, not additions-only. Use disclosure PDF for correct split.</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metrics_rpo.csv</w:t>
            </w:r>
          </w:p>
        </w:tc>
        <w:tc>
          <w:tcPr>
            <w:tcW w:type="dxa" w:w="1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72</w:t>
            </w:r>
          </w:p>
        </w:tc>
        <w:tc>
          <w:tcPr>
            <w:tcW w:type="dxa" w:w="22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Courier New" w:cs="Courier New" w:eastAsia="Courier New" w:hAnsi="Courier New"/>
                <w:color w:val="065F46"/>
                <w:sz w:val="13"/>
                <w:szCs w:val="13"/>
              </w:rPr>
              <w:t xml:space="preserve">product, rpo_total</w:t>
            </w:r>
          </w:p>
        </w:tc>
        <w:tc>
          <w:tcPr>
            <w:tcW w:type="dxa" w:w="40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r>
              <w:rPr>
                <w:rFonts w:ascii="Arial" w:cs="Arial" w:eastAsia="Arial" w:hAnsi="Arial"/>
                <w:color w:val="475569"/>
                <w:sz w:val="15"/>
                <w:szCs w:val="15"/>
              </w:rPr>
              <w:t xml:space="preserve">RPO by product per month. 3 products × 24 periods. Excludes m2m and variable consideration.</w:t>
            </w:r>
          </w:p>
        </w:tc>
      </w:tr>
      <w:tr>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b/>
                <w:bCs/>
                <w:color w:val="2563EB"/>
                <w:sz w:val="14"/>
                <w:szCs w:val="14"/>
              </w:rPr>
              <w:t xml:space="preserve">metrics_commission_rollforward.csv</w:t>
            </w:r>
          </w:p>
        </w:tc>
        <w:tc>
          <w:tcPr>
            <w:tcW w:type="dxa" w:w="1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24</w:t>
            </w:r>
          </w:p>
        </w:tc>
        <w:tc>
          <w:tcPr>
            <w:tcW w:type="dxa" w:w="22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Courier New" w:cs="Courier New" w:eastAsia="Courier New" w:hAnsi="Courier New"/>
                <w:color w:val="065F46"/>
                <w:sz w:val="13"/>
                <w:szCs w:val="13"/>
              </w:rPr>
              <w:t xml:space="preserve">opening, new_capitalized, amortized, closing_balance</w:t>
            </w:r>
          </w:p>
        </w:tc>
        <w:tc>
          <w:tcPr>
            <w:tcW w:type="dxa" w:w="408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r>
              <w:rPr>
                <w:rFonts w:ascii="Arial" w:cs="Arial" w:eastAsia="Arial" w:hAnsi="Arial"/>
                <w:color w:val="475569"/>
                <w:sz w:val="15"/>
                <w:szCs w:val="15"/>
              </w:rPr>
              <w:t xml:space="preserve">Monthly commission asset roll-forward. Write-offs embedded in closing balance — use disclosure PDF for full disclosure.</w:t>
            </w:r>
          </w:p>
        </w:tc>
      </w:tr>
    </w:tbl>
    <w:p>
      <w:pPr>
        <w:spacing w:after="0" w:before="0"/>
      </w:pPr>
      <w:r>
        <w:t xml:space="preserve"/>
      </w:r>
    </w:p>
    <w:p>
      <w:pPr>
        <w:spacing w:after="0" w:before="0"/>
      </w:pPr>
      <w:r>
        <w:t xml:space="preserve"/>
      </w:r>
    </w:p>
    <w:p>
      <w:pPr>
        <w:spacing w:after="0" w:before="0"/>
      </w:pPr>
      <w:r>
        <w:t xml:space="preserve"/>
      </w:r>
    </w:p>
    <w:p>
      <w:pPr>
        <w:pBdr>
          <w:top w:val="single" w:color="E2E8F0" w:sz="2" w:space="1"/>
        </w:pBdr>
        <w:spacing w:before="200"/>
      </w:pPr>
      <w:r>
        <w:rPr>
          <w:rFonts w:ascii="Arial" w:cs="Arial" w:eastAsia="Arial" w:hAnsi="Arial"/>
          <w:i/>
          <w:iCs/>
          <w:color w:val="94A3B8"/>
          <w:sz w:val="15"/>
          <w:szCs w:val="15"/>
        </w:rPr>
        <w:t xml:space="preserve">Document prepared by Pushkar Agrawal, CA · Finance Transformation Lead · financeforge.com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80"/>
    </w:pPr>
    <w:r>
      <w:rPr>
        <w:rFonts w:ascii="Arial" w:cs="Arial" w:eastAsia="Arial" w:hAnsi="Arial"/>
        <w:color w:val="94A3B8"/>
        <w:sz w:val="14"/>
        <w:szCs w:val="14"/>
      </w:rPr>
      <w:t xml:space="preserve">ASC 606 · ASC 340-40 · SaaS Revenue Recognition · For the Years Ended December 31, 2024 and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80"/>
    </w:pPr>
    <w:r>
      <w:rPr>
        <w:rFonts w:ascii="Arial" w:cs="Arial" w:eastAsia="Arial" w:hAnsi="Arial"/>
        <w:b/>
        <w:bCs/>
        <w:color w:val="0F172A"/>
        <w:sz w:val="18"/>
        <w:szCs w:val="18"/>
      </w:rPr>
      <w:t xml:space="preserve">CloudAxis Inc. — Data Dictionary</w:t>
    </w:r>
    <w:r>
      <w:rPr>
        <w:rFonts w:ascii="Arial" w:cs="Arial" w:eastAsia="Arial" w:hAnsi="Arial"/>
        <w:color w:val="94A3B8"/>
        <w:sz w:val="16"/>
        <w:szCs w:val="16"/>
      </w:rPr>
      <w:t xml:space="preserve">   |   Revenue Intelligence Model   |   Pushkar Agrawal, 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2026-04-27T03:01:36.155Z</dcterms:created>
  <dcterms:modified xsi:type="dcterms:W3CDTF">2026-04-27T03:01:36.156Z</dcterms:modified>
</cp:coreProperties>
</file>

<file path=docProps/custom.xml><?xml version="1.0" encoding="utf-8"?>
<Properties xmlns="http://schemas.openxmlformats.org/officeDocument/2006/custom-properties" xmlns:vt="http://schemas.openxmlformats.org/officeDocument/2006/docPropsVTypes"/>
</file>