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2D5C"/>
          <w:sz w:val="40"/>
        </w:rPr>
        <w:t>CVC IAM Analytics</w:t>
      </w:r>
    </w:p>
    <w:p>
      <w:r>
        <w:rPr>
          <w:color w:val="5A6478"/>
          <w:sz w:val="26"/>
        </w:rPr>
        <w:t>Roteiro de validação — seu documento de 07/10</w:t>
      </w:r>
    </w:p>
    <w:p>
      <w:pPr>
        <w:spacing w:after="80"/>
      </w:pPr>
      <w:r>
        <w:rPr>
          <w:b w:val="0"/>
          <w:i w:val="0"/>
          <w:color w:val="5A6478"/>
          <w:sz w:val="18"/>
        </w:rPr>
        <w:t>08/10/2026</w:t>
      </w:r>
    </w:p>
    <w:p/>
    <w:p>
      <w:pPr>
        <w:spacing w:after="40"/>
      </w:pPr>
      <w:r>
        <w:rPr>
          <w:b/>
          <w:i w:val="0"/>
          <w:color w:val="1F2D5C"/>
          <w:sz w:val="22"/>
        </w:rPr>
        <w:t>Por que este documento existe</w:t>
      </w:r>
    </w:p>
    <w:p>
      <w:pPr>
        <w:spacing w:after="80"/>
      </w:pPr>
      <w:r>
        <w:rPr>
          <w:b w:val="0"/>
          <w:i w:val="0"/>
          <w:color w:val="2C3340"/>
          <w:sz w:val="20"/>
        </w:rPr>
        <w:t>Ele responde o seu documento de 07/10 (Aplicação_CVC_07_10) e explica o que encontramos na base da rede. Parte dos casos que você apontou (CLAUDIA, franqueados em espelho) não era regra: eram arquivos que não chegaram a ser processados na rede. Isso está no item 1.</w:t>
      </w:r>
    </w:p>
    <w:p>
      <w:r>
        <w:br w:type="page"/>
      </w:r>
    </w:p>
    <w:p>
      <w:pPr>
        <w:pStyle w:val="Heading1"/>
      </w:pPr>
      <w:r>
        <w:rPr>
          <w:color w:val="1F2D5C"/>
        </w:rPr>
        <w:t>1. O que aconteceu na rede</w:t>
      </w:r>
    </w:p>
    <w:p>
      <w:pPr>
        <w:spacing w:after="80"/>
      </w:pPr>
      <w:r>
        <w:rPr>
          <w:b w:val="0"/>
          <w:i w:val="0"/>
          <w:color w:val="2C3340"/>
          <w:sz w:val="20"/>
        </w:rPr>
        <w:t>No dia 06/10, às 13:37, rodou na rede uma versão ANTIGA do Processador (de junho), de alguma instalação velha que ainda aponta para a rede. Ela durou um minuto, mas mandou para DADOS\ERROS o extrato do SYSTUR de 06/10 e a matriz de lojas (franqueados), e parou com erro. As execuções seguintes, com a versão correta, terminaram — mas sem esses dois arquivos. Além disso, a matriz da CCO enviada em 05/10 veio sem a linha de título e era rejeitada pelo programa; isso foi corrigido nesta versão.</w:t>
      </w:r>
    </w:p>
    <w:p>
      <w:pPr>
        <w:pStyle w:val="ListBullet"/>
      </w:pPr>
      <w:r>
        <w:rPr>
          <w:color w:val="2C3340"/>
          <w:sz w:val="19"/>
        </w:rPr>
        <w:t>Sem a matriz nova da CCO, quem é da CCO e mudou de gestor (como a CLAUDIA) ficava fora da CCO e caía na matriz do cargo.</w:t>
      </w:r>
    </w:p>
    <w:p>
      <w:pPr>
        <w:pStyle w:val="ListBullet"/>
      </w:pPr>
      <w:r>
        <w:rPr>
          <w:color w:val="2C3340"/>
          <w:sz w:val="19"/>
        </w:rPr>
        <w:t>Sem a matriz de lojas, os franqueados eram comparados pelo espelho.</w:t>
      </w:r>
    </w:p>
    <w:p>
      <w:pPr>
        <w:pStyle w:val="ListBullet"/>
      </w:pPr>
      <w:r>
        <w:rPr>
          <w:color w:val="2C3340"/>
          <w:sz w:val="19"/>
        </w:rPr>
        <w:t>Recomendação: apagar instalações antigas do programa nas máquinas que acessam a rede.</w:t>
      </w:r>
    </w:p>
    <w:p>
      <w:r>
        <w:br w:type="page"/>
      </w:r>
    </w:p>
    <w:p>
      <w:pPr>
        <w:pStyle w:val="Heading1"/>
      </w:pPr>
      <w:r>
        <w:rPr>
          <w:color w:val="1F2D5C"/>
        </w:rPr>
        <w:t>2. Os ajustes desta versão</w:t>
      </w:r>
    </w:p>
    <w:p>
      <w:pPr>
        <w:spacing w:before="220" w:after="40"/>
      </w:pPr>
      <w:r>
        <w:rPr>
          <w:b/>
          <w:color w:val="1F2D5C"/>
          <w:sz w:val="21"/>
        </w:rPr>
        <w:t>★  2.1  Oracle: o Relatório de Despesas é desconsiderado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Se o perfil CVC OIE BRASIL - RELATÓRIO DE DESPESAS conta na validação do Oracle.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Seu pedido: desconsiderar o perfil. Ele sai inteiro da validação: não é mais “a mais”, nem “não pode ter e tem”, nem “mais de um perfil”. O extrato continua igual.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Consulta → GILDA TAVARES DA SILVA (34530435) e LETICIA THAIS SABIAO SOUZA (9130) → Oracle EBS.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Deve mostrar (vale em qualquer base)</w:t>
            </w:r>
          </w:p>
        </w:tc>
        <w:tc>
          <w:tcPr>
            <w:tcW w:type="dxa" w:w="6746"/>
          </w:tcPr>
          <w:p>
            <w:r>
              <w:rPr>
                <w:b/>
                <w:color w:val="1E7B43"/>
                <w:sz w:val="18"/>
              </w:rPr>
              <w:t>GILDA: Oracle aderente (o único “a mais” era o Relatório). LETICIA: sem linha de Oracle. Na rede: 377 acessos desconsiderados; as pendências de Oracle dos funcionários caem de 350 para 1.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before="220" w:after="40"/>
      </w:pPr>
      <w:r>
        <w:rPr>
          <w:b/>
          <w:color w:val="1F2D5C"/>
          <w:sz w:val="21"/>
        </w:rPr>
        <w:t>★  2.2  A matriz da CCO volta a ser lida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Se a matriz da CCO sem linha de título é aceita.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A matriz de 05/10 tem o cabeçalho na primeira linha; a anterior tinha um título antes. O programa agora aceita as duas.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Consulta → CLAUDIA DA LUZ SALIDO RIVERO (90001433).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Deve mostrar (vale em qualquer base)</w:t>
            </w:r>
          </w:p>
        </w:tc>
        <w:tc>
          <w:tcPr>
            <w:tcW w:type="dxa" w:w="6746"/>
          </w:tcPr>
          <w:p>
            <w:r>
              <w:rPr>
                <w:b/>
                <w:color w:val="1E7B43"/>
                <w:sz w:val="18"/>
              </w:rPr>
              <w:t>SYSTUR, SIG e SIGOT aderentes pela CCO (gestora HELEN ANTONIA LA SPINA RUAS) — sem TESOURARIA/CUSTOS e sem pendência. Na rede: as pendências de SYSTUR dos funcionários caem de 211 para 48.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before="220" w:after="40"/>
      </w:pPr>
      <w:r>
        <w:rPr>
          <w:b/>
          <w:color w:val="1F2D5C"/>
          <w:sz w:val="21"/>
        </w:rPr>
        <w:t>★  2.3  Franqueados: matriz de lojas, não espelho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Como os franqueados são validados no SYSTUR.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Seu pedido: usar a matriz do SYSTUR de lojas. Ela passou a ser lida. Agora cada franqueado é comparado com o que a matriz prevê para o cargo, o tipo de atendimento e o tipo de loja.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Aba Pendências → filtre Categoria = Franqueado.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Deve mostrar (vale em qualquer base)</w:t>
            </w:r>
          </w:p>
        </w:tc>
        <w:tc>
          <w:tcPr>
            <w:tcW w:type="dxa" w:w="6746"/>
          </w:tcPr>
          <w:p>
            <w:r>
              <w:rPr>
                <w:b/>
                <w:color w:val="1E7B43"/>
                <w:sz w:val="18"/>
              </w:rPr>
              <w:t>Origem “Matriz franqueado” em vez de “Espelho — franqueados”. Na rede: 4.855 linhas pela matriz (eram 774 pelo espelho) e 522 franqueados com pendência — 317 com perfil que o cargo não autoriza (ex.: Atendente com perfil de Supervisor) e 192 com perfil que a matriz só libera com aprovação da Governança (ex.: Gerente com FRANQUEADOS_VC). Ver a pergunta 4.1.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before="220" w:after="40"/>
      </w:pPr>
      <w:r>
        <w:rPr>
          <w:b/>
          <w:color w:val="1F2D5C"/>
          <w:sz w:val="21"/>
        </w:rPr>
        <w:t>2.4  Transferidos sem linhas repetidas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Como a aba Transferidos mostra os sistemas de quem é da CCO.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A planilha da CCO escreve “Sigot”, “Systur”, “Oracle EBS”; os acessos usam SIGOT, SYSTUR, ORACLE_EBS. O mesmo sistema saía em duas linhas, e o que a CCO prevê nunca casava com o que a pessoa tem (falta e sobrou falsos). Os nomes agora são unificados.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Aba Transferidos → ELAINE ALVES MELKUNAS (33082).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Deve mostrar (vale em qualquer base)</w:t>
            </w:r>
          </w:p>
        </w:tc>
        <w:tc>
          <w:tcPr>
            <w:tcW w:type="dxa" w:w="6746"/>
          </w:tcPr>
          <w:p>
            <w:r>
              <w:rPr>
                <w:b/>
                <w:color w:val="1E7B43"/>
                <w:sz w:val="18"/>
              </w:rPr>
              <w:t>Uma linha por sistema; SIGOT e SYSTUR com “tem”, sem as linhas “Sigot” e “Systur” de inclusão.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before="220" w:after="40"/>
      </w:pPr>
      <w:r>
        <w:rPr>
          <w:b/>
          <w:color w:val="1F2D5C"/>
          <w:sz w:val="21"/>
        </w:rPr>
        <w:t>2.5  Quarentena com motivo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O que se informa ao enviar para quarentena.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Seu pedido: um campo Motivo com Exceção, Férias/Cobertura de férias e Usuário sistêmico. É obrigatório; o texto livre virou “Detalhe (opcional)”.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Qualquer pendência → Enviar para quarentena.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Deve mostrar (vale em qualquer base)</w:t>
            </w:r>
          </w:p>
        </w:tc>
        <w:tc>
          <w:tcPr>
            <w:tcW w:type="dxa" w:w="6746"/>
          </w:tcPr>
          <w:p>
            <w:r>
              <w:rPr>
                <w:b/>
                <w:color w:val="1E7B43"/>
                <w:sz w:val="18"/>
              </w:rPr>
              <w:t>Campo Motivo com as 3 opções; sem escolher, a quarentena não é enviada. No histórico aparece “Opção — detalhe”.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2D5C"/>
        </w:rPr>
        <w:t>3. Respostas às suas perguntas</w:t>
      </w:r>
    </w:p>
    <w:p>
      <w:pPr>
        <w:spacing w:after="80"/>
      </w:pPr>
      <w:r>
        <w:rPr>
          <w:b/>
          <w:i w:val="0"/>
          <w:color w:val="1F2D5C"/>
          <w:sz w:val="20"/>
        </w:rPr>
        <w:t>ALEXANDRA RODRIGUES DE LIMA DIAS (90000266) — de onde vem o 2º perfil</w:t>
      </w:r>
    </w:p>
    <w:p>
      <w:pPr>
        <w:spacing w:after="80"/>
      </w:pPr>
      <w:r>
        <w:rPr>
          <w:b w:val="0"/>
          <w:i w:val="0"/>
          <w:color w:val="2C3340"/>
          <w:sz w:val="19"/>
        </w:rPr>
        <w:t>Vem do login SIST00207, que no SYSTUR tem o nome “VISUAL TURISMO” e outro CPF, mas está cadastrado com o e-mail dela (alexandra.dias@cvccorp.com.br). O programa liga a conta à pessoa pelo e-mail — por isso não aparece quando o extrato é filtrado pelo nome dela. Ver a pergunta 4.2.</w:t>
      </w:r>
    </w:p>
    <w:p>
      <w:pPr>
        <w:spacing w:after="80"/>
      </w:pPr>
      <w:r>
        <w:rPr>
          <w:b/>
          <w:i w:val="0"/>
          <w:color w:val="1F2D5C"/>
          <w:sz w:val="20"/>
        </w:rPr>
        <w:t>Tratado, mas não regularizado: volta a apontar?</w:t>
      </w:r>
    </w:p>
    <w:p>
      <w:pPr>
        <w:spacing w:after="80"/>
      </w:pPr>
      <w:r>
        <w:rPr>
          <w:b w:val="0"/>
          <w:i w:val="0"/>
          <w:color w:val="2C3340"/>
          <w:sz w:val="19"/>
        </w:rPr>
        <w:t>Volta. Se, no processamento seguinte, o acesso continua divergente, a pendência reaparece marcada como REABERTA (como no seu primeiro print).</w:t>
      </w:r>
    </w:p>
    <w:p>
      <w:pPr>
        <w:spacing w:after="80"/>
      </w:pPr>
      <w:r>
        <w:rPr>
          <w:b/>
          <w:i w:val="0"/>
          <w:color w:val="1F2D5C"/>
          <w:sz w:val="20"/>
        </w:rPr>
        <w:t>Pode ter e não tem / tem e não pode ter</w:t>
      </w:r>
    </w:p>
    <w:p>
      <w:pPr>
        <w:spacing w:after="80"/>
      </w:pPr>
      <w:r>
        <w:rPr>
          <w:b w:val="0"/>
          <w:i w:val="0"/>
          <w:color w:val="2C3340"/>
          <w:sz w:val="19"/>
        </w:rPr>
        <w:t>É a regra aplicada: o que a matriz prevê e a pessoa não tem aparece em “Acessos esperados” (não é pendência); o que a pessoa tem e não pode ter é pendência. O caso da GILDA era o Relatório de Despesas (item 2.1).</w:t>
      </w:r>
    </w:p>
    <w:p>
      <w:pPr>
        <w:spacing w:after="80"/>
      </w:pPr>
      <w:r>
        <w:rPr>
          <w:b/>
          <w:i w:val="0"/>
          <w:color w:val="1F2D5C"/>
          <w:sz w:val="20"/>
        </w:rPr>
        <w:t>Dá para simular cenários (quarentena vencendo, transferido tratado errado, base manipulada)?</w:t>
      </w:r>
    </w:p>
    <w:p>
      <w:pPr>
        <w:spacing w:after="80"/>
      </w:pPr>
      <w:r>
        <w:rPr>
          <w:b w:val="0"/>
          <w:i w:val="0"/>
          <w:color w:val="2C3340"/>
          <w:sz w:val="19"/>
        </w:rPr>
        <w:t>Dá. Montamos bases de teste com esses cenários e mostramos o resultado antes de cada entrega.</w:t>
      </w:r>
    </w:p>
    <w:p>
      <w:r>
        <w:br w:type="page"/>
      </w:r>
    </w:p>
    <w:p>
      <w:pPr>
        <w:pStyle w:val="Heading1"/>
      </w:pPr>
      <w:r>
        <w:rPr>
          <w:color w:val="1F2D5C"/>
        </w:rPr>
        <w:t>4. Perguntas para você</w:t>
      </w:r>
    </w:p>
    <w:p>
      <w:pPr>
        <w:spacing w:before="180" w:after="40"/>
      </w:pPr>
      <w:r>
        <w:rPr>
          <w:b/>
          <w:color w:val="1F2D5C"/>
          <w:sz w:val="21"/>
        </w:rPr>
        <w:t>4.1 Franqueados com perfil que só a Governança libera</w:t>
      </w:r>
    </w:p>
    <w:p>
      <w:pPr>
        <w:spacing w:after="80"/>
      </w:pPr>
      <w:r>
        <w:rPr>
          <w:b w:val="0"/>
          <w:i w:val="0"/>
          <w:color w:val="2C3340"/>
          <w:sz w:val="19"/>
        </w:rPr>
        <w:t>Na matriz de lojas, a coluna ACESSO MANUAL = SIM marca perfis que só podem ser liberados com aprovação. Hoje isso vira pendência (192 franqueados). Deve continuar como pendência, ou ser só informativo?</w:t>
      </w:r>
    </w:p>
    <w:p>
      <w:pPr>
        <w:spacing w:after="80"/>
      </w:pPr>
      <w:r>
        <w:rPr>
          <w:b w:val="0"/>
          <w:i w:val="0"/>
          <w:color w:val="5A6478"/>
          <w:sz w:val="19"/>
        </w:rPr>
        <w:t>Sua resposta: ______________________________________________</w:t>
      </w:r>
    </w:p>
    <w:p>
      <w:pPr>
        <w:spacing w:before="180" w:after="40"/>
      </w:pPr>
      <w:r>
        <w:rPr>
          <w:b/>
          <w:color w:val="1F2D5C"/>
          <w:sz w:val="21"/>
        </w:rPr>
        <w:t>4.2 Conta genérica cadastrada com o e-mail de uma pessoa</w:t>
      </w:r>
    </w:p>
    <w:p>
      <w:pPr>
        <w:spacing w:after="80"/>
      </w:pPr>
      <w:r>
        <w:rPr>
          <w:b w:val="0"/>
          <w:i w:val="0"/>
          <w:color w:val="2C3340"/>
          <w:sz w:val="19"/>
        </w:rPr>
        <w:t>Caso da ALEXANDRA: a conta “VISUAL TURISMO” (outro CPF) usa o e-mail dela e foi ligada a ela. Deve continuar ligada à pessoa, ou contas com CPF diferente não devem ser ligadas pelo e-mail? (Ou tratar como usuário sistêmico na quarentena.)</w:t>
      </w:r>
    </w:p>
    <w:p>
      <w:pPr>
        <w:spacing w:after="80"/>
      </w:pPr>
      <w:r>
        <w:rPr>
          <w:b w:val="0"/>
          <w:i w:val="0"/>
          <w:color w:val="5A6478"/>
          <w:sz w:val="19"/>
        </w:rPr>
        <w:t>Sua resposta: ______________________________________________</w:t>
      </w:r>
    </w:p>
    <w:p>
      <w:pPr>
        <w:spacing w:before="180" w:after="40"/>
      </w:pPr>
      <w:r>
        <w:rPr>
          <w:b/>
          <w:color w:val="1F2D5C"/>
          <w:sz w:val="21"/>
        </w:rPr>
        <w:t>4.3 Itens do seu documento que precisam de conversa</w:t>
      </w:r>
    </w:p>
    <w:p>
      <w:pPr>
        <w:spacing w:after="80"/>
      </w:pPr>
      <w:r>
        <w:rPr>
          <w:b w:val="0"/>
          <w:i w:val="0"/>
          <w:color w:val="2C3340"/>
          <w:sz w:val="19"/>
        </w:rPr>
        <w:t>Transferidos (não pendente enquanto em transferidos, data da identificação, volta à fila depois do tratamento); “deixar apenas em tratativa do analista” na resolução; escolher qual pendência está sendo tratada; CCO com perfis de funções diferentes. Podemos marcar uma conversa para fechar esses pontos?</w:t>
      </w:r>
    </w:p>
    <w:p>
      <w:pPr>
        <w:spacing w:after="80"/>
      </w:pPr>
      <w:r>
        <w:rPr>
          <w:b w:val="0"/>
          <w:i w:val="0"/>
          <w:color w:val="5A6478"/>
          <w:sz w:val="19"/>
        </w:rPr>
        <w:t>Sua resposta: 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