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8" w:color="000000"/>
          <w:left w:val="nil" w:sz="8" w:color="000000"/>
          <w:bottom w:val="nil" w:sz="8" w:color="000000"/>
          <w:right w:val="nil" w:sz="8" w:color="000000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7056"/>
            <w:vAlign w:val="center"/>
          </w:tcPr>
          <w:p>
            <w:pPr>
              <w:spacing w:before="280"/>
            </w:pPr>
            <w:r>
              <w:rPr>
                <w:b/>
                <w:i w:val="0"/>
                <w:color w:val="17365D"/>
                <w:sz w:val="28"/>
                <w:u w:val="none"/>
              </w:rPr>
              <w:t>FICHA DE SOLUÇÕES</w:t>
            </w:r>
          </w:p>
          <w:p>
            <w:r>
              <w:rPr>
                <w:b w:val="0"/>
                <w:i/>
                <w:color w:val="7F8C8D"/>
                <w:sz w:val="17"/>
                <w:u w:val="none"/>
              </w:rPr>
              <w:t>Levantamento e Definição de Requisitos Funcionais</w:t>
            </w:r>
          </w:p>
        </w:tc>
        <w:tc>
          <w:tcPr>
            <w:tcW w:type="dxa" w:w="3744"/>
          </w:tcPr>
          <w:p>
            <w:pPr>
              <w:spacing w:before="1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6220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3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6220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Rockwell" w:hAnsi="Rockwell" w:eastAsia="Rockwell"/>
                <w:b/>
                <w:i w:val="0"/>
                <w:color w:val="002060"/>
                <w:sz w:val="20"/>
                <w:u w:val="none"/>
              </w:rPr>
              <w:t>SISTEMAS LATAM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2880"/>
        <w:gridCol w:w="3096"/>
        <w:gridCol w:w="4824"/>
      </w:tblGrid>
      <w:tr>
        <w:tc>
          <w:tcPr>
            <w:tcW w:type="dxa" w:w="10800"/>
            <w:gridSpan w:val="3"/>
            <w:shd w:val="clear" w:color="auto" w:fill="D9D9D9"/>
          </w:tcPr>
          <w:p>
            <w:pPr>
              <w:keepNext/>
              <w:spacing w:before="60" w:after="60"/>
            </w:pPr>
            <w:r>
              <w:rPr>
                <w:b/>
                <w:i w:val="0"/>
                <w:color w:val="2C3E50"/>
                <w:sz w:val="18"/>
                <w:u w:val="none"/>
              </w:rPr>
              <w:t>1. INFORMAÇÕES GERAIS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b/>
                <w:i w:val="0"/>
                <w:color w:val="333333"/>
                <w:sz w:val="16"/>
                <w:u w:val="none"/>
              </w:rPr>
              <w:t>País</w:t>
            </w:r>
          </w:p>
        </w:tc>
        <w:tc>
          <w:tcPr>
            <w:tcW w:type="dxa" w:w="3096"/>
            <w:shd w:val="clear" w:color="auto" w:fill="DCE6F1"/>
          </w:tcPr>
          <w:p>
            <w:r>
              <w:rPr>
                <w:b/>
                <w:i w:val="0"/>
                <w:color w:val="333333"/>
                <w:sz w:val="16"/>
                <w:u w:val="none"/>
              </w:rPr>
              <w:t>Requisito de Nome</w:t>
            </w:r>
          </w:p>
        </w:tc>
        <w:tc>
          <w:tcPr>
            <w:tcW w:type="dxa" w:w="4824"/>
            <w:shd w:val="clear" w:color="auto" w:fill="DCE6F1"/>
          </w:tcPr>
          <w:p>
            <w:r>
              <w:rPr>
                <w:b/>
                <w:i w:val="0"/>
                <w:color w:val="333333"/>
                <w:sz w:val="16"/>
                <w:u w:val="none"/>
              </w:rPr>
              <w:t>Proprietário do Processo</w:t>
            </w:r>
          </w:p>
        </w:tc>
      </w:tr>
      <w:tr>
        <w:trPr>
          <w:trHeight w:val="605"/>
        </w:trPr>
        <w:tc>
          <w:tcPr>
            <w:tcW w:type="dxa" w:w="2880"/>
          </w:tcPr>
          <w:p>
            <w:r>
              <w:rPr>
                <w:b w:val="0"/>
                <w:i w:val="0"/>
                <w:color w:val="17365D"/>
                <w:sz w:val="18"/>
                <w:u w:val="none"/>
              </w:rPr>
              <w:t>Brasil e demais países atendidos pelo BRS Cloud</w:t>
            </w:r>
          </w:p>
        </w:tc>
        <w:tc>
          <w:tcPr>
            <w:tcW w:type="dxa" w:w="3096"/>
          </w:tcPr>
          <w:p>
            <w:r>
              <w:rPr>
                <w:b w:val="0"/>
                <w:i w:val="0"/>
                <w:color w:val="17365D"/>
                <w:sz w:val="18"/>
                <w:u w:val="none"/>
              </w:rPr>
              <w:t>Portal Externo BRS Cloud: nova estrutura (external2)</w:t>
            </w:r>
          </w:p>
        </w:tc>
        <w:tc>
          <w:tcPr>
            <w:tcW w:type="dxa" w:w="4824"/>
          </w:tcPr>
          <w:p>
            <w:r>
              <w:rPr>
                <w:b w:val="0"/>
                <w:i w:val="0"/>
                <w:color w:val="17365D"/>
                <w:sz w:val="18"/>
                <w:u w:val="none"/>
              </w:rPr>
              <w:t>Área de operações</w:t>
            </w:r>
          </w:p>
        </w:tc>
      </w:tr>
      <w:tr>
        <w:tc>
          <w:tcPr>
            <w:tcW w:type="dxa" w:w="2880"/>
            <w:shd w:val="clear" w:color="auto" w:fill="DCE6F1"/>
          </w:tcPr>
          <w:p>
            <w:r>
              <w:rPr>
                <w:b/>
                <w:i w:val="0"/>
                <w:color w:val="333333"/>
                <w:sz w:val="16"/>
                <w:u w:val="none"/>
              </w:rPr>
              <w:t>Área / Departamento.</w:t>
            </w:r>
          </w:p>
        </w:tc>
        <w:tc>
          <w:tcPr>
            <w:tcW w:type="dxa" w:w="3096"/>
            <w:shd w:val="clear" w:color="auto" w:fill="DCE6F1"/>
          </w:tcPr>
          <w:p>
            <w:r>
              <w:rPr>
                <w:b/>
                <w:i w:val="0"/>
                <w:color w:val="333333"/>
                <w:sz w:val="16"/>
                <w:u w:val="none"/>
              </w:rPr>
              <w:t>Analista | BA | Responsável</w:t>
            </w:r>
          </w:p>
        </w:tc>
        <w:tc>
          <w:tcPr>
            <w:tcW w:type="dxa" w:w="4824"/>
            <w:shd w:val="clear" w:color="auto" w:fill="DCE6F1"/>
          </w:tcPr>
          <w:p>
            <w:r>
              <w:rPr>
                <w:b/>
                <w:i w:val="0"/>
                <w:color w:val="333333"/>
                <w:sz w:val="16"/>
                <w:u w:val="none"/>
              </w:rPr>
              <w:t>Stakeholders (Nome | Função)</w:t>
            </w:r>
          </w:p>
        </w:tc>
      </w:tr>
      <w:tr>
        <w:trPr>
          <w:trHeight w:val="605"/>
        </w:trPr>
        <w:tc>
          <w:tcPr>
            <w:tcW w:type="dxa" w:w="2880"/>
          </w:tcPr>
          <w:p>
            <w:r>
              <w:rPr>
                <w:b w:val="0"/>
                <w:i w:val="0"/>
                <w:color w:val="17365D"/>
                <w:sz w:val="18"/>
                <w:u w:val="none"/>
              </w:rPr>
              <w:t>Operacional</w:t>
            </w:r>
          </w:p>
        </w:tc>
        <w:tc>
          <w:tcPr>
            <w:tcW w:type="dxa" w:w="3096"/>
          </w:tcPr>
          <w:p>
            <w:r>
              <w:rPr>
                <w:b w:val="0"/>
                <w:i w:val="0"/>
                <w:color w:val="17365D"/>
                <w:sz w:val="18"/>
                <w:u w:val="none"/>
              </w:rPr>
              <w:t>Nelson Diniz</w:t>
            </w:r>
          </w:p>
        </w:tc>
        <w:tc>
          <w:tcPr>
            <w:tcW w:type="dxa" w:w="4824"/>
          </w:tcPr>
          <w:p>
            <w:r>
              <w:rPr>
                <w:b w:val="0"/>
                <w:i w:val="0"/>
                <w:color w:val="17365D"/>
                <w:sz w:val="18"/>
                <w:u w:val="none"/>
              </w:rPr>
              <w:t>A definir</w:t>
            </w:r>
          </w:p>
        </w:tc>
      </w:tr>
      <w:tr>
        <w:tc>
          <w:tcPr>
            <w:tcW w:type="dxa" w:w="10800"/>
            <w:gridSpan w:val="3"/>
            <w:shd w:val="clear" w:color="auto" w:fill="DCE6F1"/>
          </w:tcPr>
          <w:p>
            <w:r>
              <w:rPr>
                <w:b/>
                <w:i w:val="0"/>
                <w:color w:val="333333"/>
                <w:sz w:val="16"/>
                <w:u w:val="none"/>
              </w:rPr>
              <w:t>Origem do pedido</w:t>
            </w:r>
          </w:p>
        </w:tc>
      </w:tr>
      <w:tr>
        <w:tc>
          <w:tcPr>
            <w:tcW w:type="dxa" w:w="10800"/>
            <w:gridSpan w:val="3"/>
          </w:tcPr>
          <w:p>
            <w:r>
              <w:rPr>
                <w:b w:val="0"/>
                <w:i w:val="0"/>
                <w:color w:val="17365D"/>
                <w:sz w:val="18"/>
                <w:u w:val="none"/>
              </w:rPr>
              <w:t>☒ Cliente Interno     ☒ Cliente Externo     ☐ Auditoria     ☐ Compliance     ☐ TI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1368"/>
        <w:gridCol w:w="1944"/>
        <w:gridCol w:w="1800"/>
        <w:gridCol w:w="2808"/>
        <w:gridCol w:w="2880"/>
      </w:tblGrid>
      <w:tr>
        <w:tc>
          <w:tcPr>
            <w:tcW w:type="dxa" w:w="10800"/>
            <w:gridSpan w:val="5"/>
            <w:shd w:val="clear" w:color="auto" w:fill="D9D9D9"/>
          </w:tcPr>
          <w:p>
            <w:pPr>
              <w:keepNext/>
              <w:spacing w:before="60" w:after="60"/>
            </w:pPr>
            <w:r>
              <w:rPr>
                <w:b/>
                <w:i w:val="0"/>
                <w:color w:val="2C3E50"/>
                <w:sz w:val="18"/>
                <w:u w:val="none"/>
              </w:rPr>
              <w:t>2. CONTROLE DE VERSÃO</w:t>
            </w:r>
          </w:p>
        </w:tc>
      </w:tr>
      <w:tr>
        <w:tc>
          <w:tcPr>
            <w:tcW w:type="dxa" w:w="1368"/>
            <w:shd w:val="clear" w:color="auto" w:fill="DCE6F1"/>
          </w:tcPr>
          <w:p>
            <w:pPr>
              <w:jc w:val="center"/>
            </w:pPr>
            <w:r>
              <w:rPr>
                <w:b/>
                <w:i w:val="0"/>
                <w:color w:val="333333"/>
                <w:sz w:val="16"/>
                <w:u w:val="none"/>
              </w:rPr>
              <w:t>Versão</w:t>
            </w:r>
          </w:p>
        </w:tc>
        <w:tc>
          <w:tcPr>
            <w:tcW w:type="dxa" w:w="1944"/>
            <w:shd w:val="clear" w:color="auto" w:fill="DCE6F1"/>
          </w:tcPr>
          <w:p>
            <w:pPr>
              <w:jc w:val="center"/>
            </w:pPr>
            <w:r>
              <w:rPr>
                <w:b/>
                <w:i w:val="0"/>
                <w:color w:val="333333"/>
                <w:sz w:val="16"/>
                <w:u w:val="none"/>
              </w:rPr>
              <w:t>Autor</w:t>
            </w:r>
          </w:p>
        </w:tc>
        <w:tc>
          <w:tcPr>
            <w:tcW w:type="dxa" w:w="1800"/>
            <w:shd w:val="clear" w:color="auto" w:fill="DCE6F1"/>
          </w:tcPr>
          <w:p>
            <w:pPr>
              <w:jc w:val="center"/>
            </w:pPr>
            <w:r>
              <w:rPr>
                <w:b/>
                <w:i w:val="0"/>
                <w:color w:val="333333"/>
                <w:sz w:val="16"/>
                <w:u w:val="none"/>
              </w:rPr>
              <w:t>Data</w:t>
            </w:r>
          </w:p>
        </w:tc>
        <w:tc>
          <w:tcPr>
            <w:tcW w:type="dxa" w:w="2808"/>
            <w:shd w:val="clear" w:color="auto" w:fill="DCE6F1"/>
          </w:tcPr>
          <w:p>
            <w:pPr>
              <w:jc w:val="center"/>
            </w:pPr>
            <w:r>
              <w:rPr>
                <w:b/>
                <w:i w:val="0"/>
                <w:color w:val="333333"/>
                <w:sz w:val="16"/>
                <w:u w:val="none"/>
              </w:rPr>
              <w:t>Revisor</w:t>
            </w:r>
          </w:p>
        </w:tc>
        <w:tc>
          <w:tcPr>
            <w:tcW w:type="dxa" w:w="2880"/>
            <w:shd w:val="clear" w:color="auto" w:fill="DCE6F1"/>
          </w:tcPr>
          <w:p>
            <w:pPr>
              <w:jc w:val="center"/>
            </w:pPr>
            <w:r>
              <w:rPr>
                <w:b/>
                <w:i w:val="0"/>
                <w:color w:val="333333"/>
                <w:sz w:val="16"/>
                <w:u w:val="none"/>
              </w:rPr>
              <w:t>Observação</w:t>
            </w:r>
          </w:p>
        </w:tc>
      </w:tr>
      <w:tr>
        <w:trPr>
          <w:trHeight w:val="605"/>
        </w:trPr>
        <w:tc>
          <w:tcPr>
            <w:tcW w:type="dxa" w:w="1368"/>
          </w:tcPr>
          <w:p>
            <w:pPr>
              <w:jc w:val="center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1.0</w:t>
            </w:r>
          </w:p>
        </w:tc>
        <w:tc>
          <w:tcPr>
            <w:tcW w:type="dxa" w:w="1944"/>
          </w:tcPr>
          <w:p>
            <w:r>
              <w:rPr>
                <w:b w:val="0"/>
                <w:i w:val="0"/>
                <w:color w:val="17365D"/>
                <w:sz w:val="18"/>
                <w:u w:val="none"/>
              </w:rPr>
              <w:t>Nelson Diniz</w:t>
            </w:r>
          </w:p>
        </w:tc>
        <w:tc>
          <w:tcPr>
            <w:tcW w:type="dxa" w:w="1800"/>
          </w:tcPr>
          <w:p>
            <w:r>
              <w:rPr>
                <w:b w:val="0"/>
                <w:i w:val="0"/>
                <w:color w:val="17365D"/>
                <w:sz w:val="18"/>
                <w:u w:val="none"/>
              </w:rPr>
            </w:r>
          </w:p>
        </w:tc>
        <w:tc>
          <w:tcPr>
            <w:tcW w:type="dxa" w:w="2808"/>
          </w:tcPr>
          <w:p>
            <w:r>
              <w:rPr>
                <w:b w:val="0"/>
                <w:i w:val="0"/>
                <w:color w:val="17365D"/>
                <w:sz w:val="18"/>
                <w:u w:val="none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color w:val="17365D"/>
                <w:sz w:val="18"/>
                <w:u w:val="none"/>
              </w:rPr>
              <w:t>Primeira versão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10800"/>
      </w:tblGrid>
      <w:tr>
        <w:tc>
          <w:tcPr>
            <w:tcW w:type="dxa" w:w="10800"/>
            <w:shd w:val="clear" w:color="auto" w:fill="DCE6F1"/>
          </w:tcPr>
          <w:p>
            <w:pPr>
              <w:keepNext/>
              <w:spacing w:before="60" w:after="0"/>
            </w:pPr>
            <w:r>
              <w:rPr>
                <w:b/>
                <w:i w:val="0"/>
                <w:color w:val="2C3E50"/>
                <w:sz w:val="18"/>
                <w:u w:val="none"/>
              </w:rPr>
              <w:t>3. PROPÓSITO E ESCOPO</w:t>
            </w:r>
          </w:p>
          <w:p>
            <w:pPr>
              <w:keepNext/>
              <w:spacing w:after="60"/>
            </w:pPr>
            <w:r>
              <w:rPr>
                <w:b w:val="0"/>
                <w:i/>
                <w:color w:val="7F8C8D"/>
                <w:sz w:val="15"/>
                <w:u w:val="none"/>
              </w:rPr>
              <w:t>Objetivo do processo, evento inicial e resultado final.</w:t>
            </w:r>
          </w:p>
        </w:tc>
      </w:tr>
      <w:tr>
        <w:tc>
          <w:tcPr>
            <w:tcW w:type="dxa" w:w="10800"/>
          </w:tcPr>
          <w:p>
            <w:pPr>
              <w:spacing w:after="0"/>
            </w:pPr>
            <w:r>
              <w:rPr>
                <w:sz w:val="8"/>
              </w:rPr>
            </w:r>
          </w:p>
          <w:p>
            <w:pPr>
              <w:spacing w:after="100"/>
              <w:ind w:left="792" w:right="144"/>
              <w:jc w:val="both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Reestruturar o portal externo do BRS Cloud, canal pelo qual corretoras, seguradoras e segurados interagem com a Crawford sem passar pelo sistema interno. O novo portal (external2) será construído em paralelo ao atual, que permanece intacto e em operação durante todo o projeto.</w:t>
            </w:r>
          </w:p>
          <w:p>
            <w:pPr>
              <w:spacing w:after="100"/>
              <w:ind w:left="792" w:right="144"/>
              <w:jc w:val="both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Hoje os clientes não conseguem editar informações do sinistro e enviam as alterações para a equipe da Crawford preencher, o que gera retrabalho e confusão. Cada pedido de campo personalizado vira um desenvolvimento novo, o usuário externo enxerga apenas o que ele mesmo preencheu e não existe recuperação nem troca de senha.</w:t>
            </w:r>
          </w:p>
          <w:p>
            <w:pPr>
              <w:spacing w:after="100"/>
              <w:ind w:left="792" w:right="144"/>
              <w:jc w:val="both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Com o novo portal, os campos de tela passam a ser definidos por configuração de grupo, o cliente pode alterar os campos autorizados, enxerga mais do sinistro e gerencia a própria senha. A migração ocorre cliente a cliente, pelo endereço entregue a cada um, com possibilidade de retorno ao portal anterior sem nova publicação.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10800"/>
      </w:tblGrid>
      <w:tr>
        <w:tc>
          <w:tcPr>
            <w:tcW w:type="dxa" w:w="10800"/>
            <w:shd w:val="clear" w:color="auto" w:fill="DCE6F1"/>
          </w:tcPr>
          <w:p>
            <w:pPr>
              <w:keepNext/>
              <w:spacing w:before="60" w:after="0"/>
            </w:pPr>
            <w:r>
              <w:rPr>
                <w:b/>
                <w:i w:val="0"/>
                <w:color w:val="2C3E50"/>
                <w:sz w:val="18"/>
                <w:u w:val="none"/>
              </w:rPr>
              <w:t>4. PAPÉIS ENVOLVIDOS</w:t>
            </w:r>
          </w:p>
          <w:p>
            <w:pPr>
              <w:keepNext/>
              <w:spacing w:after="60"/>
            </w:pPr>
            <w:r>
              <w:rPr>
                <w:b w:val="0"/>
                <w:i/>
                <w:color w:val="7F8C8D"/>
                <w:sz w:val="15"/>
                <w:u w:val="none"/>
              </w:rPr>
              <w:t>Ator e sua responsabilidade.</w:t>
            </w:r>
          </w:p>
        </w:tc>
      </w:tr>
      <w:tr>
        <w:tc>
          <w:tcPr>
            <w:tcW w:type="dxa" w:w="10800"/>
          </w:tcPr>
          <w:p>
            <w:pPr>
              <w:tabs>
                <w:tab w:pos="432" w:val="left"/>
              </w:tabs>
              <w:spacing w:after="30"/>
              <w:ind w:left="432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/>
                <w:i w:val="0"/>
                <w:color w:val="17365D"/>
                <w:sz w:val="18"/>
                <w:u w:val="none"/>
              </w:rPr>
              <w:t xml:space="preserve">Corretora / Seguradora: 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Usuário externo com login e senha. Cadastra sinistros, acompanha e altera os campos que lhe forem autorizados;</w:t>
            </w:r>
          </w:p>
          <w:p>
            <w:pPr>
              <w:tabs>
                <w:tab w:pos="432" w:val="left"/>
              </w:tabs>
              <w:spacing w:after="30"/>
              <w:ind w:left="432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/>
                <w:i w:val="0"/>
                <w:color w:val="17365D"/>
                <w:sz w:val="18"/>
                <w:u w:val="none"/>
              </w:rPr>
              <w:t xml:space="preserve">Segurado: 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Acessa sem senha, com documento e número do sinistro, apenas para anexar documentos pendentes;</w:t>
            </w:r>
          </w:p>
          <w:p>
            <w:pPr>
              <w:tabs>
                <w:tab w:pos="432" w:val="left"/>
              </w:tabs>
              <w:spacing w:after="30"/>
              <w:ind w:left="432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/>
                <w:i w:val="0"/>
                <w:color w:val="17365D"/>
                <w:sz w:val="18"/>
                <w:u w:val="none"/>
              </w:rPr>
              <w:t xml:space="preserve">Área de operações: 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Levanta os campos e blocos que cada cliente deve ver, configura os grupos de usuário e homologa o portal;</w:t>
            </w:r>
          </w:p>
          <w:p>
            <w:pPr>
              <w:tabs>
                <w:tab w:pos="432" w:val="left"/>
              </w:tabs>
              <w:spacing w:after="30"/>
              <w:ind w:left="432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/>
                <w:i w:val="0"/>
                <w:color w:val="17365D"/>
                <w:sz w:val="18"/>
                <w:u w:val="none"/>
              </w:rPr>
              <w:t xml:space="preserve">TI Crawford: 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Revisa o código ao longo do projeto, publica o portal e controla a lista de clientes migrados;</w:t>
            </w:r>
          </w:p>
          <w:p>
            <w:pPr>
              <w:tabs>
                <w:tab w:pos="432" w:val="left"/>
              </w:tabs>
              <w:spacing w:after="30"/>
              <w:ind w:left="432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/>
                <w:i w:val="0"/>
                <w:color w:val="17365D"/>
                <w:sz w:val="18"/>
                <w:u w:val="none"/>
              </w:rPr>
              <w:t xml:space="preserve">Desenvolvimento: 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Constrói o novo portal, as alterações de servidor e a tela de parametrização;</w:t>
            </w:r>
          </w:p>
          <w:p>
            <w:pPr>
              <w:spacing w:after="0"/>
            </w:pPr>
            <w:r>
              <w:rPr>
                <w:sz w:val="8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10800"/>
      </w:tblGrid>
      <w:tr>
        <w:tc>
          <w:tcPr>
            <w:tcW w:type="dxa" w:w="10800"/>
            <w:shd w:val="clear" w:color="auto" w:fill="DCE6F1"/>
          </w:tcPr>
          <w:p>
            <w:pPr>
              <w:keepNext/>
              <w:spacing w:before="60" w:after="0"/>
            </w:pPr>
            <w:r>
              <w:rPr>
                <w:b/>
                <w:i w:val="0"/>
                <w:color w:val="2C3E50"/>
                <w:sz w:val="18"/>
                <w:u w:val="none"/>
              </w:rPr>
              <w:t>5. REQUISITOS FUNCIONAIS</w:t>
            </w:r>
          </w:p>
          <w:p>
            <w:pPr>
              <w:keepNext/>
              <w:spacing w:after="60"/>
            </w:pPr>
            <w:r>
              <w:rPr>
                <w:b w:val="0"/>
                <w:i/>
                <w:color w:val="7F8C8D"/>
                <w:sz w:val="15"/>
                <w:u w:val="none"/>
              </w:rPr>
              <w:t>Comportamento esperado e condições funcionais da solução.</w:t>
            </w:r>
          </w:p>
        </w:tc>
      </w:tr>
      <w:tr>
        <w:tc>
          <w:tcPr>
            <w:tcW w:type="dxa" w:w="10800"/>
          </w:tcPr>
          <w:p>
            <w:pPr>
              <w:spacing w:after="0"/>
            </w:pPr>
            <w:r>
              <w:rPr>
                <w:sz w:val="10"/>
              </w:rPr>
            </w:r>
          </w:p>
          <w:p>
            <w:pPr>
              <w:tabs>
                <w:tab w:pos="432" w:val="left"/>
              </w:tabs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1.</w:t>
              <w:tab/>
            </w:r>
            <w:r>
              <w:rPr>
                <w:b/>
                <w:i w:val="0"/>
                <w:color w:val="17365D"/>
                <w:sz w:val="18"/>
                <w:u w:val="none"/>
              </w:rPr>
              <w:t>Infraestrutura do novo portal (external2)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: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Criar o novo tipo de acesso, com rotas e configuração de build próprias, publicando em endereço separado;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Tratar o novo tipo nas verificações de acesso da autenticação, do menu, da navegação, do seletor de idioma e do layout;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Criar a estrutura do módulo e as traduções dos oito idiomas atendidos;</w:t>
            </w:r>
          </w:p>
          <w:p>
            <w:pPr>
              <w:spacing w:after="0"/>
            </w:pPr>
            <w:r>
              <w:rPr>
                <w:sz w:val="10"/>
              </w:rPr>
            </w:r>
          </w:p>
          <w:p>
            <w:pPr>
              <w:tabs>
                <w:tab w:pos="432" w:val="left"/>
              </w:tabs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2.</w:t>
              <w:tab/>
            </w:r>
            <w:r>
              <w:rPr>
                <w:b/>
                <w:i w:val="0"/>
                <w:color w:val="17365D"/>
                <w:sz w:val="18"/>
                <w:u w:val="none"/>
              </w:rPr>
              <w:t>Formulário dinâmico (parametrização de campos por grupo)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: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Definir por grupo de usuário quais campos aparecem, em que ordem, se são obrigatórios e de onde vem o valor;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Disponibilizar ao portal a configuração do grupo do usuário autenticado, e somente a dele;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Montar o formulário em tela a partir da configuração, usando os componentes de campo já existentes;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Permitir que campos de seleção tragam lista fixa ou consulta ao sistema, sempre delimitada pelo grupo;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Criar na manutenção de grupo a aba de campos, para a equipe da Crawford incluir, ordenar, tornar obrigatório e remover campos sem nova publicação;</w:t>
            </w:r>
          </w:p>
          <w:p>
            <w:pPr>
              <w:spacing w:after="0"/>
            </w:pPr>
            <w:r>
              <w:rPr>
                <w:sz w:val="10"/>
              </w:rPr>
            </w:r>
          </w:p>
          <w:p>
            <w:pPr>
              <w:tabs>
                <w:tab w:pos="432" w:val="left"/>
              </w:tabs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3.</w:t>
              <w:tab/>
            </w:r>
            <w:r>
              <w:rPr>
                <w:b/>
                <w:i w:val="0"/>
                <w:color w:val="17365D"/>
                <w:sz w:val="18"/>
                <w:u w:val="none"/>
              </w:rPr>
              <w:t>Cadastro de sinistro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: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Manter as seis etapas do cadastro (dados do sinistro, pessoas, local, apólice, anexos e finalização), preservando o preenchimento ao navegar e ao sair e voltar;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Exigir os campos mínimos de abertura e exibir os campos adicionais conforme a parametrização do grupo;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Na etapa de pessoas, buscar por documento e exigir confirmação antes de cadastrar pessoa nova;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Na etapa de apólice, permitir número livre ou lista configurada, com a vigência acompanhando a apólice selecionada;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Na etapa de anexos, tirar do código a pasta e o tipo de anexo, passando a configuração;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Ao finalizar, gravar o sinistro, apresentar o número ao usuário e notificar a Crawford como hoje;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Eliminar do código qualquer identificação de cliente por nome ou identificador fixo;</w:t>
            </w:r>
          </w:p>
          <w:p>
            <w:pPr>
              <w:spacing w:after="0"/>
            </w:pPr>
            <w:r>
              <w:rPr>
                <w:sz w:val="10"/>
              </w:rPr>
            </w:r>
          </w:p>
          <w:p>
            <w:pPr>
              <w:tabs>
                <w:tab w:pos="432" w:val="left"/>
              </w:tabs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4.</w:t>
              <w:tab/>
            </w:r>
            <w:r>
              <w:rPr>
                <w:b/>
                <w:i w:val="0"/>
                <w:color w:val="17365D"/>
                <w:sz w:val="18"/>
                <w:u w:val="none"/>
              </w:rPr>
              <w:t>Edição de sinistro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: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Criar o endpoint de atualização do sinistro, hoje inexistente no portal externo;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Permitir edição apenas dos campos autorizados para o grupo, usando a permissão de edição por componente já existente;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Indicar em tela quais campos são editáveis e quais são apenas de leitura;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Registrar cada alteração com usuário, data, campo, valor anterior e valor novo, consultável pela equipe interna;</w:t>
            </w:r>
          </w:p>
          <w:p>
            <w:pPr>
              <w:spacing w:after="0"/>
            </w:pPr>
            <w:r>
              <w:rPr>
                <w:sz w:val="10"/>
              </w:rPr>
            </w:r>
          </w:p>
          <w:p>
            <w:pPr>
              <w:tabs>
                <w:tab w:pos="432" w:val="left"/>
              </w:tabs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5.</w:t>
              <w:tab/>
            </w:r>
            <w:r>
              <w:rPr>
                <w:b/>
                <w:i w:val="0"/>
                <w:color w:val="17365D"/>
                <w:sz w:val="18"/>
                <w:u w:val="none"/>
              </w:rPr>
              <w:t>Visualização do sinistro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: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Entregar ao portal os campos do sinistro além dos preenchidos no cadastro, respeitando a marcação de visibilidade externa;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Organizar a tela de detalhe em blocos habilitados por grupo;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Configurar os blocos a partir do levantamento de campos feito pela Crawford, com ao menos um cliente real validado;</w:t>
            </w:r>
          </w:p>
          <w:p>
            <w:pPr>
              <w:spacing w:after="0"/>
            </w:pPr>
            <w:r>
              <w:rPr>
                <w:sz w:val="10"/>
              </w:rPr>
            </w:r>
          </w:p>
          <w:p>
            <w:pPr>
              <w:tabs>
                <w:tab w:pos="432" w:val="left"/>
              </w:tabs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6.</w:t>
              <w:tab/>
            </w:r>
            <w:r>
              <w:rPr>
                <w:b/>
                <w:i w:val="0"/>
                <w:color w:val="17365D"/>
                <w:sz w:val="18"/>
                <w:u w:val="none"/>
              </w:rPr>
              <w:t>Segurado fixo no grupo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: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Permitir vincular um segurado ao grupo de usuário, como já ocorre com corretora e seguradora;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Quando houver segurado definido, preencher e proteger o campo no cadastro, sem criar pessoa nova;</w:t>
            </w:r>
          </w:p>
          <w:p>
            <w:pPr>
              <w:spacing w:after="0"/>
            </w:pPr>
            <w:r>
              <w:rPr>
                <w:sz w:val="10"/>
              </w:rPr>
            </w:r>
          </w:p>
          <w:p>
            <w:pPr>
              <w:tabs>
                <w:tab w:pos="432" w:val="left"/>
              </w:tabs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7.</w:t>
              <w:tab/>
            </w:r>
            <w:r>
              <w:rPr>
                <w:b/>
                <w:i w:val="0"/>
                <w:color w:val="17365D"/>
                <w:sz w:val="18"/>
                <w:u w:val="none"/>
              </w:rPr>
              <w:t>Senha e segurança de acesso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: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Recuperação de senha por e-mail, com link de uso único e com expiração;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Telas de solicitação e de definição de nova senha, acessíveis pela tela de login;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Troca de senha pelo usuário autenticado, exigindo a senha atual;</w:t>
            </w:r>
          </w:p>
          <w:p>
            <w:pPr>
              <w:spacing w:after="0"/>
            </w:pPr>
            <w:r>
              <w:rPr>
                <w:sz w:val="10"/>
              </w:rPr>
            </w:r>
          </w:p>
          <w:p>
            <w:pPr>
              <w:tabs>
                <w:tab w:pos="432" w:val="left"/>
              </w:tabs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8.</w:t>
              <w:tab/>
            </w:r>
            <w:r>
              <w:rPr>
                <w:b/>
                <w:i w:val="0"/>
                <w:color w:val="17365D"/>
                <w:sz w:val="18"/>
                <w:u w:val="none"/>
              </w:rPr>
              <w:t>Portal do segurado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: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Migrar para a nova estrutura o acesso por documento e número do sinistro, que lista os documentos pendentes e permite anexá-los;</w:t>
            </w:r>
          </w:p>
          <w:p>
            <w:pPr>
              <w:spacing w:after="0"/>
            </w:pPr>
            <w:r>
              <w:rPr>
                <w:sz w:val="10"/>
              </w:rPr>
            </w:r>
          </w:p>
          <w:p>
            <w:pPr>
              <w:tabs>
                <w:tab w:pos="432" w:val="left"/>
              </w:tabs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9.</w:t>
              <w:tab/>
            </w:r>
            <w:r>
              <w:rPr>
                <w:b/>
                <w:i w:val="0"/>
                <w:color w:val="17365D"/>
                <w:sz w:val="18"/>
                <w:u w:val="none"/>
              </w:rPr>
              <w:t>Validação, homologação e virada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: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Validar cadastro, visualização e edição no Brasil e em ao menos um outro país;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Homologar os fluxos com a equipe da Crawford antes de expor o portal a clientes;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•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Publicar o portal em endereço próprio e migrar um cliente piloto, mantendo o portal atual no ar para os demais;</w:t>
            </w:r>
          </w:p>
          <w:p>
            <w:pPr>
              <w:spacing w:after="0"/>
            </w:pPr>
            <w:r>
              <w:rPr>
                <w:sz w:val="12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10800"/>
      </w:tblGrid>
      <w:tr>
        <w:tc>
          <w:tcPr>
            <w:tcW w:type="dxa" w:w="10800"/>
            <w:shd w:val="clear" w:color="auto" w:fill="DCE6F1"/>
          </w:tcPr>
          <w:p>
            <w:pPr>
              <w:keepNext/>
              <w:spacing w:before="60" w:after="60"/>
            </w:pPr>
            <w:r>
              <w:rPr>
                <w:b/>
                <w:i w:val="0"/>
                <w:color w:val="2C3E50"/>
                <w:sz w:val="18"/>
                <w:u w:val="none"/>
              </w:rPr>
              <w:t>6. REGRAS E RESTRIÇÕES DE NEGÓCIOS</w:t>
            </w:r>
          </w:p>
        </w:tc>
      </w:tr>
      <w:tr>
        <w:tc>
          <w:tcPr>
            <w:tcW w:type="dxa" w:w="10800"/>
          </w:tcPr>
          <w:p>
            <w:pPr>
              <w:spacing w:after="0"/>
            </w:pPr>
            <w:r>
              <w:rPr>
                <w:sz w:val="10"/>
              </w:rPr>
            </w:r>
          </w:p>
          <w:p>
            <w:r>
              <w:rPr>
                <w:b w:val="0"/>
                <w:i w:val="0"/>
                <w:color w:val="17365D"/>
                <w:sz w:val="18"/>
                <w:u w:val="none"/>
              </w:rPr>
              <w:t xml:space="preserve">• </w:t>
            </w:r>
            <w:r>
              <w:rPr>
                <w:b w:val="0"/>
                <w:i w:val="0"/>
                <w:color w:val="17365D"/>
                <w:sz w:val="18"/>
                <w:u w:val="single"/>
              </w:rPr>
              <w:t>Estrutura paralela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: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O portal externo atual não pode ser alterado e deve continuar publicando e operando normalmente;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A migração é feita cliente a cliente, pela troca do endereço entregue, e deve permitir voltar ao portal anterior sem nova publicação;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A relação de clientes migrados é controlada fora da aplicação;</w:t>
            </w:r>
          </w:p>
          <w:p>
            <w:pPr>
              <w:spacing w:after="0"/>
            </w:pPr>
            <w:r>
              <w:rPr>
                <w:sz w:val="10"/>
              </w:rPr>
            </w:r>
          </w:p>
          <w:p>
            <w:r>
              <w:rPr>
                <w:b w:val="0"/>
                <w:i w:val="0"/>
                <w:color w:val="17365D"/>
                <w:sz w:val="18"/>
                <w:u w:val="none"/>
              </w:rPr>
              <w:t xml:space="preserve">• </w:t>
            </w:r>
            <w:r>
              <w:rPr>
                <w:b w:val="0"/>
                <w:i w:val="0"/>
                <w:color w:val="17365D"/>
                <w:sz w:val="18"/>
                <w:u w:val="single"/>
              </w:rPr>
              <w:t>Parametrização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: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Grupo sem parametrização deve operar com os campos fixos e gerar sinistro idêntico ao do portal atual;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A configuração de um grupo não pode interferir na de outro grupo, nem na de outro país;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Os campos parametrizados sempre existem no modelo do sistema; o tipo do campo vem do próprio modelo;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Apenas perfis internos autorizados acessam a manutenção de campos;</w:t>
            </w:r>
          </w:p>
          <w:p>
            <w:pPr>
              <w:spacing w:after="0"/>
            </w:pPr>
            <w:r>
              <w:rPr>
                <w:sz w:val="10"/>
              </w:rPr>
            </w:r>
          </w:p>
          <w:p>
            <w:r>
              <w:rPr>
                <w:b w:val="0"/>
                <w:i w:val="0"/>
                <w:color w:val="17365D"/>
                <w:sz w:val="18"/>
                <w:u w:val="none"/>
              </w:rPr>
              <w:t xml:space="preserve">• </w:t>
            </w:r>
            <w:r>
              <w:rPr>
                <w:b w:val="0"/>
                <w:i w:val="0"/>
                <w:color w:val="17365D"/>
                <w:sz w:val="18"/>
                <w:u w:val="single"/>
              </w:rPr>
              <w:t>Edição e visibilidade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: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A autorização de edição deve ser validada no servidor, e não apenas na tela;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Campos de uso interno da Crawford não podem ser alterados pelo portal;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Sinistro em situação que não admite alteração deve recusar a edição;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Campo não marcado como visível ao externo não pode trafegar na resposta do servidor, ainda que a tela não o exiba;</w:t>
            </w:r>
          </w:p>
          <w:p>
            <w:pPr>
              <w:spacing w:after="0"/>
            </w:pPr>
            <w:r>
              <w:rPr>
                <w:sz w:val="10"/>
              </w:rPr>
            </w:r>
          </w:p>
          <w:p>
            <w:r>
              <w:rPr>
                <w:b w:val="0"/>
                <w:i w:val="0"/>
                <w:color w:val="17365D"/>
                <w:sz w:val="18"/>
                <w:u w:val="none"/>
              </w:rPr>
              <w:t xml:space="preserve">• </w:t>
            </w:r>
            <w:r>
              <w:rPr>
                <w:b w:val="0"/>
                <w:i w:val="0"/>
                <w:color w:val="17365D"/>
                <w:sz w:val="18"/>
                <w:u w:val="single"/>
              </w:rPr>
              <w:t>Senha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: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O link de redefinição expira e só pode ser usado uma vez;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A resposta da recuperação não pode revelar se o e-mail está cadastrado;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Após a redefinição ou a troca, a senha anterior deixa de funcionar;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O acesso do segurado (documento e número do sinistro) não usa senha e fica fora deste fluxo;</w:t>
            </w:r>
          </w:p>
          <w:p>
            <w:pPr>
              <w:spacing w:after="0"/>
            </w:pPr>
            <w:r>
              <w:rPr>
                <w:sz w:val="10"/>
              </w:rPr>
            </w:r>
          </w:p>
          <w:p>
            <w:r>
              <w:rPr>
                <w:b w:val="0"/>
                <w:i w:val="0"/>
                <w:color w:val="17365D"/>
                <w:sz w:val="18"/>
                <w:u w:val="none"/>
              </w:rPr>
              <w:t xml:space="preserve">• </w:t>
            </w:r>
            <w:r>
              <w:rPr>
                <w:b w:val="0"/>
                <w:i w:val="0"/>
                <w:color w:val="17365D"/>
                <w:sz w:val="18"/>
                <w:u w:val="single"/>
              </w:rPr>
              <w:t>Países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: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O portal deve operar para todos os países atendidos;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As alterações de servidor ficam nos projetos compartilhados, sem replicação por país;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Toda consulta deve ser delimitada por país e por grupo, para não cruzar dados entre países ou entre clientes;</w:t>
            </w:r>
          </w:p>
          <w:p>
            <w:pPr>
              <w:spacing w:after="0"/>
            </w:pPr>
            <w:r>
              <w:rPr>
                <w:sz w:val="10"/>
              </w:rPr>
            </w:r>
          </w:p>
          <w:p>
            <w:r>
              <w:rPr>
                <w:b w:val="0"/>
                <w:i w:val="0"/>
                <w:color w:val="17365D"/>
                <w:sz w:val="18"/>
                <w:u w:val="none"/>
              </w:rPr>
              <w:t xml:space="preserve">• </w:t>
            </w:r>
            <w:r>
              <w:rPr>
                <w:b w:val="0"/>
                <w:i w:val="0"/>
                <w:color w:val="17365D"/>
                <w:sz w:val="18"/>
                <w:u w:val="single"/>
              </w:rPr>
              <w:t>Validações e Alertas do Sistema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:</w:t>
            </w:r>
          </w:p>
          <w:p>
            <w:pPr>
              <w:spacing w:after="0"/>
            </w:pPr>
            <w:r>
              <w:rPr>
                <w:sz w:val="8"/>
              </w:rPr>
            </w:r>
          </w:p>
          <w:p>
            <w:r>
              <w:rPr>
                <w:b/>
                <w:i w:val="0"/>
                <w:color w:val="17365D"/>
                <w:sz w:val="18"/>
                <w:u w:val="none"/>
              </w:rPr>
              <w:t>Casos de Sucesso: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Ao finalizar o cadastro, o sistema apresenta o número do sinistro ao usuário e notifica a Crawford;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Alteração aceita é confirmada em tela, se mantém ao recarregar e fica registrada no histórico de alterações;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Ao solicitar a recuperação, o usuário recebe no e-mail cadastrado o link para definir a nova senha;</w:t>
            </w:r>
          </w:p>
          <w:p>
            <w:pPr>
              <w:spacing w:after="0"/>
            </w:pPr>
            <w:r>
              <w:rPr>
                <w:sz w:val="8"/>
              </w:rPr>
            </w:r>
          </w:p>
          <w:p>
            <w:r>
              <w:rPr>
                <w:b/>
                <w:i w:val="0"/>
                <w:color w:val="17365D"/>
                <w:sz w:val="18"/>
                <w:u w:val="none"/>
              </w:rPr>
              <w:t>Caso de Erro: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Campo obrigatório não preenchido bloqueia o avanço da etapa e é sinalizado em tela;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Tentativa de alterar campo não autorizado é recusada pelo servidor, mesmo partindo de fora da tela, e o usuário é informado sem perder o preenchimento;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Falha ao gravar o registro de alteração impede a alteração, em vez de alterar sem rastro;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Falha no envio de documento é sinalizada e permite nova tentativa;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Configuração de campos inválida não derruba a tela; o portal opera com os campos fixos;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Link de redefinição expirado ou já usado é informado, com orientação para nova solicitação;</w:t>
            </w:r>
          </w:p>
          <w:p>
            <w:pPr>
              <w:tabs>
                <w:tab w:pos="936" w:val="left"/>
              </w:tabs>
              <w:spacing w:after="30"/>
              <w:ind w:left="936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Documento não encontrado na busca de pessoa só gera cadastro novo mediante confirmação explícita;</w:t>
            </w:r>
          </w:p>
          <w:p>
            <w:pPr>
              <w:spacing w:after="0"/>
            </w:pPr>
            <w:r>
              <w:rPr>
                <w:sz w:val="12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10800"/>
      </w:tblGrid>
      <w:tr>
        <w:tc>
          <w:tcPr>
            <w:tcW w:type="dxa" w:w="10800"/>
            <w:shd w:val="clear" w:color="auto" w:fill="D9D9D9"/>
          </w:tcPr>
          <w:p>
            <w:pPr>
              <w:keepNext/>
              <w:spacing w:before="60" w:after="60"/>
            </w:pPr>
            <w:r>
              <w:rPr>
                <w:b/>
                <w:i w:val="0"/>
                <w:color w:val="2C3E50"/>
                <w:sz w:val="18"/>
                <w:u w:val="none"/>
              </w:rPr>
              <w:t>7. REQUISITOS NÃO FUNCIONAIS</w:t>
            </w:r>
          </w:p>
        </w:tc>
      </w:tr>
      <w:tr>
        <w:tc>
          <w:tcPr>
            <w:tcW w:type="dxa" w:w="10800"/>
          </w:tcPr>
          <w:p>
            <w:pPr>
              <w:tabs>
                <w:tab w:pos="432" w:val="left"/>
              </w:tabs>
              <w:spacing w:after="30"/>
              <w:ind w:left="432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/>
                <w:i w:val="0"/>
                <w:color w:val="17365D"/>
                <w:sz w:val="18"/>
                <w:u w:val="none"/>
              </w:rPr>
              <w:t xml:space="preserve">Segurança: 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autorização de edição e de visibilidade validada no servidor; revisão de segurança do endpoint de edição antes da publicação;</w:t>
            </w:r>
          </w:p>
          <w:p>
            <w:pPr>
              <w:tabs>
                <w:tab w:pos="432" w:val="left"/>
              </w:tabs>
              <w:spacing w:after="30"/>
              <w:ind w:left="432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/>
                <w:i w:val="0"/>
                <w:color w:val="17365D"/>
                <w:sz w:val="18"/>
                <w:u w:val="none"/>
              </w:rPr>
              <w:t xml:space="preserve">Rastreabilidade: 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registro de toda alteração feita pelo portal externo;</w:t>
            </w:r>
          </w:p>
          <w:p>
            <w:pPr>
              <w:tabs>
                <w:tab w:pos="432" w:val="left"/>
              </w:tabs>
              <w:spacing w:after="30"/>
              <w:ind w:left="432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/>
                <w:i w:val="0"/>
                <w:color w:val="17365D"/>
                <w:sz w:val="18"/>
                <w:u w:val="none"/>
              </w:rPr>
              <w:t xml:space="preserve">Idiomas: 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as telas do novo portal devem estar traduzidas nos oito idiomas atendidos, sem chave de tradução faltando;</w:t>
            </w:r>
          </w:p>
          <w:p>
            <w:pPr>
              <w:tabs>
                <w:tab w:pos="432" w:val="left"/>
              </w:tabs>
              <w:spacing w:after="30"/>
              <w:ind w:left="432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/>
                <w:i w:val="0"/>
                <w:color w:val="17365D"/>
                <w:sz w:val="18"/>
                <w:u w:val="none"/>
              </w:rPr>
              <w:t xml:space="preserve">Compatibilidade: 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nenhum dos três portais existentes (interno, externo e segurado) pode mudar de comportamento;</w:t>
            </w:r>
          </w:p>
          <w:p>
            <w:pPr>
              <w:tabs>
                <w:tab w:pos="432" w:val="left"/>
              </w:tabs>
              <w:spacing w:after="30"/>
              <w:ind w:left="432" w:hanging="259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</w:t>
              <w:tab/>
            </w:r>
            <w:r>
              <w:rPr>
                <w:b/>
                <w:i w:val="0"/>
                <w:color w:val="17365D"/>
                <w:sz w:val="18"/>
                <w:u w:val="none"/>
              </w:rPr>
              <w:t xml:space="preserve">Manutenção: </w:t>
            </w:r>
            <w:r>
              <w:rPr>
                <w:b w:val="0"/>
                <w:i w:val="0"/>
                <w:color w:val="17365D"/>
                <w:sz w:val="18"/>
                <w:u w:val="none"/>
              </w:rPr>
              <w:t>nenhum identificador de cliente, de pasta de anexo ou de unidade escrito no código do novo portal;</w:t>
            </w:r>
          </w:p>
          <w:p>
            <w:pPr>
              <w:spacing w:after="0"/>
            </w:pPr>
            <w:r>
              <w:rPr>
                <w:sz w:val="8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3671"/>
        <w:gridCol w:w="3816"/>
        <w:gridCol w:w="3311"/>
      </w:tblGrid>
      <w:tr>
        <w:tc>
          <w:tcPr>
            <w:tcW w:type="dxa" w:w="10800"/>
            <w:gridSpan w:val="3"/>
            <w:shd w:val="clear" w:color="auto" w:fill="D9D9D9"/>
          </w:tcPr>
          <w:p>
            <w:pPr>
              <w:keepNext/>
              <w:spacing w:before="60" w:after="60"/>
            </w:pPr>
            <w:r>
              <w:rPr>
                <w:b/>
                <w:i w:val="0"/>
                <w:color w:val="2C3E50"/>
                <w:sz w:val="18"/>
                <w:u w:val="none"/>
              </w:rPr>
              <w:t>8. AMBIENTE E DEPENDÊNCIAS</w:t>
            </w:r>
          </w:p>
        </w:tc>
      </w:tr>
      <w:tr>
        <w:tc>
          <w:tcPr>
            <w:tcW w:type="dxa" w:w="3672"/>
            <w:shd w:val="clear" w:color="auto" w:fill="DCE6F1"/>
          </w:tcPr>
          <w:p>
            <w:pPr>
              <w:jc w:val="center"/>
            </w:pPr>
            <w:r>
              <w:rPr>
                <w:b/>
                <w:i w:val="0"/>
                <w:color w:val="333333"/>
                <w:sz w:val="16"/>
                <w:u w:val="none"/>
              </w:rPr>
              <w:t>SISTEMAS | INTEGRAÇÕES | ARQUIVOS</w:t>
            </w:r>
          </w:p>
        </w:tc>
        <w:tc>
          <w:tcPr>
            <w:tcW w:type="dxa" w:w="3816"/>
            <w:shd w:val="clear" w:color="auto" w:fill="DCE6F1"/>
          </w:tcPr>
          <w:p>
            <w:pPr>
              <w:jc w:val="center"/>
            </w:pPr>
            <w:r>
              <w:rPr>
                <w:b/>
                <w:i w:val="0"/>
                <w:color w:val="333333"/>
                <w:sz w:val="16"/>
                <w:u w:val="none"/>
              </w:rPr>
              <w:t>CANAIS DE ENTRADA</w:t>
            </w:r>
          </w:p>
        </w:tc>
        <w:tc>
          <w:tcPr>
            <w:tcW w:type="dxa" w:w="3312"/>
            <w:shd w:val="clear" w:color="auto" w:fill="DCE6F1"/>
          </w:tcPr>
          <w:p>
            <w:pPr>
              <w:jc w:val="center"/>
            </w:pPr>
            <w:r>
              <w:rPr>
                <w:b/>
                <w:i w:val="0"/>
                <w:color w:val="333333"/>
                <w:sz w:val="16"/>
                <w:u w:val="none"/>
              </w:rPr>
              <w:t>ENTREGÁVEIS OU RESULTADOS</w:t>
            </w:r>
          </w:p>
        </w:tc>
      </w:tr>
      <w:tr>
        <w:trPr>
          <w:trHeight w:val="1440"/>
        </w:trPr>
        <w:tc>
          <w:tcPr>
            <w:tcW w:type="dxa" w:w="3672"/>
          </w:tcPr>
          <w:p>
            <w:pPr>
              <w:ind w:left="216" w:hanging="173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 BRS Cloud (sistema interno)</w:t>
            </w:r>
          </w:p>
          <w:p>
            <w:pPr>
              <w:ind w:left="216" w:hanging="173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 Portal externo atual</w:t>
            </w:r>
          </w:p>
          <w:p>
            <w:pPr>
              <w:ind w:left="216" w:hanging="173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 Portal external2</w:t>
            </w:r>
          </w:p>
          <w:p>
            <w:pPr>
              <w:ind w:left="216" w:hanging="173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 API compartilhada entre países</w:t>
            </w:r>
          </w:p>
          <w:p>
            <w:pPr>
              <w:ind w:left="216" w:hanging="173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 Infraestrutura de envio de e-mail</w:t>
            </w:r>
          </w:p>
        </w:tc>
        <w:tc>
          <w:tcPr>
            <w:tcW w:type="dxa" w:w="3816"/>
          </w:tcPr>
          <w:p>
            <w:pPr>
              <w:ind w:left="216" w:hanging="173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 Reunião de definição do projeto</w:t>
            </w:r>
          </w:p>
          <w:p>
            <w:pPr>
              <w:ind w:left="216" w:hanging="173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 Levantamento de campos por cliente (Crawford)</w:t>
            </w:r>
          </w:p>
          <w:p>
            <w:pPr>
              <w:ind w:left="216" w:hanging="173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 Definição visual (Crawford)</w:t>
            </w:r>
          </w:p>
        </w:tc>
        <w:tc>
          <w:tcPr>
            <w:tcW w:type="dxa" w:w="3312"/>
          </w:tcPr>
          <w:p>
            <w:pPr>
              <w:ind w:left="216" w:hanging="173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 Portal external2 publicado em endereço próprio</w:t>
            </w:r>
          </w:p>
          <w:p>
            <w:pPr>
              <w:ind w:left="216" w:hanging="173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 Tela de parametrização de campos por grupo</w:t>
            </w:r>
          </w:p>
          <w:p>
            <w:pPr>
              <w:ind w:left="216" w:hanging="173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 Cliente piloto migrado</w:t>
            </w:r>
          </w:p>
          <w:p>
            <w:pPr>
              <w:ind w:left="216" w:hanging="173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▪ Reports semanais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30" w:type="dxa"/>
          <w:left w:w="70" w:type="dxa"/>
          <w:bottom w:w="30" w:type="dxa"/>
          <w:right w:w="70" w:type="dxa"/>
        </w:tblCellMar>
      </w:tblPr>
      <w:tblGrid>
        <w:gridCol w:w="2088"/>
        <w:gridCol w:w="1655"/>
        <w:gridCol w:w="1872"/>
        <w:gridCol w:w="5184"/>
      </w:tblGrid>
      <w:tr>
        <w:tc>
          <w:tcPr>
            <w:tcW w:type="dxa" w:w="10800"/>
            <w:gridSpan w:val="4"/>
            <w:shd w:val="clear" w:color="auto" w:fill="D9D9D9"/>
          </w:tcPr>
          <w:p>
            <w:pPr>
              <w:keepNext/>
              <w:spacing w:before="60" w:after="60"/>
            </w:pPr>
            <w:r>
              <w:rPr>
                <w:b/>
                <w:i w:val="0"/>
                <w:color w:val="2C3E50"/>
                <w:sz w:val="18"/>
                <w:u w:val="none"/>
              </w:rPr>
              <w:t>9. APROVAÇÃO DO USUÁRIO.</w:t>
            </w:r>
          </w:p>
        </w:tc>
      </w:tr>
      <w:tr>
        <w:tc>
          <w:tcPr>
            <w:tcW w:type="dxa" w:w="2088"/>
            <w:shd w:val="clear" w:color="auto" w:fill="DCE6F1"/>
          </w:tcPr>
          <w:p>
            <w:pPr>
              <w:jc w:val="center"/>
            </w:pPr>
            <w:r>
              <w:rPr>
                <w:b/>
                <w:i w:val="0"/>
                <w:color w:val="333333"/>
                <w:sz w:val="16"/>
                <w:u w:val="none"/>
              </w:rPr>
              <w:t>Nome</w:t>
            </w:r>
          </w:p>
        </w:tc>
        <w:tc>
          <w:tcPr>
            <w:tcW w:type="dxa" w:w="1656"/>
            <w:shd w:val="clear" w:color="auto" w:fill="DCE6F1"/>
          </w:tcPr>
          <w:p>
            <w:pPr>
              <w:jc w:val="center"/>
            </w:pPr>
            <w:r>
              <w:rPr>
                <w:b/>
                <w:i w:val="0"/>
                <w:color w:val="333333"/>
                <w:sz w:val="16"/>
                <w:u w:val="none"/>
              </w:rPr>
              <w:t>Ação</w:t>
            </w:r>
          </w:p>
        </w:tc>
        <w:tc>
          <w:tcPr>
            <w:tcW w:type="dxa" w:w="1872"/>
            <w:shd w:val="clear" w:color="auto" w:fill="DCE6F1"/>
          </w:tcPr>
          <w:p>
            <w:pPr>
              <w:jc w:val="center"/>
            </w:pPr>
            <w:r>
              <w:rPr>
                <w:b/>
                <w:i w:val="0"/>
                <w:color w:val="333333"/>
                <w:sz w:val="16"/>
                <w:u w:val="none"/>
              </w:rPr>
              <w:t>Data de aprovação</w:t>
            </w:r>
          </w:p>
        </w:tc>
        <w:tc>
          <w:tcPr>
            <w:tcW w:type="dxa" w:w="5184"/>
            <w:shd w:val="clear" w:color="auto" w:fill="DCE6F1"/>
          </w:tcPr>
          <w:p>
            <w:pPr>
              <w:jc w:val="center"/>
            </w:pPr>
            <w:r>
              <w:rPr>
                <w:b/>
                <w:i w:val="0"/>
                <w:color w:val="333333"/>
                <w:sz w:val="16"/>
                <w:u w:val="none"/>
              </w:rPr>
              <w:t>Evidências</w:t>
            </w:r>
          </w:p>
        </w:tc>
      </w:tr>
      <w:tr>
        <w:trPr>
          <w:trHeight w:val="1728"/>
        </w:trPr>
        <w:tc>
          <w:tcPr>
            <w:tcW w:type="dxa" w:w="2088"/>
          </w:tcPr>
          <w:p/>
        </w:tc>
        <w:tc>
          <w:tcPr>
            <w:tcW w:type="dxa" w:w="1656"/>
          </w:tcPr>
          <w:p>
            <w:pPr>
              <w:spacing w:after="200"/>
            </w:pPr>
            <w:r>
              <w:rPr>
                <w:b w:val="0"/>
                <w:i w:val="0"/>
                <w:color w:val="17365D"/>
                <w:sz w:val="18"/>
                <w:u w:val="none"/>
              </w:rPr>
              <w:t>☐ Aprovar</w:t>
            </w:r>
          </w:p>
          <w:p>
            <w:r>
              <w:rPr>
                <w:b w:val="0"/>
                <w:i w:val="0"/>
                <w:color w:val="17365D"/>
                <w:sz w:val="18"/>
                <w:u w:val="none"/>
              </w:rPr>
              <w:t>☐ Rejeitar</w:t>
            </w:r>
          </w:p>
        </w:tc>
        <w:tc>
          <w:tcPr>
            <w:tcW w:type="dxa" w:w="1872"/>
          </w:tcPr>
          <w:p/>
        </w:tc>
        <w:tc>
          <w:tcPr>
            <w:tcW w:type="dxa" w:w="5184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368" w:right="720" w:bottom="1296" w:left="720" w:header="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0"/>
      <w:jc w:val="center"/>
    </w:pPr>
    <w:r>
      <w:rPr>
        <w:b w:val="0"/>
        <w:i w:val="0"/>
        <w:color w:val="17365D"/>
        <w:sz w:val="18"/>
        <w:u w:val="none"/>
      </w:rPr>
      <w:t xml:space="preserve">Page </w:t>
    </w:r>
    <w:r>
      <w:rPr>
        <w:color w:val="17365D"/>
        <w:sz w:val="18"/>
      </w:rPr>
      <w:fldChar w:fldCharType="begin"/>
    </w:r>
    <w:r>
      <w:rPr>
        <w:color w:val="17365D"/>
        <w:sz w:val="18"/>
      </w:rPr>
      <w:instrText xml:space="preserve"> PAGE </w:instrText>
    </w:r>
    <w:r>
      <w:rPr>
        <w:color w:val="17365D"/>
        <w:sz w:val="18"/>
      </w:rPr>
      <w:fldChar w:fldCharType="separate"/>
    </w:r>
    <w:r>
      <w:rPr>
        <w:color w:val="17365D"/>
        <w:sz w:val="18"/>
      </w:rPr>
      <w:t>1</w:t>
    </w:r>
    <w:r>
      <w:rPr>
        <w:color w:val="17365D"/>
        <w:sz w:val="18"/>
      </w:rPr>
      <w:fldChar w:fldCharType="end"/>
    </w:r>
    <w:r>
      <w:rPr>
        <w:b w:val="0"/>
        <w:i w:val="0"/>
        <w:color w:val="17365D"/>
        <w:sz w:val="18"/>
        <w:u w:val="none"/>
      </w:rPr>
      <w:t xml:space="preserve"> | </w:t>
    </w:r>
    <w:r>
      <w:rPr>
        <w:color w:val="17365D"/>
        <w:sz w:val="18"/>
      </w:rPr>
      <w:fldChar w:fldCharType="begin"/>
    </w:r>
    <w:r>
      <w:rPr>
        <w:color w:val="17365D"/>
        <w:sz w:val="18"/>
      </w:rPr>
      <w:instrText xml:space="preserve"> NUMPAGES </w:instrText>
    </w:r>
    <w:r>
      <w:rPr>
        <w:color w:val="17365D"/>
        <w:sz w:val="18"/>
      </w:rPr>
      <w:fldChar w:fldCharType="separate"/>
    </w:r>
    <w:r>
      <w:rPr>
        <w:color w:val="17365D"/>
        <w:sz w:val="18"/>
      </w:rPr>
      <w:t>1</w:t>
    </w:r>
    <w:r>
      <w:rPr>
        <w:color w:val="17365D"/>
        <w:sz w:val="18"/>
      </w:rPr>
      <w:fldChar w:fldCharType="end"/>
    </w:r>
  </w:p>
  <w:p>
    <w:pPr>
      <w:pBdr>
        <w:bottom w:val="single" w:sz="18" w:space="4" w:color="5B8FD6"/>
      </w:pBdr>
    </w:pPr>
    <w:r>
      <w:rPr>
        <w:rFonts w:ascii="Calibri" w:hAnsi="Calibri" w:eastAsia="Calibri"/>
        <w:b/>
        <w:i w:val="0"/>
        <w:color w:val="0F243E"/>
        <w:sz w:val="18"/>
        <w:u w:val="none"/>
      </w:rPr>
      <w:t>CRAWFORD</w:t>
    </w:r>
    <w:r>
      <w:rPr>
        <w:b/>
        <w:i w:val="0"/>
        <w:color w:val="333333"/>
        <w:sz w:val="16"/>
        <w:u w:val="none"/>
      </w:rPr>
      <w:t xml:space="preserve"> | </w:t>
    </w:r>
    <w:r>
      <w:rPr>
        <w:rFonts w:ascii="Calibri" w:hAnsi="Calibri" w:eastAsia="Calibri"/>
        <w:b/>
        <w:i w:val="0"/>
        <w:color w:val="0F243E"/>
        <w:sz w:val="18"/>
        <w:u w:val="none"/>
      </w:rPr>
      <w:t>SISTEMAS LATAM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left="-720" w:right="-720"/>
    </w:pPr>
    <w:r>
      <w:drawing>
        <wp:inline xmlns:a="http://schemas.openxmlformats.org/drawingml/2006/main" xmlns:pic="http://schemas.openxmlformats.org/drawingml/2006/picture">
          <wp:extent cx="7772400" cy="66105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66105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Soluções - Portal Externo BRS Cloud</dc:title>
  <dc:subject/>
  <dc:creator>Nelson Diniz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