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36"/>
        </w:rPr>
        <w:t>LTDEV-2 – Integração Outlook X BRS Cloud</w:t>
      </w:r>
    </w:p>
    <w:p>
      <w:r>
        <w:rPr>
          <w:b/>
          <w:color w:val="E36C09"/>
          <w:sz w:val="26"/>
        </w:rPr>
        <w:t>Pull requests, ordem de merge e implantação</w:t>
      </w:r>
    </w:p>
    <w:p>
      <w:r>
        <w:t>Situação em 08/10/2026. Documento de apoio à revisão e ao merge da entrega do LTDEV-2 (cards 1 a 6). A análise completa, com o que foi desenvolvido, os testes e as evidências, está no documento "LTDEV-2 - Integração Outlook X BRS Cloud - preenchido".</w:t>
      </w:r>
    </w:p>
    <w:p>
      <w:pPr>
        <w:spacing w:before="240"/>
      </w:pPr>
      <w:r>
        <w:rPr>
          <w:b/>
          <w:color w:val="E36C09"/>
          <w:sz w:val="26"/>
        </w:rPr>
        <w:t>1. Pull requests abertos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shd w:val="clear" w:color="auto" w:fill="1F3A6E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871"/>
            <w:shd w:val="clear" w:color="auto" w:fill="1F3A6E"/>
          </w:tcPr>
          <w:p>
            <w:r/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1701"/>
            <w:shd w:val="clear" w:color="auto" w:fill="1F3A6E"/>
          </w:tcPr>
          <w:p>
            <w:r/>
            <w:r>
              <w:rPr>
                <w:b/>
                <w:color w:val="FFFFFF"/>
                <w:sz w:val="18"/>
              </w:rPr>
              <w:t>Branch → base</w:t>
            </w:r>
          </w:p>
        </w:tc>
        <w:tc>
          <w:tcPr>
            <w:tcW w:type="dxa" w:w="3061"/>
            <w:shd w:val="clear" w:color="auto" w:fill="1F3A6E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1757"/>
            <w:shd w:val="clear" w:color="auto" w:fill="1F3A6E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#64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Crawford-Framework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LTDEV-2 → main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Contrato IndexacaoEmailModel (mensagem compartilhada entre o microsserviço e o backend)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Sem conflito. Aguarda revisão.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#337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BRSCloud-Backend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LTDEV-2 → main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Cards 1 a 5: consumidor da fila, gravação dos anexos, data do card 5, scripts SQL, exportação e tags, correções do teste ao vivo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Sem conflito (main incorporado em 08/10). Aprovado em 09/09 com os cards 1 e 2; recebeu commits novos – pode exigir nova aprovação.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#332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BRSCloud-Frontend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LTDEV-2 → main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Campo "Comunicação/E-mail Recebido" na cronologia, tela inicial, Exportar dados e lista de tags (8 idiomas)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Sem conflito. Aguarda revisão.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#2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Service-ClaimEmailAutomation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LTDEV-2 → main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Correções do teste ao vivo (nome do arquivo, pastas na Caixa de Entrada, sinistro cancelado) e guia de configuração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Sem conflito. Aguarda revisão.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#358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BRSCloud-Backend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LTDEV-2-card6 → LTDEV-2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Card 6: aviso ao regulador principal sobre e-mail indexado; coluna EmailIndexingAlertBox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Sem conflito. Depende do #337.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#1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Service-ClaimEmailAutomation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LTDEV-2-card6 → LTDEV-2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Card 6: aviso de erro crítico por e-mail, com agrupamento das repetições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Sem conflito. Depende do #2.</w:t>
            </w:r>
          </w:p>
        </w:tc>
      </w:tr>
    </w:tbl>
    <w:p>
      <w:r/>
    </w:p>
    <w:p>
      <w:r>
        <w:rPr>
          <w:b/>
        </w:rPr>
        <w:t>Links:</w:t>
      </w:r>
      <w:r/>
    </w:p>
    <w:p>
      <w:pPr>
        <w:pStyle w:val="ListBullet"/>
      </w:pPr>
      <w:r>
        <w:t>Backend #337 – https://github.com/crawfordbrasil/BRSCloud-Backend/pull/337</w:t>
      </w:r>
    </w:p>
    <w:p>
      <w:pPr>
        <w:pStyle w:val="ListBullet"/>
      </w:pPr>
      <w:r>
        <w:t>Backend #358 – https://github.com/crawfordbrasil/BRSCloud-Backend/pull/358</w:t>
      </w:r>
    </w:p>
    <w:p>
      <w:pPr>
        <w:pStyle w:val="ListBullet"/>
      </w:pPr>
      <w:r>
        <w:t>Serviço #2 – https://github.com/crawfordbrasil/Service-ClaimEmailAutomation/pull/2</w:t>
      </w:r>
    </w:p>
    <w:p>
      <w:pPr>
        <w:pStyle w:val="ListBullet"/>
      </w:pPr>
      <w:r>
        <w:t>Serviço #1 – https://github.com/crawfordbrasil/Service-ClaimEmailAutomation/pull/1</w:t>
      </w:r>
    </w:p>
    <w:p>
      <w:pPr>
        <w:pStyle w:val="ListBullet"/>
      </w:pPr>
      <w:r>
        <w:t>Frontend #332 – https://github.com/crawfordbrasil/BRSCloud-Frontend/pull/332</w:t>
      </w:r>
    </w:p>
    <w:p>
      <w:pPr>
        <w:pStyle w:val="ListBullet"/>
      </w:pPr>
      <w:r>
        <w:t>Framework #64 – https://github.com/crawfordbrasil/Crawford-Framework/pull/64</w:t>
      </w:r>
    </w:p>
    <w:p>
      <w:r>
        <w:t>O repositório Service-ClaimEmailAutomation foi criado para o LTDEV-2: a branch LTDEV-2 inicial (microsserviço dos cards 1 a 5) foi renomeada para main; o #2 traz as correções feitas depois.</w:t>
      </w:r>
    </w:p>
    <w:p>
      <w:pPr>
        <w:spacing w:before="240"/>
      </w:pPr>
      <w:r>
        <w:rPr>
          <w:b/>
          <w:color w:val="E36C09"/>
          <w:sz w:val="26"/>
        </w:rPr>
        <w:t>2. Ordem de merge sugerida</w:t>
      </w:r>
    </w:p>
    <w:p>
      <w:pPr>
        <w:pStyle w:val="ListNumber"/>
      </w:pPr>
      <w:r>
        <w:t>Crawford-Framework #64 – LTDEV-2 → main (o backend e o microsserviço usam o contrato).</w:t>
      </w:r>
    </w:p>
    <w:p>
      <w:pPr>
        <w:pStyle w:val="ListNumber"/>
      </w:pPr>
      <w:r>
        <w:t>BRSCloud-Backend #337 – LTDEV-2 → main.</w:t>
      </w:r>
    </w:p>
    <w:p>
      <w:pPr>
        <w:pStyle w:val="ListNumber"/>
      </w:pPr>
      <w:r>
        <w:t>BRSCloud-Frontend #332 – LTDEV-2 → main.</w:t>
      </w:r>
    </w:p>
    <w:p>
      <w:pPr>
        <w:pStyle w:val="ListNumber"/>
      </w:pPr>
      <w:r>
        <w:t>Service-ClaimEmailAutomation #2 – LTDEV-2 → main.</w:t>
      </w:r>
    </w:p>
    <w:p>
      <w:pPr>
        <w:pStyle w:val="ListNumber"/>
      </w:pPr>
      <w:r>
        <w:t>Card 6: BRSCloud-Backend #358 e Service-ClaimEmailAutomation #1 (ver item 3).</w:t>
      </w:r>
    </w:p>
    <w:p>
      <w:pPr>
        <w:spacing w:before="240"/>
      </w:pPr>
      <w:r>
        <w:rPr>
          <w:b/>
          <w:color w:val="E36C09"/>
          <w:sz w:val="26"/>
        </w:rPr>
        <w:t>3. PRs do card 6 (#358 e #1)</w:t>
      </w:r>
    </w:p>
    <w:p>
      <w:r>
        <w:t>Os dois estão com base na branch LTDEV-2 do próprio repositório, para a revisão mostrar só as mudanças do card 6. Depois que a LTDEV-2 de cada repositório for mesclada no main:</w:t>
      </w:r>
    </w:p>
    <w:p>
      <w:pPr>
        <w:pStyle w:val="ListBullet"/>
      </w:pPr>
      <w:r>
        <w:t>se a branch LTDEV-2 for apagada após o merge, o GitHub troca a base do PR do card 6 para main automaticamente;</w:t>
      </w:r>
    </w:p>
    <w:p>
      <w:pPr>
        <w:pStyle w:val="ListBullet"/>
      </w:pPr>
      <w:r>
        <w:t>se a branch for mantida, abrir o PR, clicar em "Edit" ao lado do título e trocar a base para main.</w:t>
      </w:r>
    </w:p>
    <w:p>
      <w:r>
        <w:t>Ajustes pedidos na revisão entram por push na branch do próprio PR, sem abrir PR novo.</w:t>
      </w:r>
    </w:p>
    <w:p>
      <w:pPr>
        <w:spacing w:before="240"/>
      </w:pPr>
      <w:r>
        <w:rPr>
          <w:b/>
          <w:color w:val="E36C09"/>
          <w:sz w:val="26"/>
        </w:rPr>
        <w:t>4. Implantação (homologação / produção)</w:t>
      </w:r>
    </w:p>
    <w:p>
      <w:r>
        <w:rPr>
          <w:b/>
        </w:rPr>
        <w:t>Scripts de banco</w:t>
      </w:r>
      <w:r>
        <w:t xml:space="preserve"> (OneCrawford.Infra.Database.SqlServer/_executar/), nesta ordem:</w:t>
      </w:r>
    </w:p>
    <w:p>
      <w:pPr>
        <w:pStyle w:val="ListNumber"/>
      </w:pPr>
      <w:r>
        <w:t>DEVLATAM-523 OneCrawfordDB.sql – pré-requisito (ParameterRoot.CountryCode), se ainda não executado.</w:t>
      </w:r>
    </w:p>
    <w:p>
      <w:pPr>
        <w:pStyle w:val="ListNumber"/>
      </w:pPr>
      <w:r>
        <w:t>LTDEV-2 OneCrawfordDB.sql – colunas novas (cronologia, idempotência, parametrização por país e, com o card 6, EmailIndexingAlertBox).</w:t>
      </w:r>
    </w:p>
    <w:p>
      <w:pPr>
        <w:pStyle w:val="ListNumber"/>
      </w:pPr>
      <w:r>
        <w:t>LTDEV-2 Index OneCrawfordDB.sql – índice filtrado; rodar em horário de baixo tráfego.</w:t>
      </w:r>
    </w:p>
    <w:p>
      <w:pPr>
        <w:pStyle w:val="ListNumber"/>
      </w:pPr>
      <w:r>
        <w:t>LTDEV-2 LocalizationsDB.sql – banco de Localizations (8 idiomas).</w:t>
      </w:r>
    </w:p>
    <w:p>
      <w:pPr>
        <w:pStyle w:val="ListNumber"/>
      </w:pPr>
      <w:r>
        <w:t>LTDEV-2 Exportacao e Tags OneCrawfordDB.sql – campo do card 5 no Exportar dados e nas tags (altera as views a partir da definição do próprio ambiente).</w:t>
      </w:r>
    </w:p>
    <w:p>
      <w:r>
        <w:t>Todos são idempotentes e têm o bloco de reversão no próprio script.</w:t>
      </w:r>
    </w:p>
    <w:p>
      <w:r/>
    </w:p>
    <w:p>
      <w:r>
        <w:t>Depois dos scripts: deploy do backend e do frontend, preenchimento do ParameterRoot do país (caixa, grupo de tratamento manual, retenção, domínios internos e, no card 6, EmailIndexingAlertBox) e instalação do microsserviço. Passo a passo completo em Service-ClaimEmailAutomation/CodeReview/CONFIGURACAO_MANUAL.txt.</w:t>
      </w:r>
    </w:p>
    <w:p>
      <w:pPr>
        <w:spacing w:before="240"/>
      </w:pPr>
      <w:r>
        <w:rPr>
          <w:b/>
          <w:color w:val="E36C09"/>
          <w:sz w:val="26"/>
        </w:rPr>
        <w:t>5. Pontos de atenção para homologação</w:t>
      </w:r>
    </w:p>
    <w:p>
      <w:pPr>
        <w:pStyle w:val="ListBullet"/>
      </w:pPr>
      <w:r>
        <w:t>No Brasil (hasFile/hasFinance = 0), a gravação do anexo e da cronologia depende do serviço de integração do país responder – o mesmo usado pelo upload e pela edição da cronologia na tela.</w:t>
      </w:r>
    </w:p>
    <w:p>
      <w:pPr>
        <w:pStyle w:val="ListBullet"/>
      </w:pPr>
      <w:r>
        <w:t>O usuário de serviço do consumidor é identificado pelo UniqueId (GUID) do usr.UserX e precisa de acesso a todas as operações do país.</w:t>
      </w:r>
    </w:p>
    <w:p>
      <w:pPr>
        <w:pStyle w:val="ListBullet"/>
      </w:pPr>
      <w:r>
        <w:t>A pasta compartilhada precisa ter o mesmo caminho para o microsserviço e para a API (Files.Temp).</w:t>
      </w:r>
    </w:p>
    <w:p>
      <w:pPr>
        <w:pStyle w:val="ListBullet"/>
      </w:pPr>
      <w:r>
        <w:t>Card 6: Service-Email ativo (aviso ao regulador), SMTP do país no ParameterRoot e AppSettings.Secret no microsserviço (aviso de erro crítico); regulador principal com e-mail cadastrado.</w:t>
      </w:r>
    </w:p>
    <w:p>
      <w:pPr>
        <w:pStyle w:val="ListBullet"/>
      </w:pPr>
      <w:r>
        <w:t>Testes obrigatórios de cadastro de sinistro (BRS Cloud e ferramenta externa): não executados no ambiente local (cópia reduzida do banco); regressão a cargo do QA em homologação.</w:t>
      </w:r>
    </w:p>
    <w:p>
      <w:pPr>
        <w:pStyle w:val="ListBullet"/>
      </w:pPr>
      <w:r>
        <w:t>URL de teste: https://test-brscloud.crawfordbrasil.com.br/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