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LTDEV-2 – Passo a passo de configuração</w:t>
      </w:r>
    </w:p>
    <w:p>
      <w:pPr>
        <w:spacing w:after="120"/>
      </w:pPr>
      <w:r>
        <w:t>Indexação automática de e-mails (EmailIndexingService). Roteiro para configurar o ambiente de teste a partir dos repositórios já baixados. Nomes de scripts, tabelas e colunas conforme a branch staging-latam.</w:t>
      </w:r>
    </w:p>
    <w:p>
      <w:pPr>
        <w:pStyle w:val="Heading1"/>
      </w:pPr>
      <w:r>
        <w:rPr>
          <w:rFonts w:ascii="Calibri" w:hAnsi="Calibri"/>
          <w:color w:val="1F3A5F"/>
        </w:rPr>
        <w:t>1. Branches e compilação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</w:rPr>
              <w:t>Repositório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</w:rPr>
              <w:t>Branch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C:\Projetos\BRSCloud-Backend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staging-latam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C:\Projetos\Crawford-Framework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main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C:\Projetos\Service-ClaimEmailAutomation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main</w:t>
            </w:r>
          </w:p>
        </w:tc>
      </w:tr>
    </w:tbl>
    <w:p>
      <w:pPr>
        <w:spacing w:after="40"/>
      </w:pPr>
    </w:p>
    <w:p>
      <w:pPr>
        <w:spacing w:after="40"/>
        <w:ind w:left="510" w:hanging="283"/>
      </w:pPr>
      <w:r>
        <w:t xml:space="preserve">1. </w:t>
      </w:r>
      <w:r>
        <w:t xml:space="preserve">Fazer </w:t>
      </w:r>
      <w:r>
        <w:rPr>
          <w:rFonts w:ascii="Consolas" w:hAnsi="Consolas"/>
          <w:sz w:val="19"/>
        </w:rPr>
        <w:t>git pull</w:t>
      </w:r>
      <w:r>
        <w:t xml:space="preserve"> nos três repositórios.</w:t>
      </w:r>
    </w:p>
    <w:p>
      <w:pPr>
        <w:spacing w:after="40"/>
        <w:ind w:left="510" w:hanging="283"/>
      </w:pPr>
      <w:r>
        <w:t xml:space="preserve">2. </w:t>
      </w:r>
      <w:r>
        <w:t xml:space="preserve">Fechar o Visual Studio e apagar as pastas </w:t>
      </w:r>
      <w:r>
        <w:rPr>
          <w:rFonts w:ascii="Consolas" w:hAnsi="Consolas"/>
          <w:sz w:val="19"/>
        </w:rPr>
        <w:t>.vs</w:t>
      </w:r>
      <w:r>
        <w:t xml:space="preserve">, </w:t>
      </w:r>
      <w:r>
        <w:rPr>
          <w:rFonts w:ascii="Consolas" w:hAnsi="Consolas"/>
          <w:sz w:val="19"/>
        </w:rPr>
        <w:t>obj</w:t>
      </w:r>
      <w:r>
        <w:t xml:space="preserve"> e </w:t>
      </w:r>
      <w:r>
        <w:rPr>
          <w:rFonts w:ascii="Consolas" w:hAnsi="Consolas"/>
          <w:sz w:val="19"/>
        </w:rPr>
        <w:t>bin</w:t>
      </w:r>
      <w:r>
        <w:t xml:space="preserve"> (a cache antiga causa o erro NU1105).</w:t>
      </w:r>
    </w:p>
    <w:p>
      <w:pPr>
        <w:spacing w:after="40"/>
        <w:ind w:left="510" w:hanging="283"/>
      </w:pPr>
      <w:r>
        <w:t xml:space="preserve">3. </w:t>
      </w:r>
      <w:r>
        <w:t xml:space="preserve">Abrir </w:t>
      </w:r>
      <w:r>
        <w:rPr>
          <w:rFonts w:ascii="Consolas" w:hAnsi="Consolas"/>
          <w:sz w:val="19"/>
        </w:rPr>
        <w:t>slnEmailIndexingService.sln</w:t>
      </w:r>
      <w:r>
        <w:t xml:space="preserve"> e fazer </w:t>
      </w:r>
      <w:r>
        <w:rPr>
          <w:b/>
        </w:rPr>
        <w:t>Rebuild Solution</w:t>
      </w:r>
      <w:r>
        <w:t>. Resultado esperado: 0 erros.</w:t>
      </w:r>
    </w:p>
    <w:p>
      <w:pPr>
        <w:pStyle w:val="Heading1"/>
      </w:pPr>
      <w:r>
        <w:rPr>
          <w:rFonts w:ascii="Calibri" w:hAnsi="Calibri"/>
          <w:color w:val="1F3A5F"/>
        </w:rPr>
        <w:t>2. Banco OneCrawfordDB: scripts</w:t>
      </w:r>
    </w:p>
    <w:p>
      <w:pPr>
        <w:spacing w:after="120"/>
      </w:pPr>
      <w:r>
        <w:t>Primeiro, verificar se o pré-requisito já existe: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COL_LENGTH('ParameterRoot','CountryCode')   -- NULL = nao existe</w:t>
      </w:r>
    </w:p>
    <w:p>
      <w:pPr>
        <w:spacing w:after="40"/>
      </w:pPr>
    </w:p>
    <w:p>
      <w:pPr>
        <w:spacing w:after="120"/>
      </w:pPr>
      <w:r>
        <w:t xml:space="preserve">Se vier NULL, rodar antes: </w:t>
      </w:r>
      <w:r>
        <w:rPr>
          <w:rFonts w:ascii="Consolas" w:hAnsi="Consolas"/>
          <w:sz w:val="19"/>
        </w:rPr>
        <w:t>OneCrawford.Infra.Database.SqlServer\scripts\2026\DEVLATAM-523 OneCrawfordDB.sql</w:t>
      </w:r>
      <w:r>
        <w:t>.</w:t>
      </w:r>
    </w:p>
    <w:p>
      <w:pPr>
        <w:spacing w:after="120"/>
      </w:pPr>
      <w:r>
        <w:t xml:space="preserve">Depois, rodar os scripts da pasta </w:t>
      </w:r>
      <w:r>
        <w:rPr>
          <w:rFonts w:ascii="Consolas" w:hAnsi="Consolas"/>
          <w:sz w:val="19"/>
        </w:rPr>
        <w:t>OneCrawford.Infra.Database.SqlServer\_executar\</w:t>
      </w:r>
      <w:r>
        <w:t>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</w:rPr>
              <w:t>Banco</w:t>
            </w:r>
          </w:p>
        </w:tc>
      </w:tr>
      <w:tr>
        <w:tc>
          <w:tcPr>
            <w:tcW w:type="dxa" w:w="567"/>
          </w:tcPr>
          <w:p>
            <w:r/>
            <w:r>
              <w:t>1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  <w:tr>
        <w:tc>
          <w:tcPr>
            <w:tcW w:type="dxa" w:w="567"/>
          </w:tcPr>
          <w:p>
            <w:r/>
            <w:r>
              <w:t>2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Index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  <w:tr>
        <w:tc>
          <w:tcPr>
            <w:tcW w:type="dxa" w:w="567"/>
          </w:tcPr>
          <w:p>
            <w:r/>
            <w:r>
              <w:t>3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LocalizationsDB.sql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LocalizationsDB</w:t>
            </w:r>
          </w:p>
        </w:tc>
      </w:tr>
      <w:tr>
        <w:tc>
          <w:tcPr>
            <w:tcW w:type="dxa" w:w="567"/>
          </w:tcPr>
          <w:p>
            <w:r/>
            <w:r>
              <w:t>4</w:t>
            </w:r>
          </w:p>
        </w:tc>
        <w:tc>
          <w:tcPr>
            <w:tcW w:type="dxa" w:w="5953"/>
          </w:tcPr>
          <w:p>
            <w:r/>
            <w:r>
              <w:rPr>
                <w:rFonts w:ascii="Consolas" w:hAnsi="Consolas"/>
                <w:sz w:val="19"/>
              </w:rPr>
              <w:t>LTDEV-2 Export Tags OneCrawfordDB.sql</w:t>
            </w:r>
          </w:p>
        </w:tc>
        <w:tc>
          <w:tcPr>
            <w:tcW w:type="dxa" w:w="2835"/>
          </w:tcPr>
          <w:p>
            <w:r/>
            <w:r>
              <w:t>OneCrawfordDB</w:t>
            </w:r>
          </w:p>
        </w:tc>
      </w:tr>
    </w:tbl>
    <w:p>
      <w:pPr>
        <w:spacing w:after="40"/>
      </w:pPr>
    </w:p>
    <w:p>
      <w:pPr>
        <w:spacing w:after="120"/>
      </w:pPr>
      <w:r>
        <w:t>Todos podem rodar de novo sem efeito. Os scripts DEVLATAM-563 da mesma pasta não fazem parte do LTDEV-2.</w:t>
      </w:r>
    </w:p>
    <w:p>
      <w:pPr>
        <w:spacing w:after="120"/>
      </w:pPr>
      <w:r>
        <w:t>Conferir se as colunas foram criadas (os três valores precisam vir diferentes de NULL):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COL_LENGTH('ClaimChronology','LastEmailReceivedDoneDate') as Cronologia,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COL_LENGTH('AttachmentClaim','ExternalMessageId')         as Anexo,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COL_LENGTH('ParameterRoot','EmailIndexingMailbox')        as Parametro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3. Tabela ParameterRoot: configurar o país</w:t>
      </w:r>
    </w:p>
    <w:p>
      <w:pPr>
        <w:spacing w:after="120"/>
      </w:pPr>
      <w:r>
        <w:t xml:space="preserve">Não há tela para esta configuração; é feita por update. Estes são os valores que usamos no nosso teste (Brasil, </w:t>
      </w:r>
      <w:r>
        <w:rPr>
          <w:rFonts w:ascii="Consolas" w:hAnsi="Consolas"/>
          <w:sz w:val="19"/>
        </w:rPr>
        <w:t>RootId = 1</w:t>
      </w:r>
      <w:r>
        <w:t xml:space="preserve">). Trocar </w:t>
      </w:r>
      <w:r>
        <w:rPr>
          <w:rFonts w:ascii="Consolas" w:hAnsi="Consolas"/>
          <w:sz w:val="19"/>
        </w:rPr>
        <w:t>EmailIndexingManualBox</w:t>
      </w:r>
      <w:r>
        <w:t xml:space="preserve"> pelo e-mail de quem vai receber os recusados no teste dela: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update ParameterRoot set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EmailIndexingMailbox      = 'central.recebimento@crawfordbrasil.com.br',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EmailIndexingManualBox    = 'nelson.diniz.contractor@crawfordbrasil.com.br',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EmailIndexingStore        = 1,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EmailIndexingStoreDays    = 0,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EmailIndexingLocalDomains = 'crawfordbrasil.com.br',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EmailIndexingAlertBox     = 'sistemas@crawfordbrasil.com.br'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where RootId = 1</w:t>
      </w:r>
    </w:p>
    <w:p>
      <w:pPr>
        <w:spacing w:after="40"/>
      </w:pPr>
    </w:p>
    <w:p>
      <w:pPr>
        <w:spacing w:after="120"/>
      </w:pPr>
      <w:r>
        <w:t xml:space="preserve">Conferir (o </w:t>
      </w:r>
      <w:r>
        <w:rPr>
          <w:rFonts w:ascii="Consolas" w:hAnsi="Consolas"/>
          <w:sz w:val="19"/>
        </w:rPr>
        <w:t>CountryCode</w:t>
      </w:r>
      <w:r>
        <w:t xml:space="preserve"> precisa ser </w:t>
      </w:r>
      <w:r>
        <w:rPr>
          <w:rFonts w:ascii="Consolas" w:hAnsi="Consolas"/>
          <w:sz w:val="19"/>
        </w:rPr>
        <w:t>BR</w:t>
      </w:r>
      <w:r>
        <w:t>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RootId, CountryCode, EmailIndexingMailbox, EmailIndexingManualBox,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EmailIndexingStore, EmailIndexingStoreDays,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     EmailIndexingLocalDomains, EmailIndexingAlertBox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from ParameterRoot where RootId = 1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</w:rPr>
              <w:t>O que preencher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EmailIndexingMailbox</w:t>
            </w:r>
          </w:p>
        </w:tc>
        <w:tc>
          <w:tcPr>
            <w:tcW w:type="dxa" w:w="6520"/>
          </w:tcPr>
          <w:p>
            <w:r/>
            <w:r>
              <w:t>caixa que o serviço lê (a mesma que o aplicativo do Azure acessa). Vazio = o país não é varrido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EmailIndexingManualBox</w:t>
            </w:r>
          </w:p>
        </w:tc>
        <w:tc>
          <w:tcPr>
            <w:tcW w:type="dxa" w:w="6520"/>
          </w:tcPr>
          <w:p>
            <w:r/>
            <w:r>
              <w:t>quem recebe os e-mails recusados, com o motivo. Vazio = só vão para a pasta Rejeitados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EmailIndexingStore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1</w:t>
            </w:r>
            <w:r>
              <w:t>. Com 0, o expurgo apaga tudo das pastas Processados e Rejeitados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EmailIndexingStoreDays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0</w:t>
            </w:r>
            <w:r>
              <w:t xml:space="preserve"> = guarda para sempre (com Store = 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EmailIndexingLocalDomains</w:t>
            </w:r>
          </w:p>
        </w:tc>
        <w:tc>
          <w:tcPr>
            <w:tcW w:type="dxa" w:w="6520"/>
          </w:tcPr>
          <w:p>
            <w:r/>
            <w:r>
              <w:t xml:space="preserve">domínios internos, separados por </w:t>
            </w:r>
            <w:r>
              <w:rPr>
                <w:rFonts w:ascii="Consolas" w:hAnsi="Consolas"/>
                <w:sz w:val="19"/>
              </w:rPr>
              <w:t>;</w:t>
            </w:r>
            <w:r>
              <w:t>. E-mail desses domínios anexa, mas não preenche a data da cronologia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EmailIndexingAlertBox</w:t>
            </w:r>
          </w:p>
        </w:tc>
        <w:tc>
          <w:tcPr>
            <w:tcW w:type="dxa" w:w="6520"/>
          </w:tcPr>
          <w:p>
            <w:r/>
            <w:r>
              <w:t xml:space="preserve">quem recebe o aviso de erro crítico (vários separados por </w:t>
            </w:r>
            <w:r>
              <w:rPr>
                <w:rFonts w:ascii="Consolas" w:hAnsi="Consolas"/>
                <w:sz w:val="19"/>
              </w:rPr>
              <w:t>;</w:t>
            </w:r>
            <w:r>
              <w:t>). NULL = só no 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CountryCode</w:t>
            </w:r>
          </w:p>
        </w:tc>
        <w:tc>
          <w:tcPr>
            <w:tcW w:type="dxa" w:w="6520"/>
          </w:tcPr>
          <w:p>
            <w:r/>
            <w:r>
              <w:t>já existe; prefixo do sinistro no assunto (</w:t>
            </w:r>
            <w:r>
              <w:rPr>
                <w:rFonts w:ascii="Consolas" w:hAnsi="Consolas"/>
                <w:sz w:val="19"/>
              </w:rPr>
              <w:t>BR</w:t>
            </w:r>
            <w:r>
              <w:t>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4. Usuário de serviço: obter o GUID</w:t>
      </w:r>
    </w:p>
    <w:p>
      <w:pPr>
        <w:spacing w:after="120"/>
      </w:pPr>
      <w:r>
        <w:t>O serviço grava em nome de um usuário do BRS Cloud. Para o teste pode ser um usuário do Brasil, ativo e com acesso a todas as operações (ex.: um administrador).</w:t>
      </w:r>
    </w:p>
    <w:p>
      <w:pPr>
        <w:spacing w:after="120"/>
      </w:pPr>
      <w:r>
        <w:t xml:space="preserve">No nosso teste usamos o usuário </w:t>
      </w:r>
      <w:r>
        <w:rPr>
          <w:rFonts w:ascii="Consolas" w:hAnsi="Consolas"/>
          <w:sz w:val="19"/>
        </w:rPr>
        <w:t>asouza@crawfordbrasil.com.br</w:t>
      </w:r>
      <w:r>
        <w:t>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select UniqueId, UserName, PersonId, RootId, IsActive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from usr.UserX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where RootId = 1 and IsActive = 1 and UserName = 'asouza@crawfordbrasil.com.br'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-- resultado no nosso banco: 8A13D5F9-7E27-4DA9-951F-93979B732F5A</w:t>
      </w:r>
    </w:p>
    <w:p>
      <w:pPr>
        <w:spacing w:after="40"/>
      </w:pPr>
    </w:p>
    <w:p>
      <w:pPr>
        <w:spacing w:after="120"/>
      </w:pPr>
      <w:r>
        <w:t xml:space="preserve">O </w:t>
      </w:r>
      <w:r>
        <w:rPr>
          <w:rFonts w:ascii="Consolas" w:hAnsi="Consolas"/>
          <w:sz w:val="19"/>
        </w:rPr>
        <w:t>UniqueId</w:t>
      </w:r>
      <w:r>
        <w:t xml:space="preserve"> retornado vai em </w:t>
      </w:r>
      <w:r>
        <w:rPr>
          <w:rFonts w:ascii="Consolas" w:hAnsi="Consolas"/>
          <w:sz w:val="19"/>
        </w:rPr>
        <w:t>ServiceUser.UserName</w:t>
      </w:r>
      <w:r>
        <w:t xml:space="preserve"> no appsettings. É o GUID, </w:t>
      </w:r>
      <w:r>
        <w:rPr>
          <w:b/>
        </w:rPr>
        <w:t>não</w:t>
      </w:r>
      <w:r>
        <w:t xml:space="preserve"> o login. Rodar a consulta no banco dela: se o banco for outra cópia, o GUID pode ser diferente.</w:t>
      </w:r>
    </w:p>
    <w:p>
      <w:pPr>
        <w:pStyle w:val="Heading1"/>
      </w:pPr>
      <w:r>
        <w:rPr>
          <w:rFonts w:ascii="Calibri" w:hAnsi="Calibri"/>
          <w:color w:val="1F3A5F"/>
        </w:rPr>
        <w:t>5. appsettings.json</w:t>
      </w:r>
    </w:p>
    <w:p>
      <w:pPr>
        <w:spacing w:after="120"/>
      </w:pPr>
      <w:r>
        <w:t xml:space="preserve">Copiar o arquivo </w:t>
      </w:r>
      <w:r>
        <w:rPr>
          <w:rFonts w:ascii="Consolas" w:hAnsi="Consolas"/>
          <w:sz w:val="19"/>
        </w:rPr>
        <w:t>LTDEV-2 appsettings.json</w:t>
      </w:r>
      <w:r>
        <w:t xml:space="preserve"> (enviado junto) para </w:t>
      </w:r>
      <w:r>
        <w:rPr>
          <w:rFonts w:ascii="Consolas" w:hAnsi="Consolas"/>
          <w:sz w:val="19"/>
        </w:rPr>
        <w:t>C:\Projetos\Service-ClaimEmailAutomation\EmailIndexingService\appsettings.json</w:t>
      </w:r>
      <w:r>
        <w:t xml:space="preserve"> e preencher cada campo. A tabela traz o valor que usamos no nosso teste; onde o ambiente dela for diferente (servidor, nome do banco, pasta), usar o valor da máquina dela.</w:t>
      </w:r>
    </w:p>
    <w:p>
      <w:pPr>
        <w:spacing w:after="120"/>
      </w:pPr>
      <w:r>
        <w:rPr>
          <w:b/>
        </w:rPr>
        <w:t>Seções do BRS Cloud</w:t>
      </w:r>
      <w:r>
        <w:t xml:space="preserve"> – no nosso teste, copiamos </w:t>
      </w:r>
      <w:r>
        <w:rPr>
          <w:rFonts w:ascii="Consolas" w:hAnsi="Consolas"/>
          <w:sz w:val="19"/>
        </w:rPr>
        <w:t>AppSettings</w:t>
      </w:r>
      <w:r>
        <w:t xml:space="preserve">, </w:t>
      </w:r>
      <w:r>
        <w:rPr>
          <w:rFonts w:ascii="Consolas" w:hAnsi="Consolas"/>
          <w:sz w:val="19"/>
        </w:rPr>
        <w:t>ConnectionStrings</w:t>
      </w:r>
      <w:r>
        <w:t xml:space="preserve">, </w:t>
      </w:r>
      <w:r>
        <w:rPr>
          <w:rFonts w:ascii="Consolas" w:hAnsi="Consolas"/>
          <w:sz w:val="19"/>
        </w:rPr>
        <w:t>RabbitMQ</w:t>
      </w:r>
      <w:r>
        <w:t xml:space="preserve">, </w:t>
      </w:r>
      <w:r>
        <w:rPr>
          <w:rFonts w:ascii="Consolas" w:hAnsi="Consolas"/>
          <w:sz w:val="19"/>
        </w:rPr>
        <w:t>Files</w:t>
      </w:r>
      <w:r>
        <w:t xml:space="preserve"> e </w:t>
      </w:r>
      <w:r>
        <w:rPr>
          <w:rFonts w:ascii="Consolas" w:hAnsi="Consolas"/>
          <w:sz w:val="19"/>
        </w:rPr>
        <w:t>Integration</w:t>
      </w:r>
      <w:r>
        <w:t xml:space="preserve"> do appsettings da API (</w:t>
      </w:r>
      <w:r>
        <w:rPr>
          <w:rFonts w:ascii="Consolas" w:hAnsi="Consolas"/>
          <w:sz w:val="19"/>
        </w:rPr>
        <w:t>BRSCloud-Backend\OneCrawford.Services.Api\appsettings.json</w:t>
      </w:r>
      <w:r>
        <w:t>) e ajustamos estes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</w:rPr>
              <w:t>Valor usado no nosso teste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ConnectionStrings.DefaultConnection</w:t>
            </w:r>
            <w:r>
              <w:t xml:space="preserve"> (ou </w:t>
            </w:r>
            <w:r>
              <w:rPr>
                <w:rFonts w:ascii="Consolas" w:hAnsi="Consolas"/>
                <w:sz w:val="19"/>
              </w:rPr>
              <w:t>BRSCloudConnection</w:t>
            </w:r>
            <w:r>
              <w:t>)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Server=localhost;Database=CarolOneCrawfordDB;Integrated Security=true</w:t>
            </w:r>
            <w:r>
              <w:t xml:space="preserve">. Pode vir em </w:t>
            </w:r>
            <w:r>
              <w:rPr>
                <w:rFonts w:ascii="Consolas" w:hAnsi="Consolas"/>
                <w:sz w:val="19"/>
              </w:rPr>
              <w:t>BRSCloudConnection</w:t>
            </w:r>
            <w:r>
              <w:t xml:space="preserve">, padrão dos Service-*: sem </w:t>
            </w:r>
            <w:r>
              <w:rPr>
                <w:rFonts w:ascii="Consolas" w:hAnsi="Consolas"/>
                <w:sz w:val="19"/>
              </w:rPr>
              <w:t>DefaultConnection</w:t>
            </w:r>
            <w:r>
              <w:t xml:space="preserve">, o serviço usa </w:t>
            </w:r>
            <w:r>
              <w:rPr>
                <w:rFonts w:ascii="Consolas" w:hAnsi="Consolas"/>
                <w:sz w:val="19"/>
              </w:rPr>
              <w:t>BRSCloudConnection</w:t>
            </w:r>
            <w:r>
              <w:t>. Os nomes das chaves precisam ser exatamente esses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ConnectionStrings.LogConnection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Server=localhost;Database=LogTestDB;Integrated Security=true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ConnectionStrings.LocalizationsConnection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Server=localhost;Database=LocalizationsDevDB;Integrated Security=true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ConnectionStrings.RedisConnection</w:t>
            </w:r>
          </w:p>
        </w:tc>
        <w:tc>
          <w:tcPr>
            <w:tcW w:type="dxa" w:w="5669"/>
          </w:tcPr>
          <w:p>
            <w:r/>
            <w:r>
              <w:t>o mesmo valor da API (não é usado: Redis desligado)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RabbitMQ.Host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rabbitmq://localhost/enviroment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RabbitMQ.Username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enviroment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RabbitMQ.Password</w:t>
            </w:r>
          </w:p>
        </w:tc>
        <w:tc>
          <w:tcPr>
            <w:tcW w:type="dxa" w:w="5669"/>
          </w:tcPr>
          <w:p>
            <w:r/>
            <w:r>
              <w:t>vazio no arquivo; vai no User Secrets em Development; no servidor, criptografado com DPAPI (passo 6)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RabbitMQ.Endpoint.*</w:t>
            </w:r>
          </w:p>
        </w:tc>
        <w:tc>
          <w:tcPr>
            <w:tcW w:type="dxa" w:w="5669"/>
          </w:tcPr>
          <w:p>
            <w:r/>
            <w:r>
              <w:t xml:space="preserve">os mesmos nomes de fila da API (já vêm no arquivo, ex.: </w:t>
            </w:r>
            <w:r>
              <w:rPr>
                <w:rFonts w:ascii="Consolas" w:hAnsi="Consolas"/>
                <w:sz w:val="19"/>
              </w:rPr>
              <w:t>EmailEndPoint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EmailEndpoint</w:t>
            </w:r>
            <w:r>
              <w:t>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Files.Environment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Developer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Files.Temp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C:\Temp\PicUpload</w:t>
            </w:r>
            <w:r>
              <w:t xml:space="preserve"> (a mesma pasta </w:t>
            </w:r>
            <w:r>
              <w:rPr>
                <w:rFonts w:ascii="Consolas" w:hAnsi="Consolas"/>
                <w:sz w:val="19"/>
              </w:rPr>
              <w:t>Files.Temp</w:t>
            </w:r>
            <w:r>
              <w:t xml:space="preserve"> da API)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Files.Attachments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C:\Temp\Attachments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AppSettings.Secret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MasterPassword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SecretCaptcha</w:t>
            </w:r>
          </w:p>
        </w:tc>
        <w:tc>
          <w:tcPr>
            <w:tcW w:type="dxa" w:w="5669"/>
          </w:tcPr>
          <w:p>
            <w:r/>
            <w:r>
              <w:t>os mesmos valores da API (copiar de lá)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AppSettings.DisableRedis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DisableEventBus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DisableInsights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true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true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true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Integration.*Url</w:t>
            </w:r>
          </w:p>
        </w:tc>
        <w:tc>
          <w:tcPr>
            <w:tcW w:type="dxa" w:w="5669"/>
          </w:tcPr>
          <w:p>
            <w:r/>
            <w:r>
              <w:t>as mesmas URLs da API (copiar de lá)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Seções do serviço: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</w:rPr>
              <w:t>Valor usado no nosso teste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ServiceConfiguration.ServiceName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DisplayName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_OneCrawford EmailIndexingService HostedService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Graph.TenantId</w:t>
            </w:r>
          </w:p>
        </w:tc>
        <w:tc>
          <w:tcPr>
            <w:tcW w:type="dxa" w:w="5669"/>
          </w:tcPr>
          <w:p>
            <w:r/>
            <w:r>
              <w:t>Tenant ID do Azure AD (o Nelson envia separadamente)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Graph.ClientId</w:t>
            </w:r>
          </w:p>
        </w:tc>
        <w:tc>
          <w:tcPr>
            <w:tcW w:type="dxa" w:w="5669"/>
          </w:tcPr>
          <w:p>
            <w:r/>
            <w:r>
              <w:t>Client ID do aplicativo (o Nelson envia separadamente)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Graph.CertificateThumbprint</w:t>
            </w:r>
          </w:p>
        </w:tc>
        <w:tc>
          <w:tcPr>
            <w:tcW w:type="dxa" w:w="5669"/>
          </w:tcPr>
          <w:p>
            <w:r/>
            <w:r>
              <w:t>vazio (usamos client secret)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Graph.ClientSecret</w:t>
            </w:r>
          </w:p>
        </w:tc>
        <w:tc>
          <w:tcPr>
            <w:tcW w:type="dxa" w:w="5669"/>
          </w:tcPr>
          <w:p>
            <w:r/>
            <w:r>
              <w:t>em Development, vazio e no User Secrets; no servidor, criptografado com DPAPI no appsettings (passo 6)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Graph.ProcessedFolder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RejectedFolder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Processados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Rejeitados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Graph.FoldersAtRoot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false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Graph.DeltaStatePath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delta-state.txt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Indexing.IntervalMinutes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10</w:t>
            </w:r>
            <w:r>
              <w:t xml:space="preserve"> (para teste pode usar </w:t>
            </w:r>
            <w:r>
              <w:rPr>
                <w:rFonts w:ascii="Consolas" w:hAnsi="Consolas"/>
                <w:sz w:val="19"/>
              </w:rPr>
              <w:t>1</w:t>
            </w:r>
            <w:r>
              <w:t>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Indexing.BatchSize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MaxAttachmentSizeMB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50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25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Indexing.HealthPort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AlertWindowMinutes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0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60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ServiceUser.UserName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8A13D5F9-7E27-4DA9-951F-93979B732F5A</w:t>
            </w:r>
            <w:r>
              <w:t xml:space="preserve"> (asouza, passo 4)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O arquivo não é versionado: o hook de pre-commit do repositório bloqueia </w:t>
      </w:r>
      <w:r>
        <w:rPr>
          <w:rFonts w:ascii="Consolas" w:hAnsi="Consolas"/>
          <w:sz w:val="19"/>
        </w:rPr>
        <w:t>appsettings.json</w:t>
      </w:r>
      <w:r>
        <w:t xml:space="preserve"> e </w:t>
      </w:r>
      <w:r>
        <w:rPr>
          <w:rFonts w:ascii="Consolas" w:hAnsi="Consolas"/>
          <w:sz w:val="19"/>
        </w:rPr>
        <w:t>NLog.config</w:t>
      </w:r>
      <w:r>
        <w:t>.</w:t>
      </w:r>
    </w:p>
    <w:p>
      <w:pPr>
        <w:pStyle w:val="Heading1"/>
      </w:pPr>
      <w:r>
        <w:rPr>
          <w:rFonts w:ascii="Calibri" w:hAnsi="Calibri"/>
          <w:color w:val="1F3A5F"/>
        </w:rPr>
        <w:t>6. User Secrets (segredos fora do appsettings)</w:t>
      </w:r>
    </w:p>
    <w:p>
      <w:pPr>
        <w:spacing w:after="120"/>
      </w:pPr>
      <w:r>
        <w:t xml:space="preserve">No Visual Studio: botão direito no projeto </w:t>
      </w:r>
      <w:r>
        <w:rPr>
          <w:b/>
        </w:rPr>
        <w:t>EmailIndexingService</w:t>
      </w:r>
      <w:r>
        <w:t xml:space="preserve"> &gt; </w:t>
      </w:r>
      <w:r>
        <w:rPr>
          <w:b/>
        </w:rPr>
        <w:t>Manage User Secrets</w:t>
      </w:r>
      <w:r>
        <w:t>, e preencher: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{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"Graph:ClientSecret": "&lt;secret do aplicativo, enviado separadamente&gt;",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 xml:space="preserve">  "RabbitMQ:Password": "&lt;senha do RabbitMQ, se houver&gt;"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}</w:t>
      </w:r>
    </w:p>
    <w:p>
      <w:pPr>
        <w:spacing w:after="40"/>
      </w:pPr>
    </w:p>
    <w:p>
      <w:pPr>
        <w:spacing w:after="120"/>
      </w:pPr>
      <w:r>
        <w:t>Os User Secrets só são lidos no ambiente Development, que é o padrão ao rodar pelo Visual Studio.</w:t>
      </w:r>
    </w:p>
    <w:p>
      <w:pPr>
        <w:spacing w:after="120"/>
      </w:pPr>
      <w:r>
        <w:rPr>
          <w:b/>
        </w:rPr>
        <w:t>No servidor (staging/produção):</w:t>
      </w:r>
      <w:r>
        <w:t xml:space="preserve"> os segredos ficam no próprio </w:t>
      </w:r>
      <w:r>
        <w:rPr>
          <w:rFonts w:ascii="Consolas" w:hAnsi="Consolas"/>
          <w:sz w:val="19"/>
        </w:rPr>
        <w:t>appsettings.json</w:t>
      </w:r>
      <w:r>
        <w:t xml:space="preserve">, </w:t>
      </w:r>
      <w:r>
        <w:rPr>
          <w:b/>
        </w:rPr>
        <w:t>criptografados com DPAPI na máquina que roda o serviço</w:t>
      </w:r>
      <w:r>
        <w:t xml:space="preserve"> (valor começando com </w:t>
      </w:r>
      <w:r>
        <w:rPr>
          <w:rFonts w:ascii="Consolas" w:hAnsi="Consolas"/>
          <w:sz w:val="19"/>
        </w:rPr>
        <w:t>AQAAANCM</w:t>
      </w:r>
      <w:r>
        <w:t xml:space="preserve">), conforme </w:t>
      </w:r>
      <w:r>
        <w:rPr>
          <w:b/>
        </w:rPr>
        <w:t>LTDEV-2 - Criptografar o ClientSecret.txt</w:t>
      </w:r>
      <w:r>
        <w:t>. Valor criptografado em outra máquina não abre.</w:t>
      </w:r>
    </w:p>
    <w:p>
      <w:pPr>
        <w:pStyle w:val="Heading2"/>
      </w:pPr>
      <w:r>
        <w:rPr>
          <w:rFonts w:ascii="Calibri" w:hAnsi="Calibri"/>
          <w:color w:val="1F3A5F"/>
        </w:rPr>
        <w:t>6.1 NLog.config (log em arquivo e no LogDB)</w:t>
      </w:r>
    </w:p>
    <w:p>
      <w:pPr>
        <w:spacing w:after="120"/>
      </w:pPr>
      <w:r>
        <w:t xml:space="preserve">O </w:t>
      </w:r>
      <w:r>
        <w:rPr>
          <w:rFonts w:ascii="Consolas" w:hAnsi="Consolas"/>
          <w:sz w:val="19"/>
        </w:rPr>
        <w:t>NLog.config</w:t>
      </w:r>
      <w:r>
        <w:t xml:space="preserve"> não é versionado. Usar o arquivo enviado junto (</w:t>
      </w:r>
      <w:r>
        <w:rPr>
          <w:b/>
        </w:rPr>
        <w:t>LTDEV-2 NLog staging.config</w:t>
      </w:r>
      <w:r>
        <w:t xml:space="preserve"> no staging), copiado para a pasta do </w:t>
      </w:r>
      <w:r>
        <w:rPr>
          <w:rFonts w:ascii="Consolas" w:hAnsi="Consolas"/>
          <w:sz w:val="19"/>
        </w:rPr>
        <w:t>.exe</w:t>
      </w:r>
      <w:r>
        <w:t xml:space="preserve"> com o nome </w:t>
      </w:r>
      <w:r>
        <w:rPr>
          <w:rFonts w:ascii="Consolas" w:hAnsi="Consolas"/>
          <w:sz w:val="19"/>
        </w:rPr>
        <w:t>NLog.config</w:t>
      </w:r>
      <w:r>
        <w:t>. Ele segue o padrão dos outros Service-*:</w:t>
      </w:r>
    </w:p>
    <w:p>
      <w:pPr>
        <w:pStyle w:val="ListBullet"/>
        <w:spacing w:after="40"/>
      </w:pPr>
      <w:r>
        <w:t xml:space="preserve">banco: </w:t>
      </w:r>
      <w:r>
        <w:rPr>
          <w:rFonts w:ascii="Consolas" w:hAnsi="Consolas"/>
          <w:sz w:val="19"/>
        </w:rPr>
        <w:t>LogDB.dbo.Logs</w:t>
      </w:r>
      <w:r>
        <w:t xml:space="preserve">, pela </w:t>
      </w:r>
      <w:r>
        <w:rPr>
          <w:rFonts w:ascii="Consolas" w:hAnsi="Consolas"/>
          <w:sz w:val="19"/>
        </w:rPr>
        <w:t>ConnectionStrings.LogConnection</w:t>
      </w:r>
      <w:r>
        <w:t xml:space="preserve">, com </w:t>
      </w:r>
      <w:r>
        <w:rPr>
          <w:rFonts w:ascii="Consolas" w:hAnsi="Consolas"/>
          <w:sz w:val="19"/>
        </w:rPr>
        <w:t>ServiceName</w:t>
      </w:r>
      <w:r>
        <w:t xml:space="preserve"> fixo (</w:t>
      </w:r>
      <w:r>
        <w:rPr>
          <w:rFonts w:ascii="Consolas" w:hAnsi="Consolas"/>
          <w:sz w:val="19"/>
        </w:rPr>
        <w:t>Staging EmailIndexingService</w:t>
      </w:r>
      <w:r>
        <w:t xml:space="preserve"> no staging);</w:t>
      </w:r>
    </w:p>
    <w:p>
      <w:pPr>
        <w:pStyle w:val="ListBullet"/>
        <w:spacing w:after="40"/>
      </w:pPr>
      <w:r>
        <w:t xml:space="preserve">arquivo: </w:t>
      </w:r>
      <w:r>
        <w:rPr>
          <w:rFonts w:ascii="Consolas" w:hAnsi="Consolas"/>
          <w:sz w:val="19"/>
        </w:rPr>
        <w:t>${currentdir}\log\emailindexing-AAAA-MM-DD.log</w:t>
      </w:r>
      <w:r>
        <w:t xml:space="preserve">. Como serviço do Windows, o diretório atual é a pasta do </w:t>
      </w:r>
      <w:r>
        <w:rPr>
          <w:rFonts w:ascii="Consolas" w:hAnsi="Consolas"/>
          <w:sz w:val="19"/>
        </w:rPr>
        <w:t>.exe</w:t>
      </w:r>
      <w:r>
        <w:t xml:space="preserve">; rodando na mão, abrir o prompt na pasta do </w:t>
      </w:r>
      <w:r>
        <w:rPr>
          <w:rFonts w:ascii="Consolas" w:hAnsi="Consolas"/>
          <w:sz w:val="19"/>
        </w:rPr>
        <w:t>.exe</w:t>
      </w:r>
      <w:r>
        <w:t>;</w:t>
      </w:r>
    </w:p>
    <w:p>
      <w:pPr>
        <w:pStyle w:val="ListBullet"/>
        <w:spacing w:after="40"/>
      </w:pPr>
      <w:r>
        <w:t xml:space="preserve">os nomes em </w:t>
      </w:r>
      <w:r>
        <w:rPr>
          <w:rFonts w:ascii="Consolas" w:hAnsi="Consolas"/>
          <w:sz w:val="19"/>
        </w:rPr>
        <w:t>writeTo</w:t>
      </w:r>
      <w:r>
        <w:t xml:space="preserve"> precisam ser os mesmos dos </w:t>
      </w:r>
      <w:r>
        <w:rPr>
          <w:rFonts w:ascii="Consolas" w:hAnsi="Consolas"/>
          <w:sz w:val="19"/>
        </w:rPr>
        <w:t>&lt;target name&gt;</w:t>
      </w:r>
      <w:r>
        <w:t>, senão o NLog não grava nada;</w:t>
      </w:r>
    </w:p>
    <w:p>
      <w:pPr>
        <w:pStyle w:val="ListBullet"/>
        <w:spacing w:after="40"/>
      </w:pPr>
      <w:r>
        <w:t xml:space="preserve">não usar a extensão </w:t>
      </w:r>
      <w:r>
        <w:rPr>
          <w:rFonts w:ascii="Consolas" w:hAnsi="Consolas"/>
          <w:sz w:val="19"/>
        </w:rPr>
        <w:t>NLog.Web.AspNetCore</w:t>
      </w:r>
      <w:r>
        <w:t xml:space="preserve"> (o serviço não é ASP.NET);</w:t>
      </w:r>
    </w:p>
    <w:p>
      <w:pPr>
        <w:pStyle w:val="ListBullet"/>
        <w:spacing w:after="40"/>
      </w:pPr>
      <w:r>
        <w:t xml:space="preserve">se nada for gravado, o motivo fica em </w:t>
      </w:r>
      <w:r>
        <w:rPr>
          <w:rFonts w:ascii="Consolas" w:hAnsi="Consolas"/>
          <w:sz w:val="19"/>
        </w:rPr>
        <w:t>log\internal-nlog.txt</w:t>
      </w:r>
      <w:r>
        <w:t>.</w:t>
      </w:r>
    </w:p>
    <w:p>
      <w:pPr>
        <w:pStyle w:val="Heading1"/>
      </w:pPr>
      <w:r>
        <w:rPr>
          <w:rFonts w:ascii="Calibri" w:hAnsi="Calibri"/>
          <w:color w:val="1F3A5F"/>
        </w:rPr>
        <w:t>7. Rodar e testar</w:t>
      </w:r>
    </w:p>
    <w:p>
      <w:pPr>
        <w:spacing w:after="40"/>
        <w:ind w:left="510" w:hanging="283"/>
      </w:pPr>
      <w:r>
        <w:t xml:space="preserve">1. </w:t>
      </w:r>
      <w:r>
        <w:t xml:space="preserve">Definir </w:t>
      </w:r>
      <w:r>
        <w:rPr>
          <w:b/>
        </w:rPr>
        <w:t>EmailIndexingService</w:t>
      </w:r>
      <w:r>
        <w:t xml:space="preserve"> como projeto de inicialização e apertar </w:t>
      </w:r>
      <w:r>
        <w:rPr>
          <w:b/>
        </w:rPr>
        <w:t>F5</w:t>
      </w:r>
      <w:r>
        <w:t>. A primeira varredura roda logo ao iniciar e repete a cada 10 minutos.</w:t>
      </w:r>
    </w:p>
    <w:p>
      <w:pPr>
        <w:spacing w:after="40"/>
        <w:ind w:left="510" w:hanging="283"/>
      </w:pPr>
      <w:r>
        <w:t xml:space="preserve">2. </w:t>
      </w:r>
      <w:r>
        <w:t xml:space="preserve">De um endereço </w:t>
      </w:r>
      <w:r>
        <w:rPr>
          <w:b/>
        </w:rPr>
        <w:t>externo</w:t>
      </w:r>
      <w:r>
        <w:t xml:space="preserve">, enviar para a caixa monitorada um e-mail com assunto </w:t>
      </w:r>
      <w:r>
        <w:rPr>
          <w:rFonts w:ascii="Consolas" w:hAnsi="Consolas"/>
          <w:sz w:val="19"/>
        </w:rPr>
        <w:t>BR&lt;código de um sinistro existente&gt; teste</w:t>
      </w:r>
      <w:r>
        <w:t xml:space="preserve"> e um anexo.</w:t>
      </w:r>
    </w:p>
    <w:p>
      <w:pPr>
        <w:spacing w:after="40"/>
        <w:ind w:left="510" w:hanging="283"/>
      </w:pPr>
      <w:r>
        <w:t xml:space="preserve">3. </w:t>
      </w:r>
      <w:r>
        <w:t>Após a varredura, conferir: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 xml:space="preserve">O e-mail está na pasta </w:t>
      </w:r>
      <w:r>
        <w:rPr>
          <w:b/>
        </w:rPr>
        <w:t>Processados</w:t>
      </w:r>
      <w:r>
        <w:t>, como não lido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 xml:space="preserve">O </w:t>
      </w:r>
      <w:r>
        <w:rPr>
          <w:rFonts w:ascii="Consolas" w:hAnsi="Consolas"/>
          <w:sz w:val="19"/>
        </w:rPr>
        <w:t>.msg</w:t>
      </w:r>
      <w:r>
        <w:t xml:space="preserve"> está na pasta de E-mails do sinistro com o </w:t>
      </w:r>
      <w:r>
        <w:rPr>
          <w:b/>
        </w:rPr>
        <w:t>assunto</w:t>
      </w:r>
      <w:r>
        <w:t xml:space="preserve"> como nome, e o anexo na de Documentos com o nome original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>A descrição dos dois traz a data e hora do recebimento (dd/mm/aaaa hh:mm:ss)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 xml:space="preserve">O log tem a linha </w:t>
      </w:r>
      <w:r>
        <w:rPr>
          <w:rFonts w:ascii="Consolas" w:hAnsi="Consolas"/>
          <w:sz w:val="19"/>
        </w:rPr>
        <w:t>Scan: read=... indexed=...</w:t>
      </w:r>
      <w:r>
        <w:t xml:space="preserve"> no arquivo e na </w:t>
      </w:r>
      <w:r>
        <w:rPr>
          <w:rFonts w:ascii="Consolas" w:hAnsi="Consolas"/>
          <w:sz w:val="19"/>
        </w:rPr>
        <w:t>dbo.Logs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>A data de "Comunicação/e-mail recebido" foi preenchida na cronologia</w:t>
      </w:r>
    </w:p>
    <w:p>
      <w:pPr>
        <w:spacing w:after="40"/>
        <w:ind w:left="227"/>
      </w:pPr>
      <w:r>
        <w:rPr>
          <w:sz w:val="24"/>
        </w:rPr>
        <w:t xml:space="preserve">☐  </w:t>
      </w:r>
      <w:r>
        <w:t>O regulador principal recebeu o aviso</w:t>
      </w:r>
    </w:p>
    <w:p>
      <w:pPr>
        <w:spacing w:after="120"/>
      </w:pPr>
      <w:r>
        <w:t xml:space="preserve">Os demais casos (sem código, sinistro inexistente, cancelado, encerrado, domínio interno) estão no roteiro </w:t>
      </w:r>
      <w:r>
        <w:rPr>
          <w:b/>
        </w:rPr>
        <w:t>LTDEV-2 - Documentação de Teste.docx</w:t>
      </w:r>
      <w:r>
        <w:t>.</w:t>
      </w:r>
    </w:p>
    <w:p>
      <w:pPr>
        <w:pStyle w:val="Heading2"/>
      </w:pPr>
      <w:r>
        <w:rPr>
          <w:rFonts w:ascii="Calibri" w:hAnsi="Calibri"/>
          <w:color w:val="1F3A5F"/>
        </w:rPr>
        <w:t>7.1 Instalar como serviço do Windows</w:t>
      </w:r>
    </w:p>
    <w:p>
      <w:pPr>
        <w:spacing w:after="120"/>
      </w:pPr>
      <w:r>
        <w:t xml:space="preserve">Num prompt de administrador, na pasta publicada (ex.: </w:t>
      </w:r>
      <w:r>
        <w:rPr>
          <w:rFonts w:ascii="Consolas" w:hAnsi="Consolas"/>
          <w:sz w:val="19"/>
        </w:rPr>
        <w:t>D:\Sites\services\staging\EmailIndexingService\publish</w:t>
      </w:r>
      <w:r>
        <w:t>):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EmailIndexingService.exe install -username "DOMINIO\usuario" -password "senha"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8"/>
        </w:rPr>
        <w:t>EmailIndexingService.exe start</w:t>
      </w:r>
    </w:p>
    <w:p>
      <w:pPr>
        <w:spacing w:after="40"/>
      </w:pPr>
    </w:p>
    <w:p>
      <w:pPr>
        <w:spacing w:after="120"/>
      </w:pPr>
      <w:r>
        <w:t xml:space="preserve">Usar uma conta com acesso ao SQL (as connection strings usam </w:t>
      </w:r>
      <w:r>
        <w:rPr>
          <w:rFonts w:ascii="Consolas" w:hAnsi="Consolas"/>
          <w:sz w:val="19"/>
        </w:rPr>
        <w:t>Integrated Security</w:t>
      </w:r>
      <w:r>
        <w:t xml:space="preserve">), com insert em </w:t>
      </w:r>
      <w:r>
        <w:rPr>
          <w:rFonts w:ascii="Consolas" w:hAnsi="Consolas"/>
          <w:sz w:val="19"/>
        </w:rPr>
        <w:t>LogDB.dbo.Logs</w:t>
      </w:r>
      <w:r>
        <w:t xml:space="preserve"> e escrita na pasta </w:t>
      </w:r>
      <w:r>
        <w:rPr>
          <w:rFonts w:ascii="Consolas" w:hAnsi="Consolas"/>
          <w:sz w:val="19"/>
        </w:rPr>
        <w:t>Files.Temp</w:t>
      </w:r>
      <w:r>
        <w:t xml:space="preserve">. Instalado como Local System, o acesso ao SQL vai pela conta da máquina e costuma falhar. Parar: </w:t>
      </w:r>
      <w:r>
        <w:rPr>
          <w:rFonts w:ascii="Consolas" w:hAnsi="Consolas"/>
          <w:sz w:val="19"/>
        </w:rPr>
        <w:t>EmailIndexingService.exe stop</w:t>
      </w:r>
      <w:r>
        <w:t xml:space="preserve">; remover: </w:t>
      </w:r>
      <w:r>
        <w:rPr>
          <w:rFonts w:ascii="Consolas" w:hAnsi="Consolas"/>
          <w:sz w:val="19"/>
        </w:rPr>
        <w:t>EmailIndexingService.exe uninstall</w:t>
      </w:r>
      <w:r>
        <w:t>. Antes de instalar, fechar qualquer execução manual (duas instâncias leriam a mesma caixa).</w:t>
      </w:r>
    </w:p>
    <w:p>
      <w:pPr>
        <w:pStyle w:val="Heading1"/>
      </w:pPr>
      <w:r>
        <w:rPr>
          <w:rFonts w:ascii="Calibri" w:hAnsi="Calibri"/>
          <w:color w:val="1F3A5F"/>
        </w:rPr>
        <w:t>8.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</w:rPr>
              <w:t>Causa e solução</w:t>
            </w:r>
          </w:p>
        </w:tc>
      </w:tr>
      <w:tr>
        <w:tc>
          <w:tcPr>
            <w:tcW w:type="dxa" w:w="3685"/>
          </w:tcPr>
          <w:p>
            <w:r/>
            <w:r>
              <w:t>NU1105 ao abrir a solution</w:t>
            </w:r>
          </w:p>
        </w:tc>
        <w:tc>
          <w:tcPr>
            <w:tcW w:type="dxa" w:w="5669"/>
          </w:tcPr>
          <w:p>
            <w:r/>
            <w:r>
              <w:t xml:space="preserve">cache do Visual Studio: fechar, apagar </w:t>
            </w:r>
            <w:r>
              <w:rPr>
                <w:rFonts w:ascii="Consolas" w:hAnsi="Consolas"/>
                <w:sz w:val="19"/>
              </w:rPr>
              <w:t>.vs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obj</w:t>
            </w:r>
            <w:r>
              <w:t xml:space="preserve"> e </w:t>
            </w:r>
            <w:r>
              <w:rPr>
                <w:rFonts w:ascii="Consolas" w:hAnsi="Consolas"/>
                <w:sz w:val="19"/>
              </w:rPr>
              <w:t>bin</w:t>
            </w:r>
            <w:r>
              <w:t xml:space="preserve"> e abrir de novo</w:t>
            </w:r>
          </w:p>
        </w:tc>
      </w:tr>
      <w:tr>
        <w:tc>
          <w:tcPr>
            <w:tcW w:type="dxa" w:w="3685"/>
          </w:tcPr>
          <w:p>
            <w:r/>
            <w:r>
              <w:t xml:space="preserve">Erros de compilação com </w:t>
            </w:r>
            <w:r>
              <w:rPr>
                <w:rFonts w:ascii="Consolas" w:hAnsi="Consolas"/>
                <w:sz w:val="19"/>
              </w:rPr>
              <w:t>EmailIndexing*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ExternalMessageId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LastEmailReceivedDoneDate</w:t>
            </w:r>
          </w:p>
        </w:tc>
        <w:tc>
          <w:tcPr>
            <w:tcW w:type="dxa" w:w="5669"/>
          </w:tcPr>
          <w:p>
            <w:r/>
            <w:r>
              <w:t xml:space="preserve">backend fora da branch </w:t>
            </w:r>
            <w:r>
              <w:rPr>
                <w:rFonts w:ascii="Consolas" w:hAnsi="Consolas"/>
                <w:sz w:val="19"/>
              </w:rPr>
              <w:t>staging-latam</w:t>
            </w:r>
          </w:p>
        </w:tc>
      </w:tr>
      <w:tr>
        <w:tc>
          <w:tcPr>
            <w:tcW w:type="dxa" w:w="3685"/>
          </w:tcPr>
          <w:p>
            <w:r/>
            <w:r>
              <w:t>"Service user ... not found"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ServiceUser.UserName</w:t>
            </w:r>
            <w:r>
              <w:t xml:space="preserve"> não é o GUID do </w:t>
            </w:r>
            <w:r>
              <w:rPr>
                <w:rFonts w:ascii="Consolas" w:hAnsi="Consolas"/>
                <w:sz w:val="19"/>
              </w:rPr>
              <w:t>UserX</w:t>
            </w:r>
            <w:r>
              <w:t>, ou o usuário está inativo</w:t>
            </w:r>
          </w:p>
        </w:tc>
      </w:tr>
      <w:tr>
        <w:tc>
          <w:tcPr>
            <w:tcW w:type="dxa" w:w="3685"/>
          </w:tcPr>
          <w:p>
            <w:r/>
            <w:r>
              <w:t>Motivo "sinistro não encontrado" num sinistro que existe</w:t>
            </w:r>
          </w:p>
        </w:tc>
        <w:tc>
          <w:tcPr>
            <w:tcW w:type="dxa" w:w="5669"/>
          </w:tcPr>
          <w:p>
            <w:r/>
            <w:r>
              <w:t>usuário de serviço sem acesso à operação do sinistro</w:t>
            </w:r>
          </w:p>
        </w:tc>
      </w:tr>
      <w:tr>
        <w:tc>
          <w:tcPr>
            <w:tcW w:type="dxa" w:w="3685"/>
          </w:tcPr>
          <w:p>
            <w:r/>
            <w:r>
              <w:t>"Could not find file" / anexo não encontrado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Files.Temp</w:t>
            </w:r>
            <w:r>
              <w:t xml:space="preserve"> diferente da pasta onde a API lê os anexos</w:t>
            </w:r>
          </w:p>
        </w:tc>
      </w:tr>
      <w:tr>
        <w:tc>
          <w:tcPr>
            <w:tcW w:type="dxa" w:w="3685"/>
          </w:tcPr>
          <w:p>
            <w:r/>
            <w:r>
              <w:t>Motivo "Timeout"</w:t>
            </w:r>
          </w:p>
        </w:tc>
        <w:tc>
          <w:tcPr>
            <w:tcW w:type="dxa" w:w="5669"/>
          </w:tcPr>
          <w:p>
            <w:r/>
            <w:r>
              <w:t>serviço de integração do país parado</w:t>
            </w:r>
          </w:p>
        </w:tc>
      </w:tr>
      <w:tr>
        <w:tc>
          <w:tcPr>
            <w:tcW w:type="dxa" w:w="3685"/>
          </w:tcPr>
          <w:p>
            <w:r/>
            <w:r>
              <w:t>Log "No mailbox configured"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EmailIndexingMailbox</w:t>
            </w:r>
            <w:r>
              <w:t xml:space="preserve"> vazio no </w:t>
            </w:r>
            <w:r>
              <w:rPr>
                <w:rFonts w:ascii="Consolas" w:hAnsi="Consolas"/>
                <w:sz w:val="19"/>
              </w:rPr>
              <w:t>ParameterRoot</w:t>
            </w:r>
            <w:r>
              <w:t>, ou o banco não respondeu</w:t>
            </w:r>
          </w:p>
        </w:tc>
      </w:tr>
      <w:tr>
        <w:tc>
          <w:tcPr>
            <w:tcW w:type="dxa" w:w="3685"/>
          </w:tcPr>
          <w:p>
            <w:r/>
            <w:r>
              <w:t>O Graph recusa o acesso (401/403)</w:t>
            </w:r>
          </w:p>
        </w:tc>
        <w:tc>
          <w:tcPr>
            <w:tcW w:type="dxa" w:w="5669"/>
          </w:tcPr>
          <w:p>
            <w:r/>
            <w:r>
              <w:t>falta consentimento de administrador, permissão delegada em vez de aplicação, ou secret errado/vencido</w:t>
            </w:r>
          </w:p>
        </w:tc>
      </w:tr>
      <w:tr>
        <w:tc>
          <w:tcPr>
            <w:tcW w:type="dxa" w:w="3685"/>
          </w:tcPr>
          <w:p>
            <w:r/>
            <w:r>
              <w:t>"The ConnectionString property has not been initialized"</w:t>
            </w:r>
          </w:p>
        </w:tc>
        <w:tc>
          <w:tcPr>
            <w:tcW w:type="dxa" w:w="5669"/>
          </w:tcPr>
          <w:p>
            <w:r/>
            <w:r>
              <w:t xml:space="preserve">nome da chave errado em </w:t>
            </w:r>
            <w:r>
              <w:rPr>
                <w:rFonts w:ascii="Consolas" w:hAnsi="Consolas"/>
                <w:sz w:val="19"/>
              </w:rPr>
              <w:t>ConnectionStrings</w:t>
            </w:r>
            <w:r>
              <w:t xml:space="preserve">: tem que ser </w:t>
            </w:r>
            <w:r>
              <w:rPr>
                <w:rFonts w:ascii="Consolas" w:hAnsi="Consolas"/>
                <w:sz w:val="19"/>
              </w:rPr>
              <w:t>DefaultConnection</w:t>
            </w:r>
            <w:r>
              <w:t xml:space="preserve"> ou </w:t>
            </w:r>
            <w:r>
              <w:rPr>
                <w:rFonts w:ascii="Consolas" w:hAnsi="Consolas"/>
                <w:sz w:val="19"/>
              </w:rPr>
              <w:t>BRSCloudConnection</w:t>
            </w:r>
          </w:p>
        </w:tc>
      </w:tr>
      <w:tr>
        <w:tc>
          <w:tcPr>
            <w:tcW w:type="dxa" w:w="3685"/>
          </w:tcPr>
          <w:p>
            <w:r/>
            <w:r>
              <w:t>"Critical failure while describing key ... via DPAPI"</w:t>
            </w:r>
          </w:p>
        </w:tc>
        <w:tc>
          <w:tcPr>
            <w:tcW w:type="dxa" w:w="5669"/>
          </w:tcPr>
          <w:p>
            <w:r/>
            <w:r>
              <w:t xml:space="preserve">valor </w:t>
            </w:r>
            <w:r>
              <w:rPr>
                <w:rFonts w:ascii="Consolas" w:hAnsi="Consolas"/>
                <w:sz w:val="19"/>
              </w:rPr>
              <w:t>AQAAANCM...</w:t>
            </w:r>
            <w:r>
              <w:t xml:space="preserve"> criptografado em outra máquina ou com escopo de usuário: gerar de novo nesta máquina</w:t>
            </w:r>
          </w:p>
        </w:tc>
      </w:tr>
      <w:tr>
        <w:tc>
          <w:tcPr>
            <w:tcW w:type="dxa" w:w="3685"/>
          </w:tcPr>
          <w:p>
            <w:r/>
            <w:r>
              <w:t xml:space="preserve">Nenhum arquivo de log / nada na </w:t>
            </w:r>
            <w:r>
              <w:rPr>
                <w:rFonts w:ascii="Consolas" w:hAnsi="Consolas"/>
                <w:sz w:val="19"/>
              </w:rPr>
              <w:t>dbo.Logs</w:t>
            </w:r>
          </w:p>
        </w:tc>
        <w:tc>
          <w:tcPr>
            <w:tcW w:type="dxa" w:w="5669"/>
          </w:tcPr>
          <w:p>
            <w:r/>
            <w:r>
              <w:rPr>
                <w:rFonts w:ascii="Consolas" w:hAnsi="Consolas"/>
                <w:sz w:val="19"/>
              </w:rPr>
              <w:t>NLog.config</w:t>
            </w:r>
            <w:r>
              <w:t xml:space="preserve"> ausente, com </w:t>
            </w:r>
            <w:r>
              <w:rPr>
                <w:rFonts w:ascii="Consolas" w:hAnsi="Consolas"/>
                <w:sz w:val="19"/>
              </w:rPr>
              <w:t>writeTo</w:t>
            </w:r>
            <w:r>
              <w:t xml:space="preserve"> apontando para target inexistente, com </w:t>
            </w:r>
            <w:r>
              <w:rPr>
                <w:rFonts w:ascii="Consolas" w:hAnsi="Consolas"/>
                <w:sz w:val="19"/>
              </w:rPr>
              <w:t>NLog.Web.AspNetCore</w:t>
            </w:r>
            <w:r>
              <w:t xml:space="preserve">, ou conta sem acesso ao LogDB: ver </w:t>
            </w:r>
            <w:r>
              <w:rPr>
                <w:rFonts w:ascii="Consolas" w:hAnsi="Consolas"/>
                <w:sz w:val="19"/>
              </w:rPr>
              <w:t>log\internal-nlog.txt</w:t>
            </w:r>
          </w:p>
        </w:tc>
      </w:tr>
      <w:tr>
        <w:tc>
          <w:tcPr>
            <w:tcW w:type="dxa" w:w="3685"/>
          </w:tcPr>
          <w:p>
            <w:r/>
            <w:r>
              <w:t>"Hosting environment: Production" no início</w:t>
            </w:r>
          </w:p>
        </w:tc>
        <w:tc>
          <w:tcPr>
            <w:tcW w:type="dxa" w:w="5669"/>
          </w:tcPr>
          <w:p>
            <w:r/>
            <w:r>
              <w:t xml:space="preserve">apenas rótulo do host; a configuração usa </w:t>
            </w:r>
            <w:r>
              <w:rPr>
                <w:rFonts w:ascii="Consolas" w:hAnsi="Consolas"/>
                <w:sz w:val="19"/>
              </w:rPr>
              <w:t>DOTNET_ENVIRONMENT</w:t>
            </w:r>
            <w:r>
              <w:t xml:space="preserve"> (sem ela, Development)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