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56"/>
        </w:rPr>
        <w:t>Integração com a API da Seguros Mundial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sz w:val="30"/>
        </w:rPr>
        <w:t>Análise técnica, estimativa e plano de execução</w:t>
      </w:r>
    </w:p>
    <w:p>
      <w:pPr>
        <w:spacing w:before="0" w:after="0"/>
        <w:jc w:val="center"/>
      </w:pPr>
      <w:r>
        <w:rPr>
          <w:rFonts w:ascii="Calibri" w:hAnsi="Calibri"/>
          <w:b w:val="0"/>
          <w:i w:val="0"/>
          <w:sz w:val="22"/>
        </w:rPr>
        <w:t>Integração do BRS Cloud com as APIs da Compañía Mundial de Seguros (Colômbia)</w:t>
      </w:r>
    </w:p>
    <w:p>
      <w:pPr>
        <w:spacing w:before="0" w:after="0"/>
        <w:jc w:val="center"/>
      </w:pPr>
      <w:r>
        <w:rPr>
          <w:rFonts w:ascii="Calibri" w:hAnsi="Calibri"/>
          <w:b w:val="0"/>
          <w:i w:val="0"/>
          <w:sz w:val="22"/>
        </w:rPr>
        <w:t>Antlia · Crawford Brasil</w:t>
      </w:r>
    </w:p>
    <w:p>
      <w:pPr>
        <w:spacing w:before="0" w:after="200"/>
        <w:jc w:val="center"/>
      </w:pPr>
      <w:r>
        <w:rPr>
          <w:rFonts w:ascii="Calibri" w:hAnsi="Calibri"/>
          <w:b w:val="0"/>
          <w:i w:val="0"/>
          <w:sz w:val="22"/>
        </w:rPr>
        <w:t>Elaborado por Nelson Diniz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30"/>
        </w:rPr>
        <w:t>1. Sumário executivo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Este documento consolida a análise técnica da integração entre o BRS Cloud e as APIs da Compañía Mundial de Seguros, na Colômbia, a estimativa de esforço e o plano de execução em cards. A base são os três manuais entregues pelo cliente — operações de sinistros, autorização de tratamento de dados e lineamentos de APIs RESTful — e a leitura do código do BRS Cloud.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A conclusão da análise é que a integração é viável e de risco técnico moderado, mas não é um trabalho de encanamento. O custo não está em chamar cinco endereços: está em representar, dentro do BRS Cloud, uma estrutura de valores que ele hoje não tem, e em traduzir os códigos de um sistema para os do outro.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A API da Mundial trabalha com estimativas por tipo — indenização, gastos de indenização, honorários, salvados, recobro e outros, nove ao todo — cada uma com subconceitos e com um número de subreclamação devolvido na abertura da reserva, que a liquidação e a objeção exigem de volta. O BRS Cloud guarda reserva e indenização como valores únicos no sinistro e no item. Essa diferença de granularidade é o item mais caro e mais arriscado do projeto, e é dela que dependem quatro das cinco operações.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Há base relevante já pronta e ociosa no sistema: o barramento de mensagens em produção, que dispensa construir fila e retentativa; o registro de alteração de valores de sinistro, que dá o gatilho natural da modificação de reserva; a estrutura de configuração de importação, que serve de modelo para a correspondência de códigos; e os campos de código já existentes em Cidade e em Filial.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1"/>
        </w:rPr>
        <w:t xml:space="preserve">Recomenda-se apresentar ao cliente a faixa de </w:t>
      </w:r>
      <w:r>
        <w:rPr>
          <w:rFonts w:ascii="Calibri" w:hAnsi="Calibri"/>
          <w:b/>
          <w:i w:val="0"/>
          <w:sz w:val="21"/>
        </w:rPr>
        <w:t>210 a 270 horas</w:t>
      </w:r>
      <w:r>
        <w:rPr>
          <w:rFonts w:ascii="Calibri" w:hAnsi="Calibri"/>
          <w:b w:val="0"/>
          <w:i w:val="0"/>
          <w:sz w:val="21"/>
        </w:rPr>
        <w:t xml:space="preserve"> para o escopo central, e não o número fechado. Se o bloco de proteção de dados entrar no escopo, somam-se </w:t>
      </w:r>
      <w:r>
        <w:rPr>
          <w:rFonts w:ascii="Calibri" w:hAnsi="Calibri"/>
          <w:b/>
          <w:i w:val="0"/>
          <w:sz w:val="21"/>
        </w:rPr>
        <w:t>40 a 55 horas</w:t>
      </w:r>
      <w:r>
        <w:rPr>
          <w:rFonts w:ascii="Calibri" w:hAnsi="Calibri"/>
          <w:b w:val="0"/>
          <w:i w:val="0"/>
          <w:sz w:val="21"/>
        </w:rPr>
        <w:t>. Em banco de horas fatura-se o consumido: a faixa protege o fornecedor nos itens de maior incerteza e beneficia o cliente quando a entrega vem abaixo do previsto.</w:t>
      </w:r>
    </w:p>
    <w:p>
      <w:pPr>
        <w:spacing w:after="120"/>
        <w:jc w:val="both"/>
      </w:pPr>
      <w:r>
        <w:rPr>
          <w:rFonts w:ascii="Calibri" w:hAnsi="Calibri"/>
          <w:b/>
          <w:i w:val="0"/>
          <w:sz w:val="21"/>
        </w:rPr>
        <w:t xml:space="preserve">Sobre o prazo. </w:t>
      </w:r>
      <w:r>
        <w:rPr>
          <w:rFonts w:ascii="Calibri" w:hAnsi="Calibri"/>
          <w:b w:val="0"/>
          <w:i w:val="0"/>
          <w:sz w:val="21"/>
        </w:rPr>
        <w:t>Este plano é expresso em horas e dias úteis, sem datas de calendário. O projeto consome o mesmo desenvolvedor do portal externo, e por isso só começa depois daquela entrega, salvo se for alocado um segundo desenvolvedor. As datas só devem ser fixadas quando a data de partida estiver definida e as pendências do item 3.6 estiverem resolvidas.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948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Indicador</w:t>
            </w:r>
          </w:p>
        </w:tc>
        <w:tc>
          <w:tcPr>
            <w:tcW w:type="dxa" w:w="6803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Esforço estimado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220h no escopo central, 260h com o card opcional</w:t>
            </w:r>
          </w:p>
        </w:tc>
      </w:tr>
      <w:tr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Faixa a apresentar ao cliente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210 a 270 horas (mais 40 a 55 horas com o card opcional)</w:t>
            </w:r>
          </w:p>
        </w:tc>
      </w:tr>
      <w:tr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Dedicação considerada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 horas por dia, dedicação integral, um desenvolvedor</w:t>
            </w:r>
          </w:p>
        </w:tc>
      </w:tr>
      <w:tr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Duração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28 dias úteis no escopo central, 33 dias úteis com o card opcional</w:t>
            </w:r>
          </w:p>
        </w:tc>
      </w:tr>
      <w:tr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Partida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Após a entrega do portal externo, que ocupa o mesmo desenvolvedor</w:t>
            </w:r>
          </w:p>
        </w:tc>
      </w:tr>
      <w:tr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Plano de execução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cards e 23 itens, mais 1 card opcional com 4 itens</w:t>
            </w:r>
          </w:p>
        </w:tc>
      </w:tr>
      <w:tr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Modelo comercial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Banco de horas</w:t>
            </w:r>
          </w:p>
        </w:tc>
      </w:tr>
    </w:tbl>
    <w:p>
      <w:pPr>
        <w:spacing w:before="0" w:after="80"/>
        <w:jc w:val="both"/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30"/>
        </w:rPr>
        <w:t>2. Contexto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2.1. O que motivou o projeto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A Crawford regula sinistros para a Seguros Mundial na Colômbia. Hoje o que é apurado no BRS Cloud é repassado à seguradora por fora do sistema. A Mundial publicou APIs para receber essa informação diretamente, e a proposta é que o BRS Cloud passe a alimentá-las.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Na reunião que definiu o escopo ficou estabelecido que este é um projeto separado do portal externo, também em banco de horas, e que a Crawford apresentará ao cliente um valor estimado proporcional às horas. Foi registrado que o projeto não é crítico em prazo, o que permite encadeá-lo após a entrega do portal.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2.2. O que a Mundial expõe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São duas APIs e um documento de padrões: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Operações de sinistros, na versão 2: criação do sinistro, abertura de reserva, modificação de reserva, liquidação e objeção. É o núcleo do projeto.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Autorização de tratamento de dados pessoais e de canais de cobrança: criação, consulta do histórico, consulta da autorização vigente, revogação e um aviso por webhook. É um bloco independente, que pode ou não entrar no escopo.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Lineamentos de APIs RESTful: o padrão que a Mundial segue e que a nossa ponta precisa seguir no único ponto em que expomos endereço, que é o webhook.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O fluxo é de saída: o BRS Cloud consome as APIs da Mundial. A única exceção é o webhook de autorização, em que a Mundial chama um endereço nosso.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30"/>
        </w:rPr>
        <w:t>3. Análise técnica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3.1. O que a integração exige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Toda chamada exige um token Bearer obtido com credenciais atribuídas pela área de integrações da Mundial e seis cabeçalhos de rastreabilidade: nome da aplicação, identificador de correlação, usuário que originou a operação, operação realizada, marca de tempo e tipo de conteúdo. As datas seguem o padrão ISO 8601 em UTC e o conteúdo é UTF-8.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As cinco operações são encadeadas, e o encadeamento é a parte mais delicada do desenho: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268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Operação</w:t>
            </w:r>
          </w:p>
        </w:tc>
        <w:tc>
          <w:tcPr>
            <w:tcW w:type="dxa" w:w="4082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O que exige de uma operação anterior</w:t>
            </w:r>
          </w:p>
        </w:tc>
        <w:tc>
          <w:tcPr>
            <w:tcW w:type="dxa" w:w="3402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O que devolve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Criação do sinistro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nada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identificador, número e exercício do sinistro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Abertura de reserva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identificador do sinistro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código de estimativa e número de subreclamação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Modificação de reserva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identificador do sinistro e causa da modificação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estimativas atualizadas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Liquidação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código de estimativa e número de subreclamação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ordem de pagamento, solicitação e autorização técnica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Objeção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código de estimativa e número de subreclamação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confirmação da objeção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Ou seja: sem persistir o que a Mundial devolve em cada passo, os passos seguintes não acontecem. Isso torna o registro da integração um requisito de funcionamento, e não apenas de auditoria.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3.2. O que já existe e reduz o esforço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Barramento de mensagens em produção, com consumidores próprios já em uso. O envio assíncrono, a retentativa e o desacoplamento da tela do usuário entram como mais um consumidor, sem construir mecanismo novo.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Registro de alteração de valores do sinistro já modelado e publicado como evento. É o gatilho natural da modificação de reserva.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Estrutura de configuração de importação que faz correspondência de valor por campo, com telas de manutenção já prontas. Serve de modelo para a correspondência de códigos, em vez de partir do zero.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Campos de código já existentes em Cidade e em Filial, que podem receber o código do município e o da sucursal de expedição sem alteração de modelo.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Campo de código externo já existente em Pessoa, útil para a identificação do tomador e do terceiro a pagar.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Módulo de parâmetros no portal, com várias telas de manutenção no mesmo padrão, que reduz o esforço da tela de administração da correspondência.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Infraestrutura de envio de e-mail pronta e em uso, que cobre o aviso de falha.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Projetos de Colômbia já existentes no sistema, em aplicação, domínio e dados. A integração tem onde morar sem criar estrutura de país.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3.3. O que não existe e precisa ser construído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Qualquer cliente REST de saída autenticado. As integrações existentes são internas e usam outro protocolo. Não há hoje obtenção de token, renovação nem cabeçalhos padrão.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Qualquer registro de integração: não existe tabela que guarde o que foi enviado, o que voltou e em que estado ficou cada operação.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Qualquer estrutura de correspondência de códigos entre o BRS Cloud e um sistema externo.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Campo de código em Cobertura, que é justamente a entidade de que a API mais depende — ramo, subramo e cobertura aparecem em quatro das cinco operações.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Estimativas por tipo e subreclamações, tratadas no item seguinte.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Qualquer endereço exposto para recebimento de aviso externo.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3.4. A maior diferença estrutural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A Mundial trabalha a reserva em três grupos de valor — indenização, gastos de indenização e honorários — e cada grupo admite subconceitos. A cada abertura de reserva ela devolve uma lista de estimativas, com código, número de subreclamação e valor. A liquidação e a objeção só funcionam citando esses dois números de volta.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O BRS Cloud guarda, no sinistro e no item, valores únicos: reserva inicial, reserva final, valor apurado, valor reclamado, valor indenizado, estimativa de prejuízo e estimativa de honorário. Não há quebra por tipo de estimativa, não há subconceito e não há subreclamação.</w:t>
      </w:r>
    </w:p>
    <w:p>
      <w:pPr>
        <w:spacing w:after="120"/>
        <w:jc w:val="both"/>
      </w:pPr>
      <w:r>
        <w:rPr>
          <w:rFonts w:ascii="Calibri" w:hAnsi="Calibri"/>
          <w:b/>
          <w:i w:val="0"/>
          <w:sz w:val="21"/>
        </w:rPr>
        <w:t xml:space="preserve">A consequência prática: </w:t>
      </w:r>
      <w:r>
        <w:rPr>
          <w:rFonts w:ascii="Calibri" w:hAnsi="Calibri"/>
          <w:b w:val="0"/>
          <w:i w:val="0"/>
          <w:sz w:val="21"/>
        </w:rPr>
        <w:t>não basta mapear campo a campo. É preciso decidir, com a Crawford, quem informa a quebra de valores, em que tela, e como os valores hoje existentes se distribuem nos três grupos da Mundial. Essa decisão é de negócio, não técnica, e está na frente de quatro itens do card 03. Enquanto ela não for tomada, a reserva, a liquidação e a objeção não podem ser fechadas.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3.5. Divergências encontradas nos manuais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A leitura dos manuais mostrou pontos que precisam ser confirmados com a Mundial antes da implementação. Nenhum deles é impeditivo, mas todos geram retrabalho se descobertos durante a homologação: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928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Ponto</w:t>
            </w:r>
          </w:p>
        </w:tc>
        <w:tc>
          <w:tcPr>
            <w:tcW w:type="dxa" w:w="3628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O que o manual diz</w:t>
            </w:r>
          </w:p>
        </w:tc>
        <w:tc>
          <w:tcPr>
            <w:tcW w:type="dxa" w:w="4195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O que precisa ser confirmado</w:t>
            </w:r>
          </w:p>
        </w:tc>
      </w:tr>
      <w:tr>
        <w:tc>
          <w:tcPr>
            <w:tcW w:type="dxa" w:w="19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Manual de autenticação</w:t>
            </w:r>
          </w:p>
        </w:tc>
        <w:tc>
          <w:tcPr>
            <w:tcW w:type="dxa" w:w="36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É citado como referência para obter o token</w:t>
            </w:r>
          </w:p>
        </w:tc>
        <w:tc>
          <w:tcPr>
            <w:tcW w:type="dxa" w:w="4195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Não foi entregue. Sem ele, a URL do token, o formato das credenciais e a expiração são desconhecidos</w:t>
            </w:r>
          </w:p>
        </w:tc>
      </w:tr>
      <w:tr>
        <w:tc>
          <w:tcPr>
            <w:tcW w:type="dxa" w:w="19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Identificador de transação</w:t>
            </w:r>
          </w:p>
        </w:tc>
        <w:tc>
          <w:tcPr>
            <w:tcW w:type="dxa" w:w="36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Serve para relacionar todas as operações de um sinistro</w:t>
            </w:r>
          </w:p>
        </w:tc>
        <w:tc>
          <w:tcPr>
            <w:tcW w:type="dxa" w:w="4195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Os exemplos de criação e de reserva usam valores diferentes. É um por sinistro ou um por operação?</w:t>
            </w:r>
          </w:p>
        </w:tc>
      </w:tr>
      <w:tr>
        <w:tc>
          <w:tcPr>
            <w:tcW w:type="dxa" w:w="19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Versão do caminho</w:t>
            </w:r>
          </w:p>
        </w:tc>
        <w:tc>
          <w:tcPr>
            <w:tcW w:type="dxa" w:w="36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Criação, reserva e liquidação estão na versão 2</w:t>
            </w:r>
          </w:p>
        </w:tc>
        <w:tc>
          <w:tcPr>
            <w:tcW w:type="dxa" w:w="4195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 objeção está publicada na versão 1. É intencional?</w:t>
            </w:r>
          </w:p>
        </w:tc>
      </w:tr>
      <w:tr>
        <w:tc>
          <w:tcPr>
            <w:tcW w:type="dxa" w:w="19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Código de retorno</w:t>
            </w:r>
          </w:p>
        </w:tc>
        <w:tc>
          <w:tcPr>
            <w:tcW w:type="dxa" w:w="36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 criação responde 200 com estado 201; reserva e liquidação respondem 201</w:t>
            </w:r>
          </w:p>
        </w:tc>
        <w:tc>
          <w:tcPr>
            <w:tcW w:type="dxa" w:w="4195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Qual o código efetivo de cada operação</w:t>
            </w:r>
          </w:p>
        </w:tc>
      </w:tr>
      <w:tr>
        <w:tc>
          <w:tcPr>
            <w:tcW w:type="dxa" w:w="19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Marca de tempo</w:t>
            </w:r>
          </w:p>
        </w:tc>
        <w:tc>
          <w:tcPr>
            <w:tcW w:type="dxa" w:w="36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Descrita como segundos em um documento e como milissegundos em outro</w:t>
            </w:r>
          </w:p>
        </w:tc>
        <w:tc>
          <w:tcPr>
            <w:tcW w:type="dxa" w:w="4195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 unidade efetiva do campo de resposta</w:t>
            </w:r>
          </w:p>
        </w:tc>
      </w:tr>
      <w:tr>
        <w:tc>
          <w:tcPr>
            <w:tcW w:type="dxa" w:w="19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Campos da objeção</w:t>
            </w:r>
          </w:p>
        </w:tc>
        <w:tc>
          <w:tcPr>
            <w:tcW w:type="dxa" w:w="36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 tabela de campos traz o código de cobertura</w:t>
            </w:r>
          </w:p>
        </w:tc>
        <w:tc>
          <w:tcPr>
            <w:tcW w:type="dxa" w:w="4195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 exemplo do corpo não o inclui. É obrigatório?</w:t>
            </w:r>
          </w:p>
        </w:tc>
      </w:tr>
      <w:tr>
        <w:tc>
          <w:tcPr>
            <w:tcW w:type="dxa" w:w="19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Campos da criação</w:t>
            </w:r>
          </w:p>
        </w:tc>
        <w:tc>
          <w:tcPr>
            <w:tcW w:type="dxa" w:w="36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Identificação do risco e endereço de ocorrência aparecem como obrigatórios</w:t>
            </w:r>
          </w:p>
        </w:tc>
        <w:tc>
          <w:tcPr>
            <w:tcW w:type="dxa" w:w="4195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 exemplo envia o endereço vazio e o manual marca a identificação como não obrigatória</w:t>
            </w:r>
          </w:p>
        </w:tc>
      </w:tr>
      <w:tr>
        <w:tc>
          <w:tcPr>
            <w:tcW w:type="dxa" w:w="19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Descrição do retorno</w:t>
            </w:r>
          </w:p>
        </w:tc>
        <w:tc>
          <w:tcPr>
            <w:tcW w:type="dxa" w:w="362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 modificação de reserva responde "Apertura de Siniestro creada exitosamente"</w:t>
            </w:r>
          </w:p>
        </w:tc>
        <w:tc>
          <w:tcPr>
            <w:tcW w:type="dxa" w:w="4195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Aparenta ser cópia da seção anterior no manual</w:t>
            </w:r>
          </w:p>
        </w:tc>
      </w:tr>
    </w:tbl>
    <w:p>
      <w:pPr>
        <w:spacing w:before="0" w:after="80"/>
        <w:jc w:val="both"/>
      </w:pP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3.6. Dependências fora do nosso alcance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Credenciais de ambiente de testes e de produção, atribuídas pela área de integrações da Mundial.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Liberação dos nossos endereços de saída na plataforma de integração da Mundial. O manual de proteção de dados é explícito quanto a isso e o mesmo deve valer para sinistros.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Tabelas de códigos de ramo, subramo, cobertura, causa do sinistro, causa de modificação de reserva e motivo de objeção. Os manuais só publicam tipos de documento e tipos de estimativa.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Definição, pela Crawford, do momento em que cada operação deve ser disparada e de quem autoriza a liquidação.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Janela de homologação com a equipe da Mundial.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30"/>
        </w:rPr>
        <w:t>4. Estimativa e plano de execução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4.1.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907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Card</w:t>
            </w:r>
          </w:p>
        </w:tc>
        <w:tc>
          <w:tcPr>
            <w:tcW w:type="dxa" w:w="5669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Frente de trabalho</w:t>
            </w:r>
          </w:p>
        </w:tc>
        <w:tc>
          <w:tcPr>
            <w:tcW w:type="dxa" w:w="1361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Itens</w:t>
            </w:r>
          </w:p>
        </w:tc>
        <w:tc>
          <w:tcPr>
            <w:tcW w:type="dxa" w:w="1814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Horas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01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Fundação da integração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34h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02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Parametrização de códigos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36h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03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Operações de sinistro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88h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04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Operação e visibilidade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24h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05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Qualidade e entrega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38h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06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Proteção de dados (ATDP) — opcional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40h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27</w:t>
            </w:r>
          </w:p>
        </w:tc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260h</w:t>
            </w:r>
          </w:p>
        </w:tc>
      </w:tr>
    </w:tbl>
    <w:p>
      <w:pPr>
        <w:spacing w:before="0" w:after="80"/>
        <w:jc w:val="both"/>
      </w:pPr>
    </w:p>
    <w:p>
      <w:pPr>
        <w:spacing w:after="120"/>
        <w:jc w:val="both"/>
      </w:pPr>
      <w:r>
        <w:rPr>
          <w:rFonts w:ascii="Calibri" w:hAnsi="Calibri"/>
          <w:b/>
          <w:i w:val="0"/>
          <w:sz w:val="21"/>
        </w:rPr>
        <w:t xml:space="preserve">O card 06 é opcional. </w:t>
      </w:r>
      <w:r>
        <w:rPr>
          <w:rFonts w:ascii="Calibri" w:hAnsi="Calibri"/>
          <w:b w:val="0"/>
          <w:i w:val="0"/>
          <w:sz w:val="21"/>
        </w:rPr>
        <w:t>Sem ele, o projeto fica em 220h, 5 cards e 23 itens, o equivalente a 28 dias úteis.</w:t>
      </w:r>
    </w:p>
    <w:p>
      <w:pPr>
        <w:spacing w:after="120"/>
        <w:jc w:val="both"/>
      </w:pPr>
      <w:r>
        <w:rPr>
          <w:rFonts w:ascii="Calibri" w:hAnsi="Calibri"/>
          <w:b/>
          <w:i w:val="0"/>
          <w:sz w:val="21"/>
        </w:rPr>
        <w:t xml:space="preserve">Uma observação sobre o card 03. </w:t>
      </w:r>
      <w:r>
        <w:rPr>
          <w:rFonts w:ascii="Calibri" w:hAnsi="Calibri"/>
          <w:b w:val="0"/>
          <w:i w:val="0"/>
          <w:sz w:val="21"/>
        </w:rPr>
        <w:t>Com 88h, ele é bem maior que os demais, porque concentra as cinco operações e a estrutura de valores que as sustenta. Se a equipe preferir acompanhar em pedaços menores, ele se divide naturalmente em dois: sinistro e reserva de um lado, liquidação e objeção do outro.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4.2. Itens, na ordem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907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Card</w:t>
            </w:r>
          </w:p>
        </w:tc>
        <w:tc>
          <w:tcPr>
            <w:tcW w:type="dxa" w:w="7597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Item</w:t>
            </w:r>
          </w:p>
        </w:tc>
        <w:tc>
          <w:tcPr>
            <w:tcW w:type="dxa" w:w="1247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Horas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01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Cliente HTTP, autenticação e cabeçalhos obrigatórios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12h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01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Registro e rastreabilidade das chamadas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10h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01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Envio assíncrono, retentativa e idempotência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8h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01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Configuração de ambiente, credenciais e ativação por cliente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02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Modelo de correspondência de códigos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10h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02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Resolução e validação dos códigos no envio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8h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02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Endpoints de manutenção da correspondência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02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Tela de administração da correspondência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12h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03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Estrutura de estimativas e subreclamações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12h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03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Criação do sinistro na Mundial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14h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03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Gatilhos de envio e reenvio manual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8h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03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Abertura de reserva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14h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03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Modificação de reserva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10h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03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Liquidação do sinistro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16h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03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Objeção do sinistro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8h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03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Mapeamento dos valores do sinistro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04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Painel de integração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14h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04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Alerta de falha de integração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04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Consulta de rastreabilidade por sinistro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05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Testes automatizados dos contratos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12h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05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Homologação no ambiente de testes da Mundial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14h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05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Documentação da integração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05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Publicação e acompanhamento assistido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06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Autorização de tratamento de dados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12h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06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Canais autorizados para gestão de cobrança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8h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06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Webhook de atualização de autorização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12h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06</w:t>
            </w:r>
          </w:p>
        </w:tc>
        <w:tc>
          <w:tcPr>
            <w:tcW w:type="dxa" w:w="759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Tela de consulta e registro da autorização</w:t>
            </w:r>
          </w:p>
        </w:tc>
        <w:tc>
          <w:tcPr>
            <w:tcW w:type="dxa" w:w="1247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8h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A ordem acima é a ordem de execução, e respeita as dependências registradas em cada item. As datas de início e entrega não foram fixadas: dependem da data de partida e das pendências do item 3.6.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4.3. Premissas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Um desenvolvedor, dedicação integral, oito horas por dia.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Partida imediatamente após a entrega do portal externo, com o mesmo desenvolvedor. Antecipar exige um segundo desenvolvedor.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A duração é contada em dias úteis. Recesso, feriado prolongado ou dedicação parcial estendem a entrega na mesma proporção.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Credenciais e liberação de acesso ao ambiente de testes disponíveis antes do card 01. É a premissa mais frágil do plano.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Tabelas de códigos da Mundial entregues antes do card 02.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Decisões de negócio sobre quebra de valores, gatilhos e autorização de liquidação tomadas antes do card 03.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Homologação com acompanhamento da equipe da Mundial dentro da janela prevista no card 05.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4.4. Não incluído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Qualquer alteração no fluxo de regulação do BRS Cloud que não seja exigida pela integração.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Migração ou reenvio de sinistros anteriores à entrada da integração em produção.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Consumo de outras APIs da Mundial que não as três documentadas nos manuais entregues.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Atendimento a outra seguradora. A estrutura é preparada para receber outras, mas a parametrização de uma segunda seguradora é projeto próprio.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Alteração de infraestrutura para publicar o endereço do webhook, caso o card opcional entre no escopo.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Atualização da plataforma. O sistema roda hoje em uma versão de framework já fora de suporte do fabricante; a integração foi dimensionada para funcionar nela como está.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4.5.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608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Risco</w:t>
            </w:r>
          </w:p>
        </w:tc>
        <w:tc>
          <w:tcPr>
            <w:tcW w:type="dxa" w:w="3061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Impacto</w:t>
            </w:r>
          </w:p>
        </w:tc>
        <w:tc>
          <w:tcPr>
            <w:tcW w:type="dxa" w:w="4082"/>
            <w:shd w:val="clear" w:color="auto" w:fill="DCE3F0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Tratamento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Ausência do manual de autenticação</w:t>
            </w:r>
          </w:p>
        </w:tc>
        <w:tc>
          <w:tcPr>
            <w:tcW w:type="dxa" w:w="30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Bloqueia o card 01 e, com ele, todo o projeto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Solicitar à Mundial antes do início; é o primeiro item do checklist do card 01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Quebra de valores por tipo de estimativa</w:t>
            </w:r>
          </w:p>
        </w:tc>
        <w:tc>
          <w:tcPr>
            <w:tcW w:type="dxa" w:w="30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Alto: define a granularidade de quatro operações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Fechar a decisão de negócio com a Crawford antes do card 03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Tabelas de códigos não entregues</w:t>
            </w:r>
          </w:p>
        </w:tc>
        <w:tc>
          <w:tcPr>
            <w:tcW w:type="dxa" w:w="30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Impede preencher a correspondência e homologar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Solicitar junto com as credenciais; o card 02 já prevê o pedido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Divergências entre manual e comportamento real</w:t>
            </w:r>
          </w:p>
        </w:tc>
        <w:tc>
          <w:tcPr>
            <w:tcW w:type="dxa" w:w="30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Retrabalho durante a homologação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As divergências já mapeadas estão no item 3.5 e devem ser confirmadas antes da implementação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Disponibilidade da equipe da Mundial</w:t>
            </w:r>
          </w:p>
        </w:tc>
        <w:tc>
          <w:tcPr>
            <w:tcW w:type="dxa" w:w="30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Atrasa a homologação, que é o fim do projeto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Agendar a janela de homologação com antecedência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Efeito financeiro da liquidação</w:t>
            </w:r>
          </w:p>
        </w:tc>
        <w:tc>
          <w:tcPr>
            <w:tcW w:type="dxa" w:w="30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Um envio indevido gera pagamento na seguradora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Confirmação explícita, registro de quem autorizou e ausência de reenvio automático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Encadeamento com o portal externo</w:t>
            </w:r>
          </w:p>
        </w:tc>
        <w:tc>
          <w:tcPr>
            <w:tcW w:type="dxa" w:w="3061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Atraso no portal desloca a partida deste projeto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Tratar os dois planos em conjunto ou alocar um segundo desenvolvedor</w:t>
            </w:r>
          </w:p>
        </w:tc>
      </w:tr>
    </w:tbl>
    <w:p>
      <w:pPr>
        <w:spacing w:before="0" w:after="80"/>
        <w:jc w:val="both"/>
      </w:pP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4.6. O que precisa ser respondido antes do início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Para a Mundial: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Manual de autenticação, credenciais de teste e de produção.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Liberação dos nossos endereços de saída na plataforma de integração.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Tabelas de ramo, subramo, cobertura, causa do sinistro, causa de modificação de reserva e motivo de objeção.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Confirmação dos oito pontos divergentes listados no item 3.5.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Janela de homologação no ambiente de testes.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Para a Crawford: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O bloco de proteção de dados entra no escopo?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Quem informa a quebra de valores por tipo de estimativa, e em que tela?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Em que momento cada operação deve ser disparada?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Quem autoriza a liquidação, que é a operação com efeito financeiro?</w:t>
      </w:r>
    </w:p>
    <w:p>
      <w:pPr>
        <w:pStyle w:val="ListBullet"/>
        <w:spacing w:after="40"/>
        <w:jc w:val="both"/>
      </w:pPr>
      <w:r>
        <w:rPr>
          <w:rFonts w:ascii="Calibri" w:hAnsi="Calibri"/>
          <w:sz w:val="21"/>
        </w:rPr>
        <w:t>De qual campo do sinistro sai cada valor enviado à Mundial?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4.7. Detalhamento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1"/>
        </w:rPr>
        <w:t>O detalhamento de cada card e de cada item — objetivo, contexto, critérios de sucesso, riscos técnicos e passos — está no documento Cards_API_Mundial_BRSCloud.docx e no arquivo Cards_Jira_API_Mundial.csv, pronto para importação em lote no Jira. Antes de importar, é preciso substituir CRAWFORD-XX, na coluna Parent, pela chave do épico criado para este projeto. As datas não foram preenchidas no arquivo e devem ser definidas no Jira quando a data de partida estiver fechada.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