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56"/>
        </w:rPr>
        <w:t>Integração com a API da Seguros Mundial</w:t>
      </w:r>
    </w:p>
    <w:p>
      <w:pPr>
        <w:spacing w:before="0" w:after="40"/>
        <w:jc w:val="center"/>
      </w:pPr>
      <w:r>
        <w:rPr>
          <w:rFonts w:ascii="Calibri" w:hAnsi="Calibri"/>
          <w:b w:val="0"/>
          <w:i w:val="0"/>
          <w:sz w:val="30"/>
        </w:rPr>
        <w:t>Cards para abertura no Jira</w:t>
      </w:r>
    </w:p>
    <w:p>
      <w:pPr>
        <w:spacing w:before="0" w:after="0"/>
        <w:jc w:val="center"/>
      </w:pPr>
      <w:r>
        <w:rPr>
          <w:rFonts w:ascii="Calibri" w:hAnsi="Calibri"/>
          <w:b w:val="0"/>
          <w:i w:val="0"/>
          <w:sz w:val="22"/>
        </w:rPr>
        <w:t>Integração do BRS Cloud com as APIs de sinistros da Compañía Mundial de Seguros (Colômbia)</w:t>
      </w:r>
    </w:p>
    <w:p>
      <w:pPr>
        <w:spacing w:before="0" w:after="0"/>
        <w:jc w:val="center"/>
      </w:pPr>
      <w:r>
        <w:rPr>
          <w:rFonts w:ascii="Calibri" w:hAnsi="Calibri"/>
          <w:b w:val="0"/>
          <w:i w:val="0"/>
          <w:sz w:val="22"/>
        </w:rPr>
        <w:t>Antlia · Crawford Brasil</w:t>
      </w:r>
    </w:p>
    <w:p>
      <w:pPr>
        <w:spacing w:before="0" w:after="200"/>
        <w:jc w:val="center"/>
      </w:pPr>
      <w:r>
        <w:rPr>
          <w:rFonts w:ascii="Calibri" w:hAnsi="Calibri"/>
          <w:b w:val="0"/>
          <w:i w:val="0"/>
          <w:sz w:val="22"/>
        </w:rPr>
        <w:t>Elaborado por Nelson Diniz</w:t>
      </w:r>
    </w:p>
    <w:p>
      <w:pPr>
        <w:spacing w:before="0" w:after="120"/>
        <w:jc w:val="both"/>
      </w:pPr>
      <w:r>
        <w:rPr>
          <w:rFonts w:ascii="Calibri" w:hAnsi="Calibri"/>
          <w:b w:val="0"/>
          <w:i w:val="0"/>
          <w:sz w:val="21"/>
        </w:rPr>
        <w:t>Relação dos cards da integração entre o BRS Cloud e as APIs da Seguros Mundial, a partir dos manuais entregues pelo cliente: operações de sinistros, autorização de tratamento de dados e lineamentos de APIs RESTful.</w:t>
      </w:r>
    </w:p>
    <w:p>
      <w:pPr>
        <w:spacing w:after="120"/>
        <w:jc w:val="both"/>
      </w:pPr>
      <w:r>
        <w:rPr>
          <w:rFonts w:ascii="Calibri" w:hAnsi="Calibri"/>
          <w:b/>
          <w:i w:val="0"/>
          <w:sz w:val="21"/>
        </w:rPr>
        <w:t xml:space="preserve">São 5 cards, mais 1 opcional. </w:t>
      </w:r>
      <w:r>
        <w:rPr>
          <w:rFonts w:ascii="Calibri" w:hAnsi="Calibri"/>
          <w:b w:val="0"/>
          <w:i w:val="0"/>
          <w:sz w:val="21"/>
        </w:rPr>
        <w:t>Cada card corresponde a uma frente de trabalho e reúne vários itens, que entram no Smart Checklist com a estimativa de cada um. O detalhamento de todos os itens — objetivo, contexto e passos — vem logo depois de cada card, para consulta na hora de executar.</w:t>
      </w:r>
    </w:p>
    <w:p>
      <w:pPr>
        <w:spacing w:before="0" w:after="120"/>
        <w:jc w:val="both"/>
      </w:pPr>
      <w:r>
        <w:rPr>
          <w:rFonts w:ascii="Calibri" w:hAnsi="Calibri"/>
          <w:b w:val="0"/>
          <w:i w:val="0"/>
          <w:sz w:val="21"/>
        </w:rPr>
        <w:t>A descrição segue o padrão em uso na Crawford: Objetivo, Contexto, Critérios de sucesso, Riscos técnicos e Outras informações. O campo Estimativa é um acréscimo ao padrão, incluído por se tratar de contratação por banco de horas. A seção Riscos técnicos aparece apenas nos cards em que há risco relevante a registrar.</w:t>
      </w:r>
    </w:p>
    <w:p>
      <w:pPr>
        <w:spacing w:after="120"/>
        <w:jc w:val="both"/>
      </w:pPr>
      <w:r>
        <w:rPr>
          <w:rFonts w:ascii="Calibri" w:hAnsi="Calibri"/>
          <w:b/>
          <w:i w:val="0"/>
          <w:sz w:val="21"/>
        </w:rPr>
        <w:t xml:space="preserve">Antes de importar: </w:t>
      </w:r>
      <w:r>
        <w:rPr>
          <w:rFonts w:ascii="Calibri" w:hAnsi="Calibri"/>
          <w:b w:val="0"/>
          <w:i w:val="0"/>
          <w:sz w:val="21"/>
        </w:rPr>
        <w:t>substituir CRAWFORD-XX, na coluna Parent do arquivo .csv, pela chave do épico criado para este projeto. As datas de início e entrega não foram preenchidas, e devem ser definidas no Jira quando a data de partida do projeto estiver fechada.</w:t>
      </w:r>
    </w:p>
    <w:p>
      <w:pPr>
        <w:spacing w:before="280" w:after="80"/>
        <w:jc w:val="left"/>
      </w:pPr>
      <w:r>
        <w:rPr>
          <w:rFonts w:ascii="Calibri" w:hAnsi="Calibri"/>
          <w:b/>
          <w:i w:val="0"/>
          <w:color w:val="1F3864"/>
          <w:sz w:val="30"/>
        </w:rPr>
        <w:t>Resumo</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907"/>
            <w:shd w:val="clear" w:color="auto" w:fill="DCE3F0"/>
          </w:tcPr>
          <w:p>
            <w:pPr>
              <w:spacing w:after="20"/>
              <w:jc w:val="left"/>
            </w:pPr>
            <w:r/>
            <w:r>
              <w:rPr>
                <w:rFonts w:ascii="Calibri" w:hAnsi="Calibri"/>
                <w:b/>
                <w:sz w:val="19"/>
              </w:rPr>
              <w:t>Card</w:t>
            </w:r>
          </w:p>
        </w:tc>
        <w:tc>
          <w:tcPr>
            <w:tcW w:type="dxa" w:w="5669"/>
            <w:shd w:val="clear" w:color="auto" w:fill="DCE3F0"/>
          </w:tcPr>
          <w:p>
            <w:pPr>
              <w:spacing w:after="20"/>
              <w:jc w:val="left"/>
            </w:pPr>
            <w:r/>
            <w:r>
              <w:rPr>
                <w:rFonts w:ascii="Calibri" w:hAnsi="Calibri"/>
                <w:b/>
                <w:sz w:val="19"/>
              </w:rPr>
              <w:t>Frente de trabalho</w:t>
            </w:r>
          </w:p>
        </w:tc>
        <w:tc>
          <w:tcPr>
            <w:tcW w:type="dxa" w:w="1361"/>
            <w:shd w:val="clear" w:color="auto" w:fill="DCE3F0"/>
          </w:tcPr>
          <w:p>
            <w:pPr>
              <w:spacing w:after="20"/>
              <w:jc w:val="left"/>
            </w:pPr>
            <w:r/>
            <w:r>
              <w:rPr>
                <w:rFonts w:ascii="Calibri" w:hAnsi="Calibri"/>
                <w:b/>
                <w:sz w:val="19"/>
              </w:rPr>
              <w:t>Itens</w:t>
            </w:r>
          </w:p>
        </w:tc>
        <w:tc>
          <w:tcPr>
            <w:tcW w:type="dxa" w:w="1814"/>
            <w:shd w:val="clear" w:color="auto" w:fill="DCE3F0"/>
          </w:tcPr>
          <w:p>
            <w:pPr>
              <w:spacing w:after="20"/>
              <w:jc w:val="left"/>
            </w:pPr>
            <w:r/>
            <w:r>
              <w:rPr>
                <w:rFonts w:ascii="Calibri" w:hAnsi="Calibri"/>
                <w:b/>
                <w:sz w:val="19"/>
              </w:rPr>
              <w:t>Horas</w:t>
            </w:r>
          </w:p>
        </w:tc>
      </w:tr>
      <w:tr>
        <w:tc>
          <w:tcPr>
            <w:tcW w:type="dxa" w:w="907"/>
          </w:tcPr>
          <w:p>
            <w:pPr>
              <w:spacing w:after="20"/>
              <w:jc w:val="left"/>
            </w:pPr>
            <w:r/>
            <w:r>
              <w:rPr>
                <w:rFonts w:ascii="Calibri" w:hAnsi="Calibri"/>
                <w:b w:val="0"/>
                <w:sz w:val="19"/>
              </w:rPr>
              <w:t>01</w:t>
            </w:r>
          </w:p>
        </w:tc>
        <w:tc>
          <w:tcPr>
            <w:tcW w:type="dxa" w:w="5669"/>
          </w:tcPr>
          <w:p>
            <w:pPr>
              <w:spacing w:after="20"/>
              <w:jc w:val="left"/>
            </w:pPr>
            <w:r/>
            <w:r>
              <w:rPr>
                <w:rFonts w:ascii="Calibri" w:hAnsi="Calibri"/>
                <w:b w:val="0"/>
                <w:sz w:val="19"/>
              </w:rPr>
              <w:t>Fundação da integração</w:t>
            </w:r>
          </w:p>
        </w:tc>
        <w:tc>
          <w:tcPr>
            <w:tcW w:type="dxa" w:w="1361"/>
          </w:tcPr>
          <w:p>
            <w:pPr>
              <w:spacing w:after="20"/>
              <w:jc w:val="left"/>
            </w:pPr>
            <w:r/>
            <w:r>
              <w:rPr>
                <w:rFonts w:ascii="Calibri" w:hAnsi="Calibri"/>
                <w:b w:val="0"/>
                <w:sz w:val="19"/>
              </w:rPr>
              <w:t>4</w:t>
            </w:r>
          </w:p>
        </w:tc>
        <w:tc>
          <w:tcPr>
            <w:tcW w:type="dxa" w:w="1814"/>
          </w:tcPr>
          <w:p>
            <w:pPr>
              <w:spacing w:after="20"/>
              <w:jc w:val="left"/>
            </w:pPr>
            <w:r/>
            <w:r>
              <w:rPr>
                <w:rFonts w:ascii="Calibri" w:hAnsi="Calibri"/>
                <w:b w:val="0"/>
                <w:sz w:val="19"/>
              </w:rPr>
              <w:t>34h</w:t>
            </w:r>
          </w:p>
        </w:tc>
      </w:tr>
      <w:tr>
        <w:tc>
          <w:tcPr>
            <w:tcW w:type="dxa" w:w="907"/>
          </w:tcPr>
          <w:p>
            <w:pPr>
              <w:spacing w:after="20"/>
              <w:jc w:val="left"/>
            </w:pPr>
            <w:r/>
            <w:r>
              <w:rPr>
                <w:rFonts w:ascii="Calibri" w:hAnsi="Calibri"/>
                <w:b w:val="0"/>
                <w:sz w:val="19"/>
              </w:rPr>
              <w:t>02</w:t>
            </w:r>
          </w:p>
        </w:tc>
        <w:tc>
          <w:tcPr>
            <w:tcW w:type="dxa" w:w="5669"/>
          </w:tcPr>
          <w:p>
            <w:pPr>
              <w:spacing w:after="20"/>
              <w:jc w:val="left"/>
            </w:pPr>
            <w:r/>
            <w:r>
              <w:rPr>
                <w:rFonts w:ascii="Calibri" w:hAnsi="Calibri"/>
                <w:b w:val="0"/>
                <w:sz w:val="19"/>
              </w:rPr>
              <w:t>Parametrização de códigos</w:t>
            </w:r>
          </w:p>
        </w:tc>
        <w:tc>
          <w:tcPr>
            <w:tcW w:type="dxa" w:w="1361"/>
          </w:tcPr>
          <w:p>
            <w:pPr>
              <w:spacing w:after="20"/>
              <w:jc w:val="left"/>
            </w:pPr>
            <w:r/>
            <w:r>
              <w:rPr>
                <w:rFonts w:ascii="Calibri" w:hAnsi="Calibri"/>
                <w:b w:val="0"/>
                <w:sz w:val="19"/>
              </w:rPr>
              <w:t>4</w:t>
            </w:r>
          </w:p>
        </w:tc>
        <w:tc>
          <w:tcPr>
            <w:tcW w:type="dxa" w:w="1814"/>
          </w:tcPr>
          <w:p>
            <w:pPr>
              <w:spacing w:after="20"/>
              <w:jc w:val="left"/>
            </w:pPr>
            <w:r/>
            <w:r>
              <w:rPr>
                <w:rFonts w:ascii="Calibri" w:hAnsi="Calibri"/>
                <w:b w:val="0"/>
                <w:sz w:val="19"/>
              </w:rPr>
              <w:t>36h</w:t>
            </w:r>
          </w:p>
        </w:tc>
      </w:tr>
      <w:tr>
        <w:tc>
          <w:tcPr>
            <w:tcW w:type="dxa" w:w="907"/>
          </w:tcPr>
          <w:p>
            <w:pPr>
              <w:spacing w:after="20"/>
              <w:jc w:val="left"/>
            </w:pPr>
            <w:r/>
            <w:r>
              <w:rPr>
                <w:rFonts w:ascii="Calibri" w:hAnsi="Calibri"/>
                <w:b w:val="0"/>
                <w:sz w:val="19"/>
              </w:rPr>
              <w:t>03</w:t>
            </w:r>
          </w:p>
        </w:tc>
        <w:tc>
          <w:tcPr>
            <w:tcW w:type="dxa" w:w="5669"/>
          </w:tcPr>
          <w:p>
            <w:pPr>
              <w:spacing w:after="20"/>
              <w:jc w:val="left"/>
            </w:pPr>
            <w:r/>
            <w:r>
              <w:rPr>
                <w:rFonts w:ascii="Calibri" w:hAnsi="Calibri"/>
                <w:b w:val="0"/>
                <w:sz w:val="19"/>
              </w:rPr>
              <w:t>Operações de sinistro</w:t>
            </w:r>
          </w:p>
        </w:tc>
        <w:tc>
          <w:tcPr>
            <w:tcW w:type="dxa" w:w="1361"/>
          </w:tcPr>
          <w:p>
            <w:pPr>
              <w:spacing w:after="20"/>
              <w:jc w:val="left"/>
            </w:pPr>
            <w:r/>
            <w:r>
              <w:rPr>
                <w:rFonts w:ascii="Calibri" w:hAnsi="Calibri"/>
                <w:b w:val="0"/>
                <w:sz w:val="19"/>
              </w:rPr>
              <w:t>8</w:t>
            </w:r>
          </w:p>
        </w:tc>
        <w:tc>
          <w:tcPr>
            <w:tcW w:type="dxa" w:w="1814"/>
          </w:tcPr>
          <w:p>
            <w:pPr>
              <w:spacing w:after="20"/>
              <w:jc w:val="left"/>
            </w:pPr>
            <w:r/>
            <w:r>
              <w:rPr>
                <w:rFonts w:ascii="Calibri" w:hAnsi="Calibri"/>
                <w:b w:val="0"/>
                <w:sz w:val="19"/>
              </w:rPr>
              <w:t>88h</w:t>
            </w:r>
          </w:p>
        </w:tc>
      </w:tr>
      <w:tr>
        <w:tc>
          <w:tcPr>
            <w:tcW w:type="dxa" w:w="907"/>
          </w:tcPr>
          <w:p>
            <w:pPr>
              <w:spacing w:after="20"/>
              <w:jc w:val="left"/>
            </w:pPr>
            <w:r/>
            <w:r>
              <w:rPr>
                <w:rFonts w:ascii="Calibri" w:hAnsi="Calibri"/>
                <w:b w:val="0"/>
                <w:sz w:val="19"/>
              </w:rPr>
              <w:t>04</w:t>
            </w:r>
          </w:p>
        </w:tc>
        <w:tc>
          <w:tcPr>
            <w:tcW w:type="dxa" w:w="5669"/>
          </w:tcPr>
          <w:p>
            <w:pPr>
              <w:spacing w:after="20"/>
              <w:jc w:val="left"/>
            </w:pPr>
            <w:r/>
            <w:r>
              <w:rPr>
                <w:rFonts w:ascii="Calibri" w:hAnsi="Calibri"/>
                <w:b w:val="0"/>
                <w:sz w:val="19"/>
              </w:rPr>
              <w:t>Operação e visibilidade</w:t>
            </w:r>
          </w:p>
        </w:tc>
        <w:tc>
          <w:tcPr>
            <w:tcW w:type="dxa" w:w="1361"/>
          </w:tcPr>
          <w:p>
            <w:pPr>
              <w:spacing w:after="20"/>
              <w:jc w:val="left"/>
            </w:pPr>
            <w:r/>
            <w:r>
              <w:rPr>
                <w:rFonts w:ascii="Calibri" w:hAnsi="Calibri"/>
                <w:b w:val="0"/>
                <w:sz w:val="19"/>
              </w:rPr>
              <w:t>3</w:t>
            </w:r>
          </w:p>
        </w:tc>
        <w:tc>
          <w:tcPr>
            <w:tcW w:type="dxa" w:w="1814"/>
          </w:tcPr>
          <w:p>
            <w:pPr>
              <w:spacing w:after="20"/>
              <w:jc w:val="left"/>
            </w:pPr>
            <w:r/>
            <w:r>
              <w:rPr>
                <w:rFonts w:ascii="Calibri" w:hAnsi="Calibri"/>
                <w:b w:val="0"/>
                <w:sz w:val="19"/>
              </w:rPr>
              <w:t>24h</w:t>
            </w:r>
          </w:p>
        </w:tc>
      </w:tr>
      <w:tr>
        <w:tc>
          <w:tcPr>
            <w:tcW w:type="dxa" w:w="907"/>
          </w:tcPr>
          <w:p>
            <w:pPr>
              <w:spacing w:after="20"/>
              <w:jc w:val="left"/>
            </w:pPr>
            <w:r/>
            <w:r>
              <w:rPr>
                <w:rFonts w:ascii="Calibri" w:hAnsi="Calibri"/>
                <w:b w:val="0"/>
                <w:sz w:val="19"/>
              </w:rPr>
              <w:t>05</w:t>
            </w:r>
          </w:p>
        </w:tc>
        <w:tc>
          <w:tcPr>
            <w:tcW w:type="dxa" w:w="5669"/>
          </w:tcPr>
          <w:p>
            <w:pPr>
              <w:spacing w:after="20"/>
              <w:jc w:val="left"/>
            </w:pPr>
            <w:r/>
            <w:r>
              <w:rPr>
                <w:rFonts w:ascii="Calibri" w:hAnsi="Calibri"/>
                <w:b w:val="0"/>
                <w:sz w:val="19"/>
              </w:rPr>
              <w:t>Qualidade e entrega</w:t>
            </w:r>
          </w:p>
        </w:tc>
        <w:tc>
          <w:tcPr>
            <w:tcW w:type="dxa" w:w="1361"/>
          </w:tcPr>
          <w:p>
            <w:pPr>
              <w:spacing w:after="20"/>
              <w:jc w:val="left"/>
            </w:pPr>
            <w:r/>
            <w:r>
              <w:rPr>
                <w:rFonts w:ascii="Calibri" w:hAnsi="Calibri"/>
                <w:b w:val="0"/>
                <w:sz w:val="19"/>
              </w:rPr>
              <w:t>4</w:t>
            </w:r>
          </w:p>
        </w:tc>
        <w:tc>
          <w:tcPr>
            <w:tcW w:type="dxa" w:w="1814"/>
          </w:tcPr>
          <w:p>
            <w:pPr>
              <w:spacing w:after="20"/>
              <w:jc w:val="left"/>
            </w:pPr>
            <w:r/>
            <w:r>
              <w:rPr>
                <w:rFonts w:ascii="Calibri" w:hAnsi="Calibri"/>
                <w:b w:val="0"/>
                <w:sz w:val="19"/>
              </w:rPr>
              <w:t>38h</w:t>
            </w:r>
          </w:p>
        </w:tc>
      </w:tr>
      <w:tr>
        <w:tc>
          <w:tcPr>
            <w:tcW w:type="dxa" w:w="907"/>
          </w:tcPr>
          <w:p>
            <w:pPr>
              <w:spacing w:after="20"/>
              <w:jc w:val="left"/>
            </w:pPr>
            <w:r/>
            <w:r>
              <w:rPr>
                <w:rFonts w:ascii="Calibri" w:hAnsi="Calibri"/>
                <w:b w:val="0"/>
                <w:sz w:val="19"/>
              </w:rPr>
              <w:t>06</w:t>
            </w:r>
          </w:p>
        </w:tc>
        <w:tc>
          <w:tcPr>
            <w:tcW w:type="dxa" w:w="5669"/>
          </w:tcPr>
          <w:p>
            <w:pPr>
              <w:spacing w:after="20"/>
              <w:jc w:val="left"/>
            </w:pPr>
            <w:r/>
            <w:r>
              <w:rPr>
                <w:rFonts w:ascii="Calibri" w:hAnsi="Calibri"/>
                <w:b w:val="0"/>
                <w:sz w:val="19"/>
              </w:rPr>
              <w:t>Proteção de dados (ATDP) — opcional</w:t>
            </w:r>
          </w:p>
        </w:tc>
        <w:tc>
          <w:tcPr>
            <w:tcW w:type="dxa" w:w="1361"/>
          </w:tcPr>
          <w:p>
            <w:pPr>
              <w:spacing w:after="20"/>
              <w:jc w:val="left"/>
            </w:pPr>
            <w:r/>
            <w:r>
              <w:rPr>
                <w:rFonts w:ascii="Calibri" w:hAnsi="Calibri"/>
                <w:b w:val="0"/>
                <w:sz w:val="19"/>
              </w:rPr>
              <w:t>4</w:t>
            </w:r>
          </w:p>
        </w:tc>
        <w:tc>
          <w:tcPr>
            <w:tcW w:type="dxa" w:w="1814"/>
          </w:tcPr>
          <w:p>
            <w:pPr>
              <w:spacing w:after="20"/>
              <w:jc w:val="left"/>
            </w:pPr>
            <w:r/>
            <w:r>
              <w:rPr>
                <w:rFonts w:ascii="Calibri" w:hAnsi="Calibri"/>
                <w:b w:val="0"/>
                <w:sz w:val="19"/>
              </w:rPr>
              <w:t>40h</w:t>
            </w:r>
          </w:p>
        </w:tc>
      </w:tr>
      <w:tr>
        <w:tc>
          <w:tcPr>
            <w:tcW w:type="dxa" w:w="907"/>
          </w:tcPr>
          <w:p>
            <w:pPr>
              <w:spacing w:after="20"/>
              <w:jc w:val="left"/>
            </w:pPr>
            <w:r/>
            <w:r>
              <w:rPr>
                <w:rFonts w:ascii="Calibri" w:hAnsi="Calibri"/>
                <w:b w:val="0"/>
                <w:sz w:val="19"/>
              </w:rPr>
            </w:r>
          </w:p>
        </w:tc>
        <w:tc>
          <w:tcPr>
            <w:tcW w:type="dxa" w:w="5669"/>
          </w:tcPr>
          <w:p>
            <w:pPr>
              <w:spacing w:after="20"/>
              <w:jc w:val="left"/>
            </w:pPr>
            <w:r/>
            <w:r>
              <w:rPr>
                <w:rFonts w:ascii="Calibri" w:hAnsi="Calibri"/>
                <w:b/>
                <w:sz w:val="19"/>
              </w:rPr>
              <w:t>Total</w:t>
            </w:r>
          </w:p>
        </w:tc>
        <w:tc>
          <w:tcPr>
            <w:tcW w:type="dxa" w:w="1361"/>
          </w:tcPr>
          <w:p>
            <w:pPr>
              <w:spacing w:after="20"/>
              <w:jc w:val="left"/>
            </w:pPr>
            <w:r/>
            <w:r>
              <w:rPr>
                <w:rFonts w:ascii="Calibri" w:hAnsi="Calibri"/>
                <w:b/>
                <w:sz w:val="19"/>
              </w:rPr>
              <w:t>27</w:t>
            </w:r>
          </w:p>
        </w:tc>
        <w:tc>
          <w:tcPr>
            <w:tcW w:type="dxa" w:w="1814"/>
          </w:tcPr>
          <w:p>
            <w:pPr>
              <w:spacing w:after="20"/>
              <w:jc w:val="left"/>
            </w:pPr>
            <w:r/>
            <w:r>
              <w:rPr>
                <w:rFonts w:ascii="Calibri" w:hAnsi="Calibri"/>
                <w:b/>
                <w:sz w:val="19"/>
              </w:rPr>
              <w:t>260h</w:t>
            </w:r>
          </w:p>
        </w:tc>
      </w:tr>
    </w:tbl>
    <w:p>
      <w:pPr>
        <w:spacing w:before="0" w:after="80"/>
        <w:jc w:val="both"/>
      </w:pPr>
    </w:p>
    <w:p>
      <w:pPr>
        <w:spacing w:after="120"/>
        <w:jc w:val="both"/>
      </w:pPr>
      <w:r>
        <w:rPr>
          <w:rFonts w:ascii="Calibri" w:hAnsi="Calibri"/>
          <w:b w:val="0"/>
          <w:i w:val="0"/>
          <w:sz w:val="21"/>
        </w:rPr>
        <w:t xml:space="preserve">Sem o card opcional, o projeto fica em </w:t>
      </w:r>
      <w:r>
        <w:rPr>
          <w:rFonts w:ascii="Calibri" w:hAnsi="Calibri"/>
          <w:b/>
          <w:i w:val="0"/>
          <w:sz w:val="21"/>
        </w:rPr>
        <w:t>220h, 5 cards e 23 itens</w:t>
      </w:r>
      <w:r>
        <w:rPr>
          <w:rFonts w:ascii="Calibri" w:hAnsi="Calibri"/>
          <w:b w:val="0"/>
          <w:i w:val="0"/>
          <w:sz w:val="21"/>
        </w:rPr>
        <w:t>.</w:t>
      </w:r>
    </w:p>
    <w:p>
      <w:pPr>
        <w:spacing w:before="280" w:after="80"/>
        <w:jc w:val="left"/>
      </w:pPr>
      <w:r>
        <w:rPr>
          <w:rFonts w:ascii="Calibri" w:hAnsi="Calibri"/>
          <w:b/>
          <w:i w:val="0"/>
          <w:color w:val="1F3864"/>
          <w:sz w:val="30"/>
        </w:rPr>
        <w:t>Card 01 — Fundação da integração</w:t>
      </w:r>
    </w:p>
    <w:p>
      <w:pPr>
        <w:spacing w:after="120"/>
        <w:jc w:val="both"/>
      </w:pPr>
      <w:r>
        <w:rPr>
          <w:rFonts w:ascii="Calibri" w:hAnsi="Calibri"/>
          <w:b/>
          <w:i w:val="0"/>
          <w:sz w:val="19"/>
        </w:rPr>
        <w:t>34h</w:t>
      </w:r>
      <w:r>
        <w:rPr>
          <w:rFonts w:ascii="Calibri" w:hAnsi="Calibri"/>
          <w:b w:val="0"/>
          <w:i w:val="0"/>
          <w:sz w:val="19"/>
        </w:rPr>
        <w:t xml:space="preserve"> · 4 itens · etiqueta api-mundial</w:t>
      </w:r>
    </w:p>
    <w:p>
      <w:pPr>
        <w:spacing w:before="0" w:after="40"/>
        <w:jc w:val="left"/>
      </w:pPr>
      <w:r>
        <w:rPr>
          <w:rFonts w:ascii="Calibri" w:hAnsi="Calibri"/>
          <w:b/>
          <w:i w:val="0"/>
          <w:sz w:val="21"/>
        </w:rPr>
        <w:t>Objetivo</w:t>
      </w:r>
    </w:p>
    <w:p>
      <w:pPr>
        <w:spacing w:before="0" w:after="120"/>
        <w:jc w:val="both"/>
      </w:pPr>
      <w:r>
        <w:rPr>
          <w:rFonts w:ascii="Calibri" w:hAnsi="Calibri"/>
          <w:b w:val="0"/>
          <w:i w:val="0"/>
          <w:sz w:val="21"/>
        </w:rPr>
        <w:t>Ter o BRS Cloud capaz de conversar com a Mundial: autenticar, chamar qualquer operação, registrar o que foi trocado e sobreviver a uma indisponibilidade.</w:t>
      </w:r>
    </w:p>
    <w:p>
      <w:pPr>
        <w:spacing w:before="0" w:after="40"/>
        <w:jc w:val="left"/>
      </w:pPr>
      <w:r>
        <w:rPr>
          <w:rFonts w:ascii="Calibri" w:hAnsi="Calibri"/>
          <w:b/>
          <w:i w:val="0"/>
          <w:sz w:val="21"/>
        </w:rPr>
        <w:t>Contexto</w:t>
      </w:r>
    </w:p>
    <w:p>
      <w:pPr>
        <w:spacing w:before="0" w:after="120"/>
        <w:jc w:val="both"/>
      </w:pPr>
      <w:r>
        <w:rPr>
          <w:rFonts w:ascii="Calibri" w:hAnsi="Calibri"/>
          <w:b w:val="0"/>
          <w:i w:val="0"/>
          <w:sz w:val="21"/>
        </w:rPr>
        <w:t>A Mundial exige um token Bearer, obtido com credenciais atribuídas pela área de integrações, e seis cabeçalhos de rastreabilidade em toda requisição. O backend não possui hoje nenhum cliente REST de saída autenticado — as integrações existentes são internas e usam outro protocolo. Também não existe tabela que guarde o que foi enviado e o que voltou, e isso não é luxo de auditoria: a Mundial devolve identificadores que as operações seguintes exigem. O barramento de mensagens já em produção cobre o envio assíncrono e a retentativa, o que dispensa construir fila.</w:t>
      </w:r>
    </w:p>
    <w:p>
      <w:pPr>
        <w:spacing w:before="0" w:after="40"/>
        <w:jc w:val="left"/>
      </w:pPr>
      <w:r>
        <w:rPr>
          <w:rFonts w:ascii="Calibri" w:hAnsi="Calibri"/>
          <w:b/>
          <w:i w:val="0"/>
          <w:sz w:val="21"/>
        </w:rPr>
        <w:t>Critérios de sucesso</w:t>
      </w:r>
    </w:p>
    <w:p>
      <w:pPr>
        <w:pStyle w:val="ListBullet"/>
        <w:spacing w:after="40"/>
        <w:jc w:val="both"/>
      </w:pPr>
      <w:r>
        <w:rPr>
          <w:rFonts w:ascii="Calibri" w:hAnsi="Calibri"/>
          <w:sz w:val="21"/>
        </w:rPr>
        <w:t>O token é obtido e renovado automaticamente, e os seis cabeçalhos vão preenchidos em toda requisição</w:t>
      </w:r>
    </w:p>
    <w:p>
      <w:pPr>
        <w:pStyle w:val="ListBullet"/>
        <w:spacing w:after="40"/>
        <w:jc w:val="both"/>
      </w:pPr>
      <w:r>
        <w:rPr>
          <w:rFonts w:ascii="Calibri" w:hAnsi="Calibri"/>
          <w:sz w:val="21"/>
        </w:rPr>
        <w:t>Toda chamada fica registrada com requisição, resposta, estado e identificador de correlação</w:t>
      </w:r>
    </w:p>
    <w:p>
      <w:pPr>
        <w:pStyle w:val="ListBullet"/>
        <w:spacing w:after="40"/>
        <w:jc w:val="both"/>
      </w:pPr>
      <w:r>
        <w:rPr>
          <w:rFonts w:ascii="Calibri" w:hAnsi="Calibri"/>
          <w:sz w:val="21"/>
        </w:rPr>
        <w:t>Os identificadores devolvidos pela Mundial ficam associados ao sinistro</w:t>
      </w:r>
    </w:p>
    <w:p>
      <w:pPr>
        <w:pStyle w:val="ListBullet"/>
        <w:spacing w:after="40"/>
        <w:jc w:val="both"/>
      </w:pPr>
      <w:r>
        <w:rPr>
          <w:rFonts w:ascii="Calibri" w:hAnsi="Calibri"/>
          <w:sz w:val="21"/>
        </w:rPr>
        <w:t>Falha temporária é repetida sem duplicar operação; falha definitiva fica marcada para reenvio</w:t>
      </w:r>
    </w:p>
    <w:p>
      <w:pPr>
        <w:pStyle w:val="ListBullet"/>
        <w:spacing w:after="40"/>
        <w:jc w:val="both"/>
      </w:pPr>
      <w:r>
        <w:rPr>
          <w:rFonts w:ascii="Calibri" w:hAnsi="Calibri"/>
          <w:sz w:val="21"/>
        </w:rPr>
        <w:t>A integração liga e desliga por cliente e por ambiente, sem publicar versão</w:t>
      </w:r>
    </w:p>
    <w:p>
      <w:pPr>
        <w:pStyle w:val="ListBullet"/>
        <w:spacing w:after="40"/>
        <w:jc w:val="both"/>
      </w:pPr>
      <w:r>
        <w:rPr>
          <w:rFonts w:ascii="Calibri" w:hAnsi="Calibri"/>
          <w:sz w:val="21"/>
        </w:rPr>
        <w:t>Credenciais ficam fora do código e fora do repositório</w:t>
      </w:r>
    </w:p>
    <w:p>
      <w:pPr>
        <w:spacing w:before="120" w:after="40"/>
        <w:jc w:val="left"/>
      </w:pPr>
      <w:r>
        <w:rPr>
          <w:rFonts w:ascii="Calibri" w:hAnsi="Calibri"/>
          <w:b/>
          <w:i w:val="0"/>
          <w:sz w:val="21"/>
        </w:rPr>
        <w:t>Riscos técnicos</w:t>
      </w:r>
    </w:p>
    <w:p>
      <w:pPr>
        <w:spacing w:before="0" w:after="120"/>
        <w:jc w:val="both"/>
      </w:pPr>
      <w:r>
        <w:rPr>
          <w:rFonts w:ascii="Calibri" w:hAnsi="Calibri"/>
          <w:b w:val="0"/>
          <w:i w:val="0"/>
          <w:sz w:val="21"/>
        </w:rPr>
        <w:t>O manual de autenticação não foi entregue pela Mundial. Sem ele, a URL do token, o formato das credenciais e o tempo de expiração são desconhecidos, e o card inteiro fica bloqueado. Há ainda uma divergência a confirmar: o manual afirma que o identificador de transação relaciona todas as operações de um sinistro, mas os exemplos usam um valor diferente por operação.</w:t>
      </w:r>
    </w:p>
    <w:p>
      <w:pPr>
        <w:spacing w:before="120" w:after="40"/>
        <w:jc w:val="left"/>
      </w:pPr>
      <w:r>
        <w:rPr>
          <w:rFonts w:ascii="Calibri" w:hAnsi="Calibri"/>
          <w:b/>
          <w:i w:val="0"/>
          <w:sz w:val="21"/>
        </w:rPr>
        <w:t>Outras informações</w:t>
      </w:r>
    </w:p>
    <w:p>
      <w:pPr>
        <w:spacing w:before="0" w:after="120"/>
        <w:jc w:val="both"/>
      </w:pPr>
      <w:r>
        <w:rPr>
          <w:rFonts w:ascii="Calibri" w:hAnsi="Calibri"/>
          <w:b w:val="0"/>
          <w:i w:val="0"/>
          <w:sz w:val="21"/>
        </w:rPr>
        <w:t>É a base de todos os demais cards. A exigência de TLS 1.2 já é atendida pela plataforma atual.</w:t>
      </w:r>
    </w:p>
    <w:p>
      <w:pPr>
        <w:spacing w:before="120" w:after="40"/>
        <w:jc w:val="left"/>
      </w:pPr>
      <w:r>
        <w:rPr>
          <w:rFonts w:ascii="Calibri" w:hAnsi="Calibri"/>
          <w:b/>
          <w:i w:val="0"/>
          <w:sz w:val="21"/>
        </w:rPr>
        <w:t>Smart Checklist</w:t>
      </w:r>
    </w:p>
    <w:p>
      <w:pPr>
        <w:spacing w:before="0" w:after="20"/>
        <w:ind w:left="340"/>
        <w:jc w:val="left"/>
      </w:pPr>
      <w:r>
        <w:rPr>
          <w:rFonts w:ascii="Calibri" w:hAnsi="Calibri"/>
          <w:b w:val="0"/>
          <w:i w:val="0"/>
          <w:sz w:val="20"/>
        </w:rPr>
        <w:t>Cliente HTTP, autenticação e cabeçalhos obrigatórios (12h)</w:t>
      </w:r>
    </w:p>
    <w:p>
      <w:pPr>
        <w:spacing w:before="0" w:after="20"/>
        <w:ind w:left="340"/>
        <w:jc w:val="left"/>
      </w:pPr>
      <w:r>
        <w:rPr>
          <w:rFonts w:ascii="Calibri" w:hAnsi="Calibri"/>
          <w:b w:val="0"/>
          <w:i w:val="0"/>
          <w:sz w:val="20"/>
        </w:rPr>
        <w:t>Registro e rastreabilidade das chamadas (10h)</w:t>
      </w:r>
    </w:p>
    <w:p>
      <w:pPr>
        <w:spacing w:before="0" w:after="20"/>
        <w:ind w:left="340"/>
        <w:jc w:val="left"/>
      </w:pPr>
      <w:r>
        <w:rPr>
          <w:rFonts w:ascii="Calibri" w:hAnsi="Calibri"/>
          <w:b w:val="0"/>
          <w:i w:val="0"/>
          <w:sz w:val="20"/>
        </w:rPr>
        <w:t>Envio assíncrono, retentativa e idempotência (8h)</w:t>
      </w:r>
    </w:p>
    <w:p>
      <w:pPr>
        <w:spacing w:before="0" w:after="20"/>
        <w:ind w:left="340"/>
        <w:jc w:val="left"/>
      </w:pPr>
      <w:r>
        <w:rPr>
          <w:rFonts w:ascii="Calibri" w:hAnsi="Calibri"/>
          <w:b w:val="0"/>
          <w:i w:val="0"/>
          <w:sz w:val="20"/>
        </w:rPr>
        <w:t>Configuração de ambiente, credenciais e ativação por cliente (4h)</w:t>
      </w:r>
    </w:p>
    <w:p>
      <w:pPr>
        <w:spacing w:before="160" w:after="60"/>
        <w:jc w:val="left"/>
      </w:pPr>
      <w:r>
        <w:rPr>
          <w:rFonts w:ascii="Calibri" w:hAnsi="Calibri"/>
          <w:b/>
          <w:i w:val="0"/>
          <w:sz w:val="21"/>
        </w:rPr>
        <w:t>Detalhamento dos itens</w:t>
      </w:r>
    </w:p>
    <w:p>
      <w:pPr>
        <w:spacing w:after="120"/>
        <w:jc w:val="both"/>
      </w:pPr>
      <w:r>
        <w:rPr>
          <w:rFonts w:ascii="Calibri" w:hAnsi="Calibri"/>
          <w:b/>
          <w:i w:val="0"/>
          <w:sz w:val="20"/>
        </w:rPr>
        <w:t xml:space="preserve">Cliente HTTP, autenticação e cabeçalhos obrigatórios — 12h. </w:t>
      </w:r>
      <w:r>
        <w:rPr>
          <w:rFonts w:ascii="Calibri" w:hAnsi="Calibri"/>
          <w:b w:val="0"/>
          <w:i w:val="0"/>
          <w:sz w:val="20"/>
        </w:rPr>
        <w:t>Ter um cliente único capaz de autenticar na Seguros Mundial e chamar qualquer operação da API com os cabeçalhos exigidos.</w:t>
      </w:r>
    </w:p>
    <w:p>
      <w:pPr>
        <w:spacing w:before="0" w:after="60"/>
        <w:ind w:left="340"/>
        <w:jc w:val="both"/>
      </w:pPr>
      <w:r>
        <w:rPr>
          <w:rFonts w:ascii="Calibri" w:hAnsi="Calibri"/>
          <w:b w:val="0"/>
          <w:i w:val="0"/>
          <w:sz w:val="20"/>
        </w:rPr>
        <w:t>A Mundial exige um token Bearer obtido com credenciais atribuídas pela área de integrações e, em toda requisição, seis cabeçalhos de rastreabilidade: nome da aplicação, identificador de correlação, usuário que originou a operação, operação realizada, marca de tempo e tipo de conteúdo. O backend não possui hoje nenhum cliente REST de saída autenticado — as integrações existentes são internas e usam gRPC. O manual de autenticação citado pelo fornecedor não foi entregue junto com os demais documentos.</w:t>
      </w:r>
    </w:p>
    <w:p>
      <w:pPr>
        <w:spacing w:after="60"/>
        <w:ind w:left="340"/>
        <w:jc w:val="both"/>
      </w:pPr>
      <w:r>
        <w:rPr>
          <w:rFonts w:ascii="Calibri" w:hAnsi="Calibri"/>
          <w:b/>
          <w:i/>
          <w:sz w:val="19"/>
        </w:rPr>
        <w:t xml:space="preserve">Risco: </w:t>
      </w:r>
      <w:r>
        <w:rPr>
          <w:rFonts w:ascii="Calibri" w:hAnsi="Calibri"/>
          <w:b w:val="0"/>
          <w:i/>
          <w:sz w:val="19"/>
        </w:rPr>
        <w:t>O manual de autenticação não está em nossa posse. A URL de emissão do token, o formato das credenciais e o tempo de expiração são desconhecidos, e o card fica bloqueado até o documento chegar.</w:t>
      </w:r>
    </w:p>
    <w:p>
      <w:pPr>
        <w:pStyle w:val="ListBullet"/>
        <w:spacing w:after="40"/>
        <w:ind w:left="624"/>
        <w:jc w:val="both"/>
      </w:pPr>
      <w:r>
        <w:rPr>
          <w:rFonts w:ascii="Calibri" w:hAnsi="Calibri"/>
          <w:sz w:val="19"/>
        </w:rPr>
        <w:t>Obter da Mundial o manual de autenticação e as credenciais do ambiente de testes</w:t>
      </w:r>
    </w:p>
    <w:p>
      <w:pPr>
        <w:pStyle w:val="ListBullet"/>
        <w:spacing w:after="40"/>
        <w:ind w:left="624"/>
        <w:jc w:val="both"/>
      </w:pPr>
      <w:r>
        <w:rPr>
          <w:rFonts w:ascii="Calibri" w:hAnsi="Calibri"/>
          <w:sz w:val="19"/>
        </w:rPr>
        <w:t>Implementar a obtenção e a renovação automática do token</w:t>
      </w:r>
    </w:p>
    <w:p>
      <w:pPr>
        <w:pStyle w:val="ListBullet"/>
        <w:spacing w:after="40"/>
        <w:ind w:left="624"/>
        <w:jc w:val="both"/>
      </w:pPr>
      <w:r>
        <w:rPr>
          <w:rFonts w:ascii="Calibri" w:hAnsi="Calibri"/>
          <w:sz w:val="19"/>
        </w:rPr>
        <w:t>Implementar o preenchimento automático dos cabeçalhos obrigatórios</w:t>
      </w:r>
    </w:p>
    <w:p>
      <w:pPr>
        <w:pStyle w:val="ListBullet"/>
        <w:spacing w:after="40"/>
        <w:ind w:left="624"/>
        <w:jc w:val="both"/>
      </w:pPr>
      <w:r>
        <w:rPr>
          <w:rFonts w:ascii="Calibri" w:hAnsi="Calibri"/>
          <w:sz w:val="19"/>
        </w:rPr>
        <w:t>Gerar e registrar o identificador de correlação de cada chamada</w:t>
      </w:r>
    </w:p>
    <w:p>
      <w:pPr>
        <w:pStyle w:val="ListBullet"/>
        <w:spacing w:after="40"/>
        <w:ind w:left="624"/>
        <w:jc w:val="both"/>
      </w:pPr>
      <w:r>
        <w:rPr>
          <w:rFonts w:ascii="Calibri" w:hAnsi="Calibri"/>
          <w:sz w:val="19"/>
        </w:rPr>
        <w:t>Externalizar credenciais e endereços por ambiente</w:t>
      </w:r>
    </w:p>
    <w:p>
      <w:pPr>
        <w:pStyle w:val="ListBullet"/>
        <w:spacing w:after="40"/>
        <w:ind w:left="624"/>
        <w:jc w:val="both"/>
      </w:pPr>
      <w:r>
        <w:rPr>
          <w:rFonts w:ascii="Calibri" w:hAnsi="Calibri"/>
          <w:sz w:val="19"/>
        </w:rPr>
        <w:t>Validar uma chamada ponta a ponta no ambiente de testes</w:t>
      </w:r>
    </w:p>
    <w:p>
      <w:pPr>
        <w:spacing w:before="0" w:after="80"/>
        <w:jc w:val="both"/>
      </w:pPr>
    </w:p>
    <w:p>
      <w:pPr>
        <w:spacing w:after="120"/>
        <w:jc w:val="both"/>
      </w:pPr>
      <w:r>
        <w:rPr>
          <w:rFonts w:ascii="Calibri" w:hAnsi="Calibri"/>
          <w:b/>
          <w:i w:val="0"/>
          <w:sz w:val="20"/>
        </w:rPr>
        <w:t xml:space="preserve">Registro e rastreabilidade das chamadas — 10h. </w:t>
      </w:r>
      <w:r>
        <w:rPr>
          <w:rFonts w:ascii="Calibri" w:hAnsi="Calibri"/>
          <w:b w:val="0"/>
          <w:i w:val="0"/>
          <w:sz w:val="20"/>
        </w:rPr>
        <w:t>Guardar o que foi enviado, o que voltou e em que estado ficou cada operação de cada sinistro.</w:t>
      </w:r>
    </w:p>
    <w:p>
      <w:pPr>
        <w:spacing w:before="0" w:after="60"/>
        <w:ind w:left="340"/>
        <w:jc w:val="both"/>
      </w:pPr>
      <w:r>
        <w:rPr>
          <w:rFonts w:ascii="Calibri" w:hAnsi="Calibri"/>
          <w:b w:val="0"/>
          <w:i w:val="0"/>
          <w:sz w:val="20"/>
        </w:rPr>
        <w:t>São cinco operações encadeadas, e a Mundial devolve identificadores que as operações seguintes exigem: o identificador e o número do sinistro na criação, e o código de estimativa e o número de subreclamação na abertura da reserva. Sem persistir essa correspondência não é possível abrir reserva nem liquidar. O sistema não tem hoje nenhuma estrutura de registro de integração.</w:t>
      </w:r>
    </w:p>
    <w:p>
      <w:pPr>
        <w:spacing w:after="60"/>
        <w:ind w:left="340"/>
        <w:jc w:val="both"/>
      </w:pPr>
      <w:r>
        <w:rPr>
          <w:rFonts w:ascii="Calibri" w:hAnsi="Calibri"/>
          <w:b/>
          <w:i/>
          <w:sz w:val="19"/>
        </w:rPr>
        <w:t xml:space="preserve">Risco: </w:t>
      </w:r>
      <w:r>
        <w:rPr>
          <w:rFonts w:ascii="Calibri" w:hAnsi="Calibri"/>
          <w:b w:val="0"/>
          <w:i/>
          <w:sz w:val="19"/>
        </w:rPr>
        <w:t>O manual afirma que o identificador de transação externa relaciona todas as operações de um mesmo sinistro, mas os exemplos das seções de criação e de abertura de reserva usam valores diferentes. A regra precisa ser confirmada antes da implementação.</w:t>
      </w:r>
    </w:p>
    <w:p>
      <w:pPr>
        <w:pStyle w:val="ListBullet"/>
        <w:spacing w:after="40"/>
        <w:ind w:left="624"/>
        <w:jc w:val="both"/>
      </w:pPr>
      <w:r>
        <w:rPr>
          <w:rFonts w:ascii="Calibri" w:hAnsi="Calibri"/>
          <w:sz w:val="19"/>
        </w:rPr>
        <w:t>Modelar a entidade de registro de integração e seus scripts de banco</w:t>
      </w:r>
    </w:p>
    <w:p>
      <w:pPr>
        <w:pStyle w:val="ListBullet"/>
        <w:spacing w:after="40"/>
        <w:ind w:left="624"/>
        <w:jc w:val="both"/>
      </w:pPr>
      <w:r>
        <w:rPr>
          <w:rFonts w:ascii="Calibri" w:hAnsi="Calibri"/>
          <w:sz w:val="19"/>
        </w:rPr>
        <w:t>Gravar requisição, resposta e estado de cada operação</w:t>
      </w:r>
    </w:p>
    <w:p>
      <w:pPr>
        <w:pStyle w:val="ListBullet"/>
        <w:spacing w:after="40"/>
        <w:ind w:left="624"/>
        <w:jc w:val="both"/>
      </w:pPr>
      <w:r>
        <w:rPr>
          <w:rFonts w:ascii="Calibri" w:hAnsi="Calibri"/>
          <w:sz w:val="19"/>
        </w:rPr>
        <w:t>Persistir identificador e número do sinistro devolvidos na criação</w:t>
      </w:r>
    </w:p>
    <w:p>
      <w:pPr>
        <w:pStyle w:val="ListBullet"/>
        <w:spacing w:after="40"/>
        <w:ind w:left="624"/>
        <w:jc w:val="both"/>
      </w:pPr>
      <w:r>
        <w:rPr>
          <w:rFonts w:ascii="Calibri" w:hAnsi="Calibri"/>
          <w:sz w:val="19"/>
        </w:rPr>
        <w:t>Persistir código de estimativa e número de subreclamação devolvidos na reserva</w:t>
      </w:r>
    </w:p>
    <w:p>
      <w:pPr>
        <w:pStyle w:val="ListBullet"/>
        <w:spacing w:after="40"/>
        <w:ind w:left="624"/>
        <w:jc w:val="both"/>
      </w:pPr>
      <w:r>
        <w:rPr>
          <w:rFonts w:ascii="Calibri" w:hAnsi="Calibri"/>
          <w:sz w:val="19"/>
        </w:rPr>
        <w:t>Definir e implementar a regra do identificador de transação externa</w:t>
      </w:r>
    </w:p>
    <w:p>
      <w:pPr>
        <w:pStyle w:val="ListBullet"/>
        <w:spacing w:after="40"/>
        <w:ind w:left="624"/>
        <w:jc w:val="both"/>
      </w:pPr>
      <w:r>
        <w:rPr>
          <w:rFonts w:ascii="Calibri" w:hAnsi="Calibri"/>
          <w:sz w:val="19"/>
        </w:rPr>
        <w:t>Ocultar dados sensíveis no conteúdo gravado</w:t>
      </w:r>
    </w:p>
    <w:p>
      <w:pPr>
        <w:spacing w:before="0" w:after="80"/>
        <w:jc w:val="both"/>
      </w:pPr>
    </w:p>
    <w:p>
      <w:pPr>
        <w:spacing w:after="120"/>
        <w:jc w:val="both"/>
      </w:pPr>
      <w:r>
        <w:rPr>
          <w:rFonts w:ascii="Calibri" w:hAnsi="Calibri"/>
          <w:b/>
          <w:i w:val="0"/>
          <w:sz w:val="20"/>
        </w:rPr>
        <w:t xml:space="preserve">Envio assíncrono, retentativa e idempotência — 8h. </w:t>
      </w:r>
      <w:r>
        <w:rPr>
          <w:rFonts w:ascii="Calibri" w:hAnsi="Calibri"/>
          <w:b w:val="0"/>
          <w:i w:val="0"/>
          <w:sz w:val="20"/>
        </w:rPr>
        <w:t>Garantir que uma indisponibilidade da Mundial não perca informação nem trave a tela do usuário.</w:t>
      </w:r>
    </w:p>
    <w:p>
      <w:pPr>
        <w:spacing w:before="0" w:after="60"/>
        <w:ind w:left="340"/>
        <w:jc w:val="both"/>
      </w:pPr>
      <w:r>
        <w:rPr>
          <w:rFonts w:ascii="Calibri" w:hAnsi="Calibri"/>
          <w:b w:val="0"/>
          <w:i w:val="0"/>
          <w:sz w:val="20"/>
        </w:rPr>
        <w:t>O BRS Cloud já publica eventos de inclusão e alteração em barramento de mensagens e já mantém consumidores próprios para outras finalidades. A integração entra como mais um consumidor, o que dispensa construir mecanismo de fila. Os códigos 500 e 503 estão previstos no padrão do fornecedor e devem ser tratados como falha temporária.</w:t>
      </w:r>
    </w:p>
    <w:p>
      <w:pPr>
        <w:pStyle w:val="ListBullet"/>
        <w:spacing w:after="40"/>
        <w:ind w:left="624"/>
        <w:jc w:val="both"/>
      </w:pPr>
      <w:r>
        <w:rPr>
          <w:rFonts w:ascii="Calibri" w:hAnsi="Calibri"/>
          <w:sz w:val="19"/>
        </w:rPr>
        <w:t>Criar o consumidor da integração no barramento existente</w:t>
      </w:r>
    </w:p>
    <w:p>
      <w:pPr>
        <w:pStyle w:val="ListBullet"/>
        <w:spacing w:after="40"/>
        <w:ind w:left="624"/>
        <w:jc w:val="both"/>
      </w:pPr>
      <w:r>
        <w:rPr>
          <w:rFonts w:ascii="Calibri" w:hAnsi="Calibri"/>
          <w:sz w:val="19"/>
        </w:rPr>
        <w:t>Publicar os eventos de sinistro que disparam cada operação</w:t>
      </w:r>
    </w:p>
    <w:p>
      <w:pPr>
        <w:pStyle w:val="ListBullet"/>
        <w:spacing w:after="40"/>
        <w:ind w:left="624"/>
        <w:jc w:val="both"/>
      </w:pPr>
      <w:r>
        <w:rPr>
          <w:rFonts w:ascii="Calibri" w:hAnsi="Calibri"/>
          <w:sz w:val="19"/>
        </w:rPr>
        <w:t>Implementar a política de retentativa com espaçamento crescente</w:t>
      </w:r>
    </w:p>
    <w:p>
      <w:pPr>
        <w:pStyle w:val="ListBullet"/>
        <w:spacing w:after="40"/>
        <w:ind w:left="624"/>
        <w:jc w:val="both"/>
      </w:pPr>
      <w:r>
        <w:rPr>
          <w:rFonts w:ascii="Calibri" w:hAnsi="Calibri"/>
          <w:sz w:val="19"/>
        </w:rPr>
        <w:t>Garantir idempotência pelo identificador de transação externa</w:t>
      </w:r>
    </w:p>
    <w:p>
      <w:pPr>
        <w:pStyle w:val="ListBullet"/>
        <w:spacing w:after="40"/>
        <w:ind w:left="624"/>
        <w:jc w:val="both"/>
      </w:pPr>
      <w:r>
        <w:rPr>
          <w:rFonts w:ascii="Calibri" w:hAnsi="Calibri"/>
          <w:sz w:val="19"/>
        </w:rPr>
        <w:t>Marcar falha definitiva para reenvio manual</w:t>
      </w:r>
    </w:p>
    <w:p>
      <w:pPr>
        <w:spacing w:before="0" w:after="80"/>
        <w:jc w:val="both"/>
      </w:pPr>
    </w:p>
    <w:p>
      <w:pPr>
        <w:spacing w:after="120"/>
        <w:jc w:val="both"/>
      </w:pPr>
      <w:r>
        <w:rPr>
          <w:rFonts w:ascii="Calibri" w:hAnsi="Calibri"/>
          <w:b/>
          <w:i w:val="0"/>
          <w:sz w:val="20"/>
        </w:rPr>
        <w:t xml:space="preserve">Configuração de ambiente, credenciais e ativação por cliente — 4h. </w:t>
      </w:r>
      <w:r>
        <w:rPr>
          <w:rFonts w:ascii="Calibri" w:hAnsi="Calibri"/>
          <w:b w:val="0"/>
          <w:i w:val="0"/>
          <w:sz w:val="20"/>
        </w:rPr>
        <w:t>Ligar e desligar a integração por cliente e por ambiente sem publicar nova versão.</w:t>
      </w:r>
    </w:p>
    <w:p>
      <w:pPr>
        <w:spacing w:before="0" w:after="60"/>
        <w:ind w:left="340"/>
        <w:jc w:val="both"/>
      </w:pPr>
      <w:r>
        <w:rPr>
          <w:rFonts w:ascii="Calibri" w:hAnsi="Calibri"/>
          <w:b w:val="0"/>
          <w:i w:val="0"/>
          <w:sz w:val="20"/>
        </w:rPr>
        <w:t>Apenas os sinistros do cliente colombiano devem ser enviados. O sistema já tem estrutura de grupo de usuário e de parâmetros por país, e já separa configuração por ambiente.</w:t>
      </w:r>
    </w:p>
    <w:p>
      <w:pPr>
        <w:pStyle w:val="ListBullet"/>
        <w:spacing w:after="40"/>
        <w:ind w:left="624"/>
        <w:jc w:val="both"/>
      </w:pPr>
      <w:r>
        <w:rPr>
          <w:rFonts w:ascii="Calibri" w:hAnsi="Calibri"/>
          <w:sz w:val="19"/>
        </w:rPr>
        <w:t>Criar o parâmetro de ativação por cliente</w:t>
      </w:r>
    </w:p>
    <w:p>
      <w:pPr>
        <w:pStyle w:val="ListBullet"/>
        <w:spacing w:after="40"/>
        <w:ind w:left="624"/>
        <w:jc w:val="both"/>
      </w:pPr>
      <w:r>
        <w:rPr>
          <w:rFonts w:ascii="Calibri" w:hAnsi="Calibri"/>
          <w:sz w:val="19"/>
        </w:rPr>
        <w:t>Separar as configurações de teste e de produção</w:t>
      </w:r>
    </w:p>
    <w:p>
      <w:pPr>
        <w:pStyle w:val="ListBullet"/>
        <w:spacing w:after="40"/>
        <w:ind w:left="624"/>
        <w:jc w:val="both"/>
      </w:pPr>
      <w:r>
        <w:rPr>
          <w:rFonts w:ascii="Calibri" w:hAnsi="Calibri"/>
          <w:sz w:val="19"/>
        </w:rPr>
        <w:t>Validar o comportamento com a integração desligada</w:t>
      </w:r>
    </w:p>
    <w:p>
      <w:pPr>
        <w:spacing w:before="0" w:after="80"/>
        <w:jc w:val="both"/>
      </w:pPr>
    </w:p>
    <w:p>
      <w:pPr>
        <w:spacing w:before="280" w:after="80"/>
        <w:jc w:val="left"/>
      </w:pPr>
      <w:r>
        <w:rPr>
          <w:rFonts w:ascii="Calibri" w:hAnsi="Calibri"/>
          <w:b/>
          <w:i w:val="0"/>
          <w:color w:val="1F3864"/>
          <w:sz w:val="30"/>
        </w:rPr>
        <w:t>Card 02 — Parametrização de códigos</w:t>
      </w:r>
    </w:p>
    <w:p>
      <w:pPr>
        <w:spacing w:after="120"/>
        <w:jc w:val="both"/>
      </w:pPr>
      <w:r>
        <w:rPr>
          <w:rFonts w:ascii="Calibri" w:hAnsi="Calibri"/>
          <w:b/>
          <w:i w:val="0"/>
          <w:sz w:val="19"/>
        </w:rPr>
        <w:t>36h</w:t>
      </w:r>
      <w:r>
        <w:rPr>
          <w:rFonts w:ascii="Calibri" w:hAnsi="Calibri"/>
          <w:b w:val="0"/>
          <w:i w:val="0"/>
          <w:sz w:val="19"/>
        </w:rPr>
        <w:t xml:space="preserve"> · 4 itens · etiqueta api-mundial</w:t>
      </w:r>
    </w:p>
    <w:p>
      <w:pPr>
        <w:spacing w:before="0" w:after="40"/>
        <w:jc w:val="left"/>
      </w:pPr>
      <w:r>
        <w:rPr>
          <w:rFonts w:ascii="Calibri" w:hAnsi="Calibri"/>
          <w:b/>
          <w:i w:val="0"/>
          <w:sz w:val="21"/>
        </w:rPr>
        <w:t>Objetivo</w:t>
      </w:r>
    </w:p>
    <w:p>
      <w:pPr>
        <w:spacing w:before="0" w:after="120"/>
        <w:jc w:val="both"/>
      </w:pPr>
      <w:r>
        <w:rPr>
          <w:rFonts w:ascii="Calibri" w:hAnsi="Calibri"/>
          <w:b w:val="0"/>
          <w:i w:val="0"/>
          <w:sz w:val="21"/>
        </w:rPr>
        <w:t>Traduzir os códigos do BRS Cloud para os da Mundial por configuração, e não por código.</w:t>
      </w:r>
    </w:p>
    <w:p>
      <w:pPr>
        <w:spacing w:before="0" w:after="40"/>
        <w:jc w:val="left"/>
      </w:pPr>
      <w:r>
        <w:rPr>
          <w:rFonts w:ascii="Calibri" w:hAnsi="Calibri"/>
          <w:b/>
          <w:i w:val="0"/>
          <w:sz w:val="21"/>
        </w:rPr>
        <w:t>Contexto</w:t>
      </w:r>
    </w:p>
    <w:p>
      <w:pPr>
        <w:spacing w:before="0" w:after="120"/>
        <w:jc w:val="both"/>
      </w:pPr>
      <w:r>
        <w:rPr>
          <w:rFonts w:ascii="Calibri" w:hAnsi="Calibri"/>
          <w:b w:val="0"/>
          <w:i w:val="0"/>
          <w:sz w:val="21"/>
        </w:rPr>
        <w:t>A API trabalha com códigos numéricos próprios: ramo, subramo, cobertura, sucursal de expedição, causa do sinistro, município pelo código DANE, tipo de documento, subconceito de estimativa, motivo de objeção, causa de modificação de reserva e moeda. No BRS Cloud, Cidade e Filial já possuem campo de código, que recebem os equivalentes; Cobertura não possui nenhum. A estrutura de configuração de importação, que já faz correspondência de valor por campo, serve de modelo, e o módulo de parâmetros do portal reduz o esforço da tela de manutenção.</w:t>
      </w:r>
    </w:p>
    <w:p>
      <w:pPr>
        <w:spacing w:before="0" w:after="40"/>
        <w:jc w:val="left"/>
      </w:pPr>
      <w:r>
        <w:rPr>
          <w:rFonts w:ascii="Calibri" w:hAnsi="Calibri"/>
          <w:b/>
          <w:i w:val="0"/>
          <w:sz w:val="21"/>
        </w:rPr>
        <w:t>Critérios de sucesso</w:t>
      </w:r>
    </w:p>
    <w:p>
      <w:pPr>
        <w:pStyle w:val="ListBullet"/>
        <w:spacing w:after="40"/>
        <w:jc w:val="both"/>
      </w:pPr>
      <w:r>
        <w:rPr>
          <w:rFonts w:ascii="Calibri" w:hAnsi="Calibri"/>
          <w:sz w:val="21"/>
        </w:rPr>
        <w:t>Existe correspondência, por cliente, entre as entidades do BRS Cloud e os códigos da Mundial</w:t>
      </w:r>
    </w:p>
    <w:p>
      <w:pPr>
        <w:pStyle w:val="ListBullet"/>
        <w:spacing w:after="40"/>
        <w:jc w:val="both"/>
      </w:pPr>
      <w:r>
        <w:rPr>
          <w:rFonts w:ascii="Calibri" w:hAnsi="Calibri"/>
          <w:sz w:val="21"/>
        </w:rPr>
        <w:t>Envio com correspondência ausente é barrado antes, com mensagem que identifica o campo e o valor</w:t>
      </w:r>
    </w:p>
    <w:p>
      <w:pPr>
        <w:pStyle w:val="ListBullet"/>
        <w:spacing w:after="40"/>
        <w:jc w:val="both"/>
      </w:pPr>
      <w:r>
        <w:rPr>
          <w:rFonts w:ascii="Calibri" w:hAnsi="Calibri"/>
          <w:sz w:val="21"/>
        </w:rPr>
        <w:t>A operação mantém a correspondência pela tela, sem apoio técnico</w:t>
      </w:r>
    </w:p>
    <w:p>
      <w:pPr>
        <w:pStyle w:val="ListBullet"/>
        <w:spacing w:after="40"/>
        <w:jc w:val="both"/>
      </w:pPr>
      <w:r>
        <w:rPr>
          <w:rFonts w:ascii="Calibri" w:hAnsi="Calibri"/>
          <w:sz w:val="21"/>
        </w:rPr>
        <w:t>Os anexos do manual — tipos de documento e tipos de estimativa — entram por script</w:t>
      </w:r>
    </w:p>
    <w:p>
      <w:pPr>
        <w:pStyle w:val="ListBullet"/>
        <w:spacing w:after="40"/>
        <w:jc w:val="both"/>
      </w:pPr>
      <w:r>
        <w:rPr>
          <w:rFonts w:ascii="Calibri" w:hAnsi="Calibri"/>
          <w:sz w:val="21"/>
        </w:rPr>
        <w:t>Datas saem em ISO 8601 e o conteúdo em UTF-8, conforme o lineamento do fornecedor</w:t>
      </w:r>
    </w:p>
    <w:p>
      <w:pPr>
        <w:spacing w:before="120" w:after="40"/>
        <w:jc w:val="left"/>
      </w:pPr>
      <w:r>
        <w:rPr>
          <w:rFonts w:ascii="Calibri" w:hAnsi="Calibri"/>
          <w:b/>
          <w:i w:val="0"/>
          <w:sz w:val="21"/>
        </w:rPr>
        <w:t>Riscos técnicos</w:t>
      </w:r>
    </w:p>
    <w:p>
      <w:pPr>
        <w:spacing w:before="0" w:after="120"/>
        <w:jc w:val="both"/>
      </w:pPr>
      <w:r>
        <w:rPr>
          <w:rFonts w:ascii="Calibri" w:hAnsi="Calibri"/>
          <w:b w:val="0"/>
          <w:i w:val="0"/>
          <w:sz w:val="21"/>
        </w:rPr>
        <w:t>As tabelas de ramo, subramo, cobertura, causa do sinistro e motivo de objeção não vieram nos manuais. Sem elas, a correspondência não pode ser preenchida nem homologada.</w:t>
      </w:r>
    </w:p>
    <w:p>
      <w:pPr>
        <w:spacing w:before="120" w:after="40"/>
        <w:jc w:val="left"/>
      </w:pPr>
      <w:r>
        <w:rPr>
          <w:rFonts w:ascii="Calibri" w:hAnsi="Calibri"/>
          <w:b/>
          <w:i w:val="0"/>
          <w:sz w:val="21"/>
        </w:rPr>
        <w:t>Outras informações</w:t>
      </w:r>
    </w:p>
    <w:p>
      <w:pPr>
        <w:spacing w:before="0" w:after="120"/>
        <w:jc w:val="both"/>
      </w:pPr>
      <w:r>
        <w:rPr>
          <w:rFonts w:ascii="Calibri" w:hAnsi="Calibri"/>
          <w:b w:val="0"/>
          <w:i w:val="0"/>
          <w:sz w:val="21"/>
        </w:rPr>
        <w:t>Depende do card 01 e é pré-requisito do card 03.</w:t>
      </w:r>
    </w:p>
    <w:p>
      <w:pPr>
        <w:spacing w:before="120" w:after="40"/>
        <w:jc w:val="left"/>
      </w:pPr>
      <w:r>
        <w:rPr>
          <w:rFonts w:ascii="Calibri" w:hAnsi="Calibri"/>
          <w:b/>
          <w:i w:val="0"/>
          <w:sz w:val="21"/>
        </w:rPr>
        <w:t>Smart Checklist</w:t>
      </w:r>
    </w:p>
    <w:p>
      <w:pPr>
        <w:spacing w:before="0" w:after="20"/>
        <w:ind w:left="340"/>
        <w:jc w:val="left"/>
      </w:pPr>
      <w:r>
        <w:rPr>
          <w:rFonts w:ascii="Calibri" w:hAnsi="Calibri"/>
          <w:b w:val="0"/>
          <w:i w:val="0"/>
          <w:sz w:val="20"/>
        </w:rPr>
        <w:t>Modelo de correspondência de códigos (10h)</w:t>
      </w:r>
    </w:p>
    <w:p>
      <w:pPr>
        <w:spacing w:before="0" w:after="20"/>
        <w:ind w:left="340"/>
        <w:jc w:val="left"/>
      </w:pPr>
      <w:r>
        <w:rPr>
          <w:rFonts w:ascii="Calibri" w:hAnsi="Calibri"/>
          <w:b w:val="0"/>
          <w:i w:val="0"/>
          <w:sz w:val="20"/>
        </w:rPr>
        <w:t>Resolução e validação dos códigos no envio (8h)</w:t>
      </w:r>
    </w:p>
    <w:p>
      <w:pPr>
        <w:spacing w:before="0" w:after="20"/>
        <w:ind w:left="340"/>
        <w:jc w:val="left"/>
      </w:pPr>
      <w:r>
        <w:rPr>
          <w:rFonts w:ascii="Calibri" w:hAnsi="Calibri"/>
          <w:b w:val="0"/>
          <w:i w:val="0"/>
          <w:sz w:val="20"/>
        </w:rPr>
        <w:t>Endpoints de manutenção da correspondência (6h)</w:t>
      </w:r>
    </w:p>
    <w:p>
      <w:pPr>
        <w:spacing w:before="0" w:after="20"/>
        <w:ind w:left="340"/>
        <w:jc w:val="left"/>
      </w:pPr>
      <w:r>
        <w:rPr>
          <w:rFonts w:ascii="Calibri" w:hAnsi="Calibri"/>
          <w:b w:val="0"/>
          <w:i w:val="0"/>
          <w:sz w:val="20"/>
        </w:rPr>
        <w:t>Tela de administração da correspondência (12h)</w:t>
      </w:r>
    </w:p>
    <w:p>
      <w:pPr>
        <w:spacing w:before="160" w:after="60"/>
        <w:jc w:val="left"/>
      </w:pPr>
      <w:r>
        <w:rPr>
          <w:rFonts w:ascii="Calibri" w:hAnsi="Calibri"/>
          <w:b/>
          <w:i w:val="0"/>
          <w:sz w:val="21"/>
        </w:rPr>
        <w:t>Detalhamento dos itens</w:t>
      </w:r>
    </w:p>
    <w:p>
      <w:pPr>
        <w:spacing w:after="120"/>
        <w:jc w:val="both"/>
      </w:pPr>
      <w:r>
        <w:rPr>
          <w:rFonts w:ascii="Calibri" w:hAnsi="Calibri"/>
          <w:b/>
          <w:i w:val="0"/>
          <w:sz w:val="20"/>
        </w:rPr>
        <w:t xml:space="preserve">Modelo de correspondência de códigos — 10h. </w:t>
      </w:r>
      <w:r>
        <w:rPr>
          <w:rFonts w:ascii="Calibri" w:hAnsi="Calibri"/>
          <w:b w:val="0"/>
          <w:i w:val="0"/>
          <w:sz w:val="20"/>
        </w:rPr>
        <w:t>Ter onde guardar a tradução entre os códigos do BRS Cloud e os códigos da Mundial.</w:t>
      </w:r>
    </w:p>
    <w:p>
      <w:pPr>
        <w:spacing w:before="0" w:after="60"/>
        <w:ind w:left="340"/>
        <w:jc w:val="both"/>
      </w:pPr>
      <w:r>
        <w:rPr>
          <w:rFonts w:ascii="Calibri" w:hAnsi="Calibri"/>
          <w:b w:val="0"/>
          <w:i w:val="0"/>
          <w:sz w:val="20"/>
        </w:rPr>
        <w:t>A API trabalha com códigos numéricos próprios: ramo, subramo, cobertura, sucursal de expedição, causa do sinistro, município pelo código DANE, tipo de documento de identificação, subconceito de estimativa, motivo de objeção, causa de modificação de reserva e moeda. No BRS Cloud, Cidade já possui um campo de código de referência e Filial possui um campo de código, que podem receber os equivalentes. Cobertura não possui nenhum campo de código. Existe ainda uma estrutura de configuração de importação que faz correspondência de valor por campo e serve de modelo para esta.</w:t>
      </w:r>
    </w:p>
    <w:p>
      <w:pPr>
        <w:spacing w:after="60"/>
        <w:ind w:left="340"/>
        <w:jc w:val="both"/>
      </w:pPr>
      <w:r>
        <w:rPr>
          <w:rFonts w:ascii="Calibri" w:hAnsi="Calibri"/>
          <w:b/>
          <w:i/>
          <w:sz w:val="19"/>
        </w:rPr>
        <w:t xml:space="preserve">Risco: </w:t>
      </w:r>
      <w:r>
        <w:rPr>
          <w:rFonts w:ascii="Calibri" w:hAnsi="Calibri"/>
          <w:b w:val="0"/>
          <w:i/>
          <w:sz w:val="19"/>
        </w:rPr>
        <w:t>As tabelas de ramo, cobertura, subramo, causa do sinistro e motivo de objeção não vieram nos manuais. Só os tipos de documento e os tipos de estimativa estão documentados. Sem as demais, a correspondência não pode ser preenchida.</w:t>
      </w:r>
    </w:p>
    <w:p>
      <w:pPr>
        <w:pStyle w:val="ListBullet"/>
        <w:spacing w:after="40"/>
        <w:ind w:left="624"/>
        <w:jc w:val="both"/>
      </w:pPr>
      <w:r>
        <w:rPr>
          <w:rFonts w:ascii="Calibri" w:hAnsi="Calibri"/>
          <w:sz w:val="19"/>
        </w:rPr>
        <w:t>Modelar a correspondência de códigos e seus scripts de banco</w:t>
      </w:r>
    </w:p>
    <w:p>
      <w:pPr>
        <w:pStyle w:val="ListBullet"/>
        <w:spacing w:after="40"/>
        <w:ind w:left="624"/>
        <w:jc w:val="both"/>
      </w:pPr>
      <w:r>
        <w:rPr>
          <w:rFonts w:ascii="Calibri" w:hAnsi="Calibri"/>
          <w:sz w:val="19"/>
        </w:rPr>
        <w:t>Carregar os tipos de documento de identificação do anexo 1</w:t>
      </w:r>
    </w:p>
    <w:p>
      <w:pPr>
        <w:pStyle w:val="ListBullet"/>
        <w:spacing w:after="40"/>
        <w:ind w:left="624"/>
        <w:jc w:val="both"/>
      </w:pPr>
      <w:r>
        <w:rPr>
          <w:rFonts w:ascii="Calibri" w:hAnsi="Calibri"/>
          <w:sz w:val="19"/>
        </w:rPr>
        <w:t>Carregar os tipos de estimativa do anexo 2</w:t>
      </w:r>
    </w:p>
    <w:p>
      <w:pPr>
        <w:pStyle w:val="ListBullet"/>
        <w:spacing w:after="40"/>
        <w:ind w:left="624"/>
        <w:jc w:val="both"/>
      </w:pPr>
      <w:r>
        <w:rPr>
          <w:rFonts w:ascii="Calibri" w:hAnsi="Calibri"/>
          <w:sz w:val="19"/>
        </w:rPr>
        <w:t>Aproveitar os campos de código já existentes em Cidade e Filial</w:t>
      </w:r>
    </w:p>
    <w:p>
      <w:pPr>
        <w:pStyle w:val="ListBullet"/>
        <w:spacing w:after="40"/>
        <w:ind w:left="624"/>
        <w:jc w:val="both"/>
      </w:pPr>
      <w:r>
        <w:rPr>
          <w:rFonts w:ascii="Calibri" w:hAnsi="Calibri"/>
          <w:sz w:val="19"/>
        </w:rPr>
        <w:t>Solicitar à Mundial as tabelas de ramo, cobertura, subramo, causa e motivo de objeção</w:t>
      </w:r>
    </w:p>
    <w:p>
      <w:pPr>
        <w:spacing w:before="0" w:after="80"/>
        <w:jc w:val="both"/>
      </w:pPr>
    </w:p>
    <w:p>
      <w:pPr>
        <w:spacing w:after="120"/>
        <w:jc w:val="both"/>
      </w:pPr>
      <w:r>
        <w:rPr>
          <w:rFonts w:ascii="Calibri" w:hAnsi="Calibri"/>
          <w:b/>
          <w:i w:val="0"/>
          <w:sz w:val="20"/>
        </w:rPr>
        <w:t xml:space="preserve">Resolução e validação dos códigos no envio — 8h. </w:t>
      </w:r>
      <w:r>
        <w:rPr>
          <w:rFonts w:ascii="Calibri" w:hAnsi="Calibri"/>
          <w:b w:val="0"/>
          <w:i w:val="0"/>
          <w:sz w:val="20"/>
        </w:rPr>
        <w:t>Traduzir os dados do sinistro para os códigos da Mundial e impedir envio incompleto.</w:t>
      </w:r>
    </w:p>
    <w:p>
      <w:pPr>
        <w:spacing w:before="0" w:after="60"/>
        <w:ind w:left="340"/>
        <w:jc w:val="both"/>
      </w:pPr>
      <w:r>
        <w:rPr>
          <w:rFonts w:ascii="Calibri" w:hAnsi="Calibri"/>
          <w:b w:val="0"/>
          <w:i w:val="0"/>
          <w:sz w:val="20"/>
        </w:rPr>
        <w:t>Um envio com código ausente é recusado pela Mundial com erro genérico de requisição inválida, difícil de diagnosticar depois. É melhor barrar antes, com mensagem que diga exatamente qual correspondência falta.</w:t>
      </w:r>
    </w:p>
    <w:p>
      <w:pPr>
        <w:pStyle w:val="ListBullet"/>
        <w:spacing w:after="40"/>
        <w:ind w:left="624"/>
        <w:jc w:val="both"/>
      </w:pPr>
      <w:r>
        <w:rPr>
          <w:rFonts w:ascii="Calibri" w:hAnsi="Calibri"/>
          <w:sz w:val="19"/>
        </w:rPr>
        <w:t>Implementar a resolução de cada campo codificado</w:t>
      </w:r>
    </w:p>
    <w:p>
      <w:pPr>
        <w:pStyle w:val="ListBullet"/>
        <w:spacing w:after="40"/>
        <w:ind w:left="624"/>
        <w:jc w:val="both"/>
      </w:pPr>
      <w:r>
        <w:rPr>
          <w:rFonts w:ascii="Calibri" w:hAnsi="Calibri"/>
          <w:sz w:val="19"/>
        </w:rPr>
        <w:t>Validar a presença de todas as correspondências antes do envio</w:t>
      </w:r>
    </w:p>
    <w:p>
      <w:pPr>
        <w:pStyle w:val="ListBullet"/>
        <w:spacing w:after="40"/>
        <w:ind w:left="624"/>
        <w:jc w:val="both"/>
      </w:pPr>
      <w:r>
        <w:rPr>
          <w:rFonts w:ascii="Calibri" w:hAnsi="Calibri"/>
          <w:sz w:val="19"/>
        </w:rPr>
        <w:t>Produzir mensagem de erro que identifique campo e valor</w:t>
      </w:r>
    </w:p>
    <w:p>
      <w:pPr>
        <w:pStyle w:val="ListBullet"/>
        <w:spacing w:after="40"/>
        <w:ind w:left="624"/>
        <w:jc w:val="both"/>
      </w:pPr>
      <w:r>
        <w:rPr>
          <w:rFonts w:ascii="Calibri" w:hAnsi="Calibri"/>
          <w:sz w:val="19"/>
        </w:rPr>
        <w:t>Padronizar datas em ISO 8601 conforme o lineamento do fornecedor</w:t>
      </w:r>
    </w:p>
    <w:p>
      <w:pPr>
        <w:pStyle w:val="ListBullet"/>
        <w:spacing w:after="40"/>
        <w:ind w:left="624"/>
        <w:jc w:val="both"/>
      </w:pPr>
      <w:r>
        <w:rPr>
          <w:rFonts w:ascii="Calibri" w:hAnsi="Calibri"/>
          <w:sz w:val="19"/>
        </w:rPr>
        <w:t>Cobrir a resolução com testes</w:t>
      </w:r>
    </w:p>
    <w:p>
      <w:pPr>
        <w:spacing w:before="0" w:after="80"/>
        <w:jc w:val="both"/>
      </w:pPr>
    </w:p>
    <w:p>
      <w:pPr>
        <w:spacing w:after="120"/>
        <w:jc w:val="both"/>
      </w:pPr>
      <w:r>
        <w:rPr>
          <w:rFonts w:ascii="Calibri" w:hAnsi="Calibri"/>
          <w:b/>
          <w:i w:val="0"/>
          <w:sz w:val="20"/>
        </w:rPr>
        <w:t xml:space="preserve">Endpoints de manutenção da correspondência — 6h. </w:t>
      </w:r>
      <w:r>
        <w:rPr>
          <w:rFonts w:ascii="Calibri" w:hAnsi="Calibri"/>
          <w:b w:val="0"/>
          <w:i w:val="0"/>
          <w:sz w:val="20"/>
        </w:rPr>
        <w:t>Permitir consultar e manter a correspondência de códigos pelo sistema.</w:t>
      </w:r>
    </w:p>
    <w:p>
      <w:pPr>
        <w:spacing w:before="0" w:after="60"/>
        <w:ind w:left="340"/>
        <w:jc w:val="both"/>
      </w:pPr>
      <w:r>
        <w:rPr>
          <w:rFonts w:ascii="Calibri" w:hAnsi="Calibri"/>
          <w:b w:val="0"/>
          <w:i w:val="0"/>
          <w:sz w:val="20"/>
        </w:rPr>
        <w:t>A manutenção precisa ficar com a equipe de operação, sem depender de script em banco a cada novo ramo ou cobertura.</w:t>
      </w:r>
    </w:p>
    <w:p>
      <w:pPr>
        <w:pStyle w:val="ListBullet"/>
        <w:spacing w:after="40"/>
        <w:ind w:left="624"/>
        <w:jc w:val="both"/>
      </w:pPr>
      <w:r>
        <w:rPr>
          <w:rFonts w:ascii="Calibri" w:hAnsi="Calibri"/>
          <w:sz w:val="19"/>
        </w:rPr>
        <w:t>Criar os endpoints de consulta e manutenção</w:t>
      </w:r>
    </w:p>
    <w:p>
      <w:pPr>
        <w:pStyle w:val="ListBullet"/>
        <w:spacing w:after="40"/>
        <w:ind w:left="624"/>
        <w:jc w:val="both"/>
      </w:pPr>
      <w:r>
        <w:rPr>
          <w:rFonts w:ascii="Calibri" w:hAnsi="Calibri"/>
          <w:sz w:val="19"/>
        </w:rPr>
        <w:t>Aplicar as permissões de acesso existentes</w:t>
      </w:r>
    </w:p>
    <w:p>
      <w:pPr>
        <w:pStyle w:val="ListBullet"/>
        <w:spacing w:after="40"/>
        <w:ind w:left="624"/>
        <w:jc w:val="both"/>
      </w:pPr>
      <w:r>
        <w:rPr>
          <w:rFonts w:ascii="Calibri" w:hAnsi="Calibri"/>
          <w:sz w:val="19"/>
        </w:rPr>
        <w:t>Registrar as alterações na auditoria</w:t>
      </w:r>
    </w:p>
    <w:p>
      <w:pPr>
        <w:spacing w:before="0" w:after="80"/>
        <w:jc w:val="both"/>
      </w:pPr>
    </w:p>
    <w:p>
      <w:pPr>
        <w:spacing w:after="120"/>
        <w:jc w:val="both"/>
      </w:pPr>
      <w:r>
        <w:rPr>
          <w:rFonts w:ascii="Calibri" w:hAnsi="Calibri"/>
          <w:b/>
          <w:i w:val="0"/>
          <w:sz w:val="20"/>
        </w:rPr>
        <w:t xml:space="preserve">Tela de administração da correspondência — 12h. </w:t>
      </w:r>
      <w:r>
        <w:rPr>
          <w:rFonts w:ascii="Calibri" w:hAnsi="Calibri"/>
          <w:b w:val="0"/>
          <w:i w:val="0"/>
          <w:sz w:val="20"/>
        </w:rPr>
        <w:t>Dar à operação uma tela para manter a correspondência de códigos sem apoio técnico.</w:t>
      </w:r>
    </w:p>
    <w:p>
      <w:pPr>
        <w:spacing w:before="0" w:after="60"/>
        <w:ind w:left="340"/>
        <w:jc w:val="both"/>
      </w:pPr>
      <w:r>
        <w:rPr>
          <w:rFonts w:ascii="Calibri" w:hAnsi="Calibri"/>
          <w:b w:val="0"/>
          <w:i w:val="0"/>
          <w:sz w:val="20"/>
        </w:rPr>
        <w:t>O portal já tem um módulo de parâmetros com várias telas de manutenção no mesmo padrão, que serve de base e reduz o esforço.</w:t>
      </w:r>
    </w:p>
    <w:p>
      <w:pPr>
        <w:pStyle w:val="ListBullet"/>
        <w:spacing w:after="40"/>
        <w:ind w:left="624"/>
        <w:jc w:val="both"/>
      </w:pPr>
      <w:r>
        <w:rPr>
          <w:rFonts w:ascii="Calibri" w:hAnsi="Calibri"/>
          <w:sz w:val="19"/>
        </w:rPr>
        <w:t>Criar a tela no módulo de parâmetros</w:t>
      </w:r>
    </w:p>
    <w:p>
      <w:pPr>
        <w:pStyle w:val="ListBullet"/>
        <w:spacing w:after="40"/>
        <w:ind w:left="624"/>
        <w:jc w:val="both"/>
      </w:pPr>
      <w:r>
        <w:rPr>
          <w:rFonts w:ascii="Calibri" w:hAnsi="Calibri"/>
          <w:sz w:val="19"/>
        </w:rPr>
        <w:t>Implementar listagem, filtro e manutenção</w:t>
      </w:r>
    </w:p>
    <w:p>
      <w:pPr>
        <w:pStyle w:val="ListBullet"/>
        <w:spacing w:after="40"/>
        <w:ind w:left="624"/>
        <w:jc w:val="both"/>
      </w:pPr>
      <w:r>
        <w:rPr>
          <w:rFonts w:ascii="Calibri" w:hAnsi="Calibri"/>
          <w:sz w:val="19"/>
        </w:rPr>
        <w:t>Destacar correspondências ausentes</w:t>
      </w:r>
    </w:p>
    <w:p>
      <w:pPr>
        <w:pStyle w:val="ListBullet"/>
        <w:spacing w:after="40"/>
        <w:ind w:left="624"/>
        <w:jc w:val="both"/>
      </w:pPr>
      <w:r>
        <w:rPr>
          <w:rFonts w:ascii="Calibri" w:hAnsi="Calibri"/>
          <w:sz w:val="19"/>
        </w:rPr>
        <w:t>Incluir as traduções</w:t>
      </w:r>
    </w:p>
    <w:p>
      <w:pPr>
        <w:pStyle w:val="ListBullet"/>
        <w:spacing w:after="40"/>
        <w:ind w:left="624"/>
        <w:jc w:val="both"/>
      </w:pPr>
      <w:r>
        <w:rPr>
          <w:rFonts w:ascii="Calibri" w:hAnsi="Calibri"/>
          <w:sz w:val="19"/>
        </w:rPr>
        <w:t>Aplicar a permissão de acesso</w:t>
      </w:r>
    </w:p>
    <w:p>
      <w:pPr>
        <w:spacing w:before="0" w:after="80"/>
        <w:jc w:val="both"/>
      </w:pPr>
    </w:p>
    <w:p>
      <w:pPr>
        <w:spacing w:before="280" w:after="80"/>
        <w:jc w:val="left"/>
      </w:pPr>
      <w:r>
        <w:rPr>
          <w:rFonts w:ascii="Calibri" w:hAnsi="Calibri"/>
          <w:b/>
          <w:i w:val="0"/>
          <w:color w:val="1F3864"/>
          <w:sz w:val="30"/>
        </w:rPr>
        <w:t>Card 03 — Operações de sinistro</w:t>
      </w:r>
    </w:p>
    <w:p>
      <w:pPr>
        <w:spacing w:after="120"/>
        <w:jc w:val="both"/>
      </w:pPr>
      <w:r>
        <w:rPr>
          <w:rFonts w:ascii="Calibri" w:hAnsi="Calibri"/>
          <w:b/>
          <w:i w:val="0"/>
          <w:sz w:val="19"/>
        </w:rPr>
        <w:t>88h</w:t>
      </w:r>
      <w:r>
        <w:rPr>
          <w:rFonts w:ascii="Calibri" w:hAnsi="Calibri"/>
          <w:b w:val="0"/>
          <w:i w:val="0"/>
          <w:sz w:val="19"/>
        </w:rPr>
        <w:t xml:space="preserve"> · 8 itens · etiqueta api-mundial</w:t>
      </w:r>
    </w:p>
    <w:p>
      <w:pPr>
        <w:spacing w:before="0" w:after="40"/>
        <w:jc w:val="left"/>
      </w:pPr>
      <w:r>
        <w:rPr>
          <w:rFonts w:ascii="Calibri" w:hAnsi="Calibri"/>
          <w:b/>
          <w:i w:val="0"/>
          <w:sz w:val="21"/>
        </w:rPr>
        <w:t>Objetivo</w:t>
      </w:r>
    </w:p>
    <w:p>
      <w:pPr>
        <w:spacing w:before="0" w:after="120"/>
        <w:jc w:val="both"/>
      </w:pPr>
      <w:r>
        <w:rPr>
          <w:rFonts w:ascii="Calibri" w:hAnsi="Calibri"/>
          <w:b w:val="0"/>
          <w:i w:val="0"/>
          <w:sz w:val="21"/>
        </w:rPr>
        <w:t>Enviar à Mundial as cinco operações do ciclo do sinistro: criação, abertura e modificação de reserva, liquidação e objeção.</w:t>
      </w:r>
    </w:p>
    <w:p>
      <w:pPr>
        <w:spacing w:before="0" w:after="40"/>
        <w:jc w:val="left"/>
      </w:pPr>
      <w:r>
        <w:rPr>
          <w:rFonts w:ascii="Calibri" w:hAnsi="Calibri"/>
          <w:b/>
          <w:i w:val="0"/>
          <w:sz w:val="21"/>
        </w:rPr>
        <w:t>Contexto</w:t>
      </w:r>
    </w:p>
    <w:p>
      <w:pPr>
        <w:spacing w:before="0" w:after="120"/>
        <w:jc w:val="both"/>
      </w:pPr>
      <w:r>
        <w:rPr>
          <w:rFonts w:ascii="Calibri" w:hAnsi="Calibri"/>
          <w:b w:val="0"/>
          <w:i w:val="0"/>
          <w:sz w:val="21"/>
        </w:rPr>
        <w:t>As operações são encadeadas: a criação devolve o identificador do sinistro, a abertura da reserva devolve o código de estimativa e o número de subreclamação, e a liquidação e a objeção exigem esses dois números de volta. Antes disso, é preciso resolver a maior diferença estrutural entre os dois sistemas: a Mundial trabalha estimativas por tipo, com subconceitos, enquanto o BRS Cloud guarda reserva e indenização como valores únicos no sinistro e no item. A liquidação merece atenção própria, porque gera ordem de pagamento no sistema da seguradora.</w:t>
      </w:r>
    </w:p>
    <w:p>
      <w:pPr>
        <w:spacing w:before="0" w:after="40"/>
        <w:jc w:val="left"/>
      </w:pPr>
      <w:r>
        <w:rPr>
          <w:rFonts w:ascii="Calibri" w:hAnsi="Calibri"/>
          <w:b/>
          <w:i w:val="0"/>
          <w:sz w:val="21"/>
        </w:rPr>
        <w:t>Critérios de sucesso</w:t>
      </w:r>
    </w:p>
    <w:p>
      <w:pPr>
        <w:pStyle w:val="ListBullet"/>
        <w:spacing w:after="40"/>
        <w:jc w:val="both"/>
      </w:pPr>
      <w:r>
        <w:rPr>
          <w:rFonts w:ascii="Calibri" w:hAnsi="Calibri"/>
          <w:sz w:val="21"/>
        </w:rPr>
        <w:t>O BRS Cloud representa estimativas por tipo e subreclamações, e guarda os códigos devolvidos</w:t>
      </w:r>
    </w:p>
    <w:p>
      <w:pPr>
        <w:pStyle w:val="ListBullet"/>
        <w:spacing w:after="40"/>
        <w:jc w:val="both"/>
      </w:pPr>
      <w:r>
        <w:rPr>
          <w:rFonts w:ascii="Calibri" w:hAnsi="Calibri"/>
          <w:sz w:val="21"/>
        </w:rPr>
        <w:t>As cinco operações funcionam ponta a ponta e respeitam a ordem do encadeamento</w:t>
      </w:r>
    </w:p>
    <w:p>
      <w:pPr>
        <w:pStyle w:val="ListBullet"/>
        <w:spacing w:after="40"/>
        <w:jc w:val="both"/>
      </w:pPr>
      <w:r>
        <w:rPr>
          <w:rFonts w:ascii="Calibri" w:hAnsi="Calibri"/>
          <w:sz w:val="21"/>
        </w:rPr>
        <w:t>A liquidação exige confirmação explícita, registra quem autorizou e não tem reenvio automático</w:t>
      </w:r>
    </w:p>
    <w:p>
      <w:pPr>
        <w:pStyle w:val="ListBullet"/>
        <w:spacing w:after="40"/>
        <w:jc w:val="both"/>
      </w:pPr>
      <w:r>
        <w:rPr>
          <w:rFonts w:ascii="Calibri" w:hAnsi="Calibri"/>
          <w:sz w:val="21"/>
        </w:rPr>
        <w:t>O valor aprovado nunca é enviado acima do valor reclamado</w:t>
      </w:r>
    </w:p>
    <w:p>
      <w:pPr>
        <w:pStyle w:val="ListBullet"/>
        <w:spacing w:after="40"/>
        <w:jc w:val="both"/>
      </w:pPr>
      <w:r>
        <w:rPr>
          <w:rFonts w:ascii="Calibri" w:hAnsi="Calibri"/>
          <w:sz w:val="21"/>
        </w:rPr>
        <w:t>O gatilho de cada operação é configurável, e não fixo em código</w:t>
      </w:r>
    </w:p>
    <w:p>
      <w:pPr>
        <w:pStyle w:val="ListBullet"/>
        <w:spacing w:after="40"/>
        <w:jc w:val="both"/>
      </w:pPr>
      <w:r>
        <w:rPr>
          <w:rFonts w:ascii="Calibri" w:hAnsi="Calibri"/>
          <w:sz w:val="21"/>
        </w:rPr>
        <w:t>Existe reenvio manual, respeitando a ordem das operações</w:t>
      </w:r>
    </w:p>
    <w:p>
      <w:pPr>
        <w:pStyle w:val="ListBullet"/>
        <w:spacing w:after="40"/>
        <w:jc w:val="both"/>
      </w:pPr>
      <w:r>
        <w:rPr>
          <w:rFonts w:ascii="Calibri" w:hAnsi="Calibri"/>
          <w:sz w:val="21"/>
        </w:rPr>
        <w:t>Erro de negócio devolvido pela Mundial é registrado com código e descrição</w:t>
      </w:r>
    </w:p>
    <w:p>
      <w:pPr>
        <w:spacing w:before="120" w:after="40"/>
        <w:jc w:val="left"/>
      </w:pPr>
      <w:r>
        <w:rPr>
          <w:rFonts w:ascii="Calibri" w:hAnsi="Calibri"/>
          <w:b/>
          <w:i w:val="0"/>
          <w:sz w:val="21"/>
        </w:rPr>
        <w:t>Riscos técnicos</w:t>
      </w:r>
    </w:p>
    <w:p>
      <w:pPr>
        <w:spacing w:before="0" w:after="120"/>
        <w:jc w:val="both"/>
      </w:pPr>
      <w:r>
        <w:rPr>
          <w:rFonts w:ascii="Calibri" w:hAnsi="Calibri"/>
          <w:b w:val="0"/>
          <w:i w:val="0"/>
          <w:sz w:val="21"/>
        </w:rPr>
        <w:t>O item de estrutura de estimativas é o de maior risco do projeto: define a granularidade de tudo o que vem depois e depende de decisão de negócio da Crawford sobre quem informa a quebra de valores e em que tela. A liquidação tem efeito financeiro real na seguradora. Há divergências a confirmar na objeção, publicada na versão 1 do caminho enquanto as demais estão na versão 2.</w:t>
      </w:r>
    </w:p>
    <w:p>
      <w:pPr>
        <w:spacing w:before="120" w:after="40"/>
        <w:jc w:val="left"/>
      </w:pPr>
      <w:r>
        <w:rPr>
          <w:rFonts w:ascii="Calibri" w:hAnsi="Calibri"/>
          <w:b/>
          <w:i w:val="0"/>
          <w:sz w:val="21"/>
        </w:rPr>
        <w:t>Outras informações</w:t>
      </w:r>
    </w:p>
    <w:p>
      <w:pPr>
        <w:spacing w:before="0" w:after="120"/>
        <w:jc w:val="both"/>
      </w:pPr>
      <w:r>
        <w:rPr>
          <w:rFonts w:ascii="Calibri" w:hAnsi="Calibri"/>
          <w:b w:val="0"/>
          <w:i w:val="0"/>
          <w:sz w:val="21"/>
        </w:rPr>
        <w:t>Depende dos cards 01 e 02. É o maior card do projeto, com 88h; pode ser quebrado em dois — sinistro e reserva de um lado, liquidação e objeção do outro — se a equipe preferir acompanhar em pedaços menores.</w:t>
      </w:r>
    </w:p>
    <w:p>
      <w:pPr>
        <w:spacing w:before="120" w:after="40"/>
        <w:jc w:val="left"/>
      </w:pPr>
      <w:r>
        <w:rPr>
          <w:rFonts w:ascii="Calibri" w:hAnsi="Calibri"/>
          <w:b/>
          <w:i w:val="0"/>
          <w:sz w:val="21"/>
        </w:rPr>
        <w:t>Smart Checklist</w:t>
      </w:r>
    </w:p>
    <w:p>
      <w:pPr>
        <w:spacing w:before="0" w:after="20"/>
        <w:ind w:left="340"/>
        <w:jc w:val="left"/>
      </w:pPr>
      <w:r>
        <w:rPr>
          <w:rFonts w:ascii="Calibri" w:hAnsi="Calibri"/>
          <w:b w:val="0"/>
          <w:i w:val="0"/>
          <w:sz w:val="20"/>
        </w:rPr>
        <w:t>Estrutura de estimativas e subreclamações (12h)</w:t>
      </w:r>
    </w:p>
    <w:p>
      <w:pPr>
        <w:spacing w:before="0" w:after="20"/>
        <w:ind w:left="340"/>
        <w:jc w:val="left"/>
      </w:pPr>
      <w:r>
        <w:rPr>
          <w:rFonts w:ascii="Calibri" w:hAnsi="Calibri"/>
          <w:b w:val="0"/>
          <w:i w:val="0"/>
          <w:sz w:val="20"/>
        </w:rPr>
        <w:t>Criação do sinistro na Mundial (14h)</w:t>
      </w:r>
    </w:p>
    <w:p>
      <w:pPr>
        <w:spacing w:before="0" w:after="20"/>
        <w:ind w:left="340"/>
        <w:jc w:val="left"/>
      </w:pPr>
      <w:r>
        <w:rPr>
          <w:rFonts w:ascii="Calibri" w:hAnsi="Calibri"/>
          <w:b w:val="0"/>
          <w:i w:val="0"/>
          <w:sz w:val="20"/>
        </w:rPr>
        <w:t>Gatilhos de envio e reenvio manual (8h)</w:t>
      </w:r>
    </w:p>
    <w:p>
      <w:pPr>
        <w:spacing w:before="0" w:after="20"/>
        <w:ind w:left="340"/>
        <w:jc w:val="left"/>
      </w:pPr>
      <w:r>
        <w:rPr>
          <w:rFonts w:ascii="Calibri" w:hAnsi="Calibri"/>
          <w:b w:val="0"/>
          <w:i w:val="0"/>
          <w:sz w:val="20"/>
        </w:rPr>
        <w:t>Abertura de reserva (14h)</w:t>
      </w:r>
    </w:p>
    <w:p>
      <w:pPr>
        <w:spacing w:before="0" w:after="20"/>
        <w:ind w:left="340"/>
        <w:jc w:val="left"/>
      </w:pPr>
      <w:r>
        <w:rPr>
          <w:rFonts w:ascii="Calibri" w:hAnsi="Calibri"/>
          <w:b w:val="0"/>
          <w:i w:val="0"/>
          <w:sz w:val="20"/>
        </w:rPr>
        <w:t>Modificação de reserva (10h)</w:t>
      </w:r>
    </w:p>
    <w:p>
      <w:pPr>
        <w:spacing w:before="0" w:after="20"/>
        <w:ind w:left="340"/>
        <w:jc w:val="left"/>
      </w:pPr>
      <w:r>
        <w:rPr>
          <w:rFonts w:ascii="Calibri" w:hAnsi="Calibri"/>
          <w:b w:val="0"/>
          <w:i w:val="0"/>
          <w:sz w:val="20"/>
        </w:rPr>
        <w:t>Liquidação do sinistro (16h)</w:t>
      </w:r>
    </w:p>
    <w:p>
      <w:pPr>
        <w:spacing w:before="0" w:after="20"/>
        <w:ind w:left="340"/>
        <w:jc w:val="left"/>
      </w:pPr>
      <w:r>
        <w:rPr>
          <w:rFonts w:ascii="Calibri" w:hAnsi="Calibri"/>
          <w:b w:val="0"/>
          <w:i w:val="0"/>
          <w:sz w:val="20"/>
        </w:rPr>
        <w:t>Objeção do sinistro (8h)</w:t>
      </w:r>
    </w:p>
    <w:p>
      <w:pPr>
        <w:spacing w:before="0" w:after="20"/>
        <w:ind w:left="340"/>
        <w:jc w:val="left"/>
      </w:pPr>
      <w:r>
        <w:rPr>
          <w:rFonts w:ascii="Calibri" w:hAnsi="Calibri"/>
          <w:b w:val="0"/>
          <w:i w:val="0"/>
          <w:sz w:val="20"/>
        </w:rPr>
        <w:t>Mapeamento dos valores do sinistro (6h)</w:t>
      </w:r>
    </w:p>
    <w:p>
      <w:pPr>
        <w:spacing w:before="160" w:after="60"/>
        <w:jc w:val="left"/>
      </w:pPr>
      <w:r>
        <w:rPr>
          <w:rFonts w:ascii="Calibri" w:hAnsi="Calibri"/>
          <w:b/>
          <w:i w:val="0"/>
          <w:sz w:val="21"/>
        </w:rPr>
        <w:t>Detalhamento dos itens</w:t>
      </w:r>
    </w:p>
    <w:p>
      <w:pPr>
        <w:spacing w:after="120"/>
        <w:jc w:val="both"/>
      </w:pPr>
      <w:r>
        <w:rPr>
          <w:rFonts w:ascii="Calibri" w:hAnsi="Calibri"/>
          <w:b/>
          <w:i w:val="0"/>
          <w:sz w:val="20"/>
        </w:rPr>
        <w:t xml:space="preserve">Estrutura de estimativas e subreclamações — 12h. </w:t>
      </w:r>
      <w:r>
        <w:rPr>
          <w:rFonts w:ascii="Calibri" w:hAnsi="Calibri"/>
          <w:b w:val="0"/>
          <w:i w:val="0"/>
          <w:sz w:val="20"/>
        </w:rPr>
        <w:t>Representar no BRS Cloud a quebra de valores que a Mundial exige nas reservas e na liquidação.</w:t>
      </w:r>
    </w:p>
    <w:p>
      <w:pPr>
        <w:spacing w:before="0" w:after="60"/>
        <w:ind w:left="340"/>
        <w:jc w:val="both"/>
      </w:pPr>
      <w:r>
        <w:rPr>
          <w:rFonts w:ascii="Calibri" w:hAnsi="Calibri"/>
          <w:b w:val="0"/>
          <w:i w:val="0"/>
          <w:sz w:val="20"/>
        </w:rPr>
        <w:t>A Mundial trabalha com estimativas por tipo — indenização, gastos de indenização, honorários, salvados, gastos de salvamento, recobro, gastos de recobro, gastos de sinistro e gastos suplementares — e cada uma pode ter subconceitos. Na abertura da reserva ela devolve um código de estimativa e um número de subreclamação que a liquidação e a objeção exigem de volta. O BRS Cloud guarda reserva e indenização como valores únicos no sinistro e no item: reserva inicial, reserva final, valor indenizado, estimativa de prejuízo e estimativa de honorário. Não existe estimativa por tipo nem subreclamação. Esta é a maior diferença estrutural entre os dois sistemas.</w:t>
      </w:r>
    </w:p>
    <w:p>
      <w:pPr>
        <w:spacing w:after="60"/>
        <w:ind w:left="340"/>
        <w:jc w:val="both"/>
      </w:pPr>
      <w:r>
        <w:rPr>
          <w:rFonts w:ascii="Calibri" w:hAnsi="Calibri"/>
          <w:b/>
          <w:i/>
          <w:sz w:val="19"/>
        </w:rPr>
        <w:t xml:space="preserve">Risco: </w:t>
      </w:r>
      <w:r>
        <w:rPr>
          <w:rFonts w:ascii="Calibri" w:hAnsi="Calibri"/>
          <w:b w:val="0"/>
          <w:i/>
          <w:sz w:val="19"/>
        </w:rPr>
        <w:t>É o card de maior risco do projeto. Define a granularidade de tudo o que vem depois, e um erro aqui se propaga para reserva, liquidação e objeção. Exige decisão de negócio sobre quem informa a quebra de valores e em que tela.</w:t>
      </w:r>
    </w:p>
    <w:p>
      <w:pPr>
        <w:pStyle w:val="ListBullet"/>
        <w:spacing w:after="40"/>
        <w:ind w:left="624"/>
        <w:jc w:val="both"/>
      </w:pPr>
      <w:r>
        <w:rPr>
          <w:rFonts w:ascii="Calibri" w:hAnsi="Calibri"/>
          <w:sz w:val="19"/>
        </w:rPr>
        <w:t>Definir com a Crawford quem informa a quebra por tipo de estimativa e em que tela</w:t>
      </w:r>
    </w:p>
    <w:p>
      <w:pPr>
        <w:pStyle w:val="ListBullet"/>
        <w:spacing w:after="40"/>
        <w:ind w:left="624"/>
        <w:jc w:val="both"/>
      </w:pPr>
      <w:r>
        <w:rPr>
          <w:rFonts w:ascii="Calibri" w:hAnsi="Calibri"/>
          <w:sz w:val="19"/>
        </w:rPr>
        <w:t>Modelar estimativas e subconceitos por sinistro</w:t>
      </w:r>
    </w:p>
    <w:p>
      <w:pPr>
        <w:pStyle w:val="ListBullet"/>
        <w:spacing w:after="40"/>
        <w:ind w:left="624"/>
        <w:jc w:val="both"/>
      </w:pPr>
      <w:r>
        <w:rPr>
          <w:rFonts w:ascii="Calibri" w:hAnsi="Calibri"/>
          <w:sz w:val="19"/>
        </w:rPr>
        <w:t>Persistir código de estimativa e número de subreclamação devolvidos</w:t>
      </w:r>
    </w:p>
    <w:p>
      <w:pPr>
        <w:pStyle w:val="ListBullet"/>
        <w:spacing w:after="40"/>
        <w:ind w:left="624"/>
        <w:jc w:val="both"/>
      </w:pPr>
      <w:r>
        <w:rPr>
          <w:rFonts w:ascii="Calibri" w:hAnsi="Calibri"/>
          <w:sz w:val="19"/>
        </w:rPr>
        <w:t>Escrever os scripts de banco</w:t>
      </w:r>
    </w:p>
    <w:p>
      <w:pPr>
        <w:pStyle w:val="ListBullet"/>
        <w:spacing w:after="40"/>
        <w:ind w:left="624"/>
        <w:jc w:val="both"/>
      </w:pPr>
      <w:r>
        <w:rPr>
          <w:rFonts w:ascii="Calibri" w:hAnsi="Calibri"/>
          <w:sz w:val="19"/>
        </w:rPr>
        <w:t>Garantir que os valores atuais do sinistro seguem inalterados</w:t>
      </w:r>
    </w:p>
    <w:p>
      <w:pPr>
        <w:spacing w:before="0" w:after="80"/>
        <w:jc w:val="both"/>
      </w:pPr>
    </w:p>
    <w:p>
      <w:pPr>
        <w:spacing w:after="120"/>
        <w:jc w:val="both"/>
      </w:pPr>
      <w:r>
        <w:rPr>
          <w:rFonts w:ascii="Calibri" w:hAnsi="Calibri"/>
          <w:b/>
          <w:i w:val="0"/>
          <w:sz w:val="20"/>
        </w:rPr>
        <w:t xml:space="preserve">Criação do sinistro na Mundial — 14h. </w:t>
      </w:r>
      <w:r>
        <w:rPr>
          <w:rFonts w:ascii="Calibri" w:hAnsi="Calibri"/>
          <w:b w:val="0"/>
          <w:i w:val="0"/>
          <w:sz w:val="20"/>
        </w:rPr>
        <w:t>Enviar o sinistro à Mundial e guardar o identificador e o número devolvidos.</w:t>
      </w:r>
    </w:p>
    <w:p>
      <w:pPr>
        <w:spacing w:before="0" w:after="60"/>
        <w:ind w:left="340"/>
        <w:jc w:val="both"/>
      </w:pPr>
      <w:r>
        <w:rPr>
          <w:rFonts w:ascii="Calibri" w:hAnsi="Calibri"/>
          <w:b w:val="0"/>
          <w:i w:val="0"/>
          <w:sz w:val="20"/>
        </w:rPr>
        <w:t>A operação de criação exige quinze campos, entre eles data de aviso, data de ocorrência, sucursal, ramo, número de apólice, causa, exercício, quem reportou, detalhe, município e a lista de coberturas afetadas. A maior parte tem equivalente direto no sinistro do BRS Cloud — data de aviso, número de apólice, cobertura, filial e cidade já existem. O retorno traz o identificador do sinistro, o número e o exercício, que todas as operações seguintes exigem.</w:t>
      </w:r>
    </w:p>
    <w:p>
      <w:pPr>
        <w:spacing w:after="60"/>
        <w:ind w:left="340"/>
        <w:jc w:val="both"/>
      </w:pPr>
      <w:r>
        <w:rPr>
          <w:rFonts w:ascii="Calibri" w:hAnsi="Calibri"/>
          <w:b/>
          <w:i/>
          <w:sz w:val="19"/>
        </w:rPr>
        <w:t xml:space="preserve">Risco: </w:t>
      </w:r>
      <w:r>
        <w:rPr>
          <w:rFonts w:ascii="Calibri" w:hAnsi="Calibri"/>
          <w:b w:val="0"/>
          <w:i/>
          <w:sz w:val="19"/>
        </w:rPr>
        <w:t>O campo de identificação do risco e o de endereço de ocorrência aparecem como obrigatórios na tabela e vazios no exemplo do manual. Precisa de confirmação.</w:t>
      </w:r>
    </w:p>
    <w:p>
      <w:pPr>
        <w:pStyle w:val="ListBullet"/>
        <w:spacing w:after="40"/>
        <w:ind w:left="624"/>
        <w:jc w:val="both"/>
      </w:pPr>
      <w:r>
        <w:rPr>
          <w:rFonts w:ascii="Calibri" w:hAnsi="Calibri"/>
          <w:sz w:val="19"/>
        </w:rPr>
        <w:t>Mapear os campos da criação a partir do sinistro</w:t>
      </w:r>
    </w:p>
    <w:p>
      <w:pPr>
        <w:pStyle w:val="ListBullet"/>
        <w:spacing w:after="40"/>
        <w:ind w:left="624"/>
        <w:jc w:val="both"/>
      </w:pPr>
      <w:r>
        <w:rPr>
          <w:rFonts w:ascii="Calibri" w:hAnsi="Calibri"/>
          <w:sz w:val="19"/>
        </w:rPr>
        <w:t>Implementar o envio e o tratamento da resposta</w:t>
      </w:r>
    </w:p>
    <w:p>
      <w:pPr>
        <w:pStyle w:val="ListBullet"/>
        <w:spacing w:after="40"/>
        <w:ind w:left="624"/>
        <w:jc w:val="both"/>
      </w:pPr>
      <w:r>
        <w:rPr>
          <w:rFonts w:ascii="Calibri" w:hAnsi="Calibri"/>
          <w:sz w:val="19"/>
        </w:rPr>
        <w:t>Gravar identificador, número e exercício devolvidos</w:t>
      </w:r>
    </w:p>
    <w:p>
      <w:pPr>
        <w:pStyle w:val="ListBullet"/>
        <w:spacing w:after="40"/>
        <w:ind w:left="624"/>
        <w:jc w:val="both"/>
      </w:pPr>
      <w:r>
        <w:rPr>
          <w:rFonts w:ascii="Calibri" w:hAnsi="Calibri"/>
          <w:sz w:val="19"/>
        </w:rPr>
        <w:t>Tratar os erros de negócio previstos no manual</w:t>
      </w:r>
    </w:p>
    <w:p>
      <w:pPr>
        <w:pStyle w:val="ListBullet"/>
        <w:spacing w:after="40"/>
        <w:ind w:left="624"/>
        <w:jc w:val="both"/>
      </w:pPr>
      <w:r>
        <w:rPr>
          <w:rFonts w:ascii="Calibri" w:hAnsi="Calibri"/>
          <w:sz w:val="19"/>
        </w:rPr>
        <w:t>Cobrir o mapeamento com testes</w:t>
      </w:r>
    </w:p>
    <w:p>
      <w:pPr>
        <w:spacing w:before="0" w:after="80"/>
        <w:jc w:val="both"/>
      </w:pPr>
    </w:p>
    <w:p>
      <w:pPr>
        <w:spacing w:after="120"/>
        <w:jc w:val="both"/>
      </w:pPr>
      <w:r>
        <w:rPr>
          <w:rFonts w:ascii="Calibri" w:hAnsi="Calibri"/>
          <w:b/>
          <w:i w:val="0"/>
          <w:sz w:val="20"/>
        </w:rPr>
        <w:t xml:space="preserve">Gatilhos de envio e reenvio manual — 8h. </w:t>
      </w:r>
      <w:r>
        <w:rPr>
          <w:rFonts w:ascii="Calibri" w:hAnsi="Calibri"/>
          <w:b w:val="0"/>
          <w:i w:val="0"/>
          <w:sz w:val="20"/>
        </w:rPr>
        <w:t>Definir em que momento cada operação é disparada e permitir o reenvio quando algo falhar.</w:t>
      </w:r>
    </w:p>
    <w:p>
      <w:pPr>
        <w:spacing w:before="0" w:after="60"/>
        <w:ind w:left="340"/>
        <w:jc w:val="both"/>
      </w:pPr>
      <w:r>
        <w:rPr>
          <w:rFonts w:ascii="Calibri" w:hAnsi="Calibri"/>
          <w:b w:val="0"/>
          <w:i w:val="0"/>
          <w:sz w:val="20"/>
        </w:rPr>
        <w:t>A API não define quando cada operação deve ocorrer: isso é regra de negócio da Crawford. A criação pode ocorrer no registro do sinistro ou na mudança para uma situação específica; a reserva, quando o valor é fixado; a liquidação, quando o pagamento é aprovado. O sistema já tem situações e fases de sinistro, que são o ponto natural de gatilho.</w:t>
      </w:r>
    </w:p>
    <w:p>
      <w:pPr>
        <w:spacing w:after="60"/>
        <w:ind w:left="340"/>
        <w:jc w:val="both"/>
      </w:pPr>
      <w:r>
        <w:rPr>
          <w:rFonts w:ascii="Calibri" w:hAnsi="Calibri"/>
          <w:b/>
          <w:i/>
          <w:sz w:val="19"/>
        </w:rPr>
        <w:t xml:space="preserve">Risco: </w:t>
      </w:r>
      <w:r>
        <w:rPr>
          <w:rFonts w:ascii="Calibri" w:hAnsi="Calibri"/>
          <w:b w:val="0"/>
          <w:i/>
          <w:sz w:val="19"/>
        </w:rPr>
        <w:t>Depende de decisão da Crawford sobre o momento de cada operação. Sem ela, o card não pode ser fechado.</w:t>
      </w:r>
    </w:p>
    <w:p>
      <w:pPr>
        <w:pStyle w:val="ListBullet"/>
        <w:spacing w:after="40"/>
        <w:ind w:left="624"/>
        <w:jc w:val="both"/>
      </w:pPr>
      <w:r>
        <w:rPr>
          <w:rFonts w:ascii="Calibri" w:hAnsi="Calibri"/>
          <w:sz w:val="19"/>
        </w:rPr>
        <w:t>Levantar com a Crawford o gatilho de cada operação</w:t>
      </w:r>
    </w:p>
    <w:p>
      <w:pPr>
        <w:pStyle w:val="ListBullet"/>
        <w:spacing w:after="40"/>
        <w:ind w:left="624"/>
        <w:jc w:val="both"/>
      </w:pPr>
      <w:r>
        <w:rPr>
          <w:rFonts w:ascii="Calibri" w:hAnsi="Calibri"/>
          <w:sz w:val="19"/>
        </w:rPr>
        <w:t>Implementar o disparo a partir das situações de sinistro</w:t>
      </w:r>
    </w:p>
    <w:p>
      <w:pPr>
        <w:pStyle w:val="ListBullet"/>
        <w:spacing w:after="40"/>
        <w:ind w:left="624"/>
        <w:jc w:val="both"/>
      </w:pPr>
      <w:r>
        <w:rPr>
          <w:rFonts w:ascii="Calibri" w:hAnsi="Calibri"/>
          <w:sz w:val="19"/>
        </w:rPr>
        <w:t>Tornar o gatilho configurável</w:t>
      </w:r>
    </w:p>
    <w:p>
      <w:pPr>
        <w:pStyle w:val="ListBullet"/>
        <w:spacing w:after="40"/>
        <w:ind w:left="624"/>
        <w:jc w:val="both"/>
      </w:pPr>
      <w:r>
        <w:rPr>
          <w:rFonts w:ascii="Calibri" w:hAnsi="Calibri"/>
          <w:sz w:val="19"/>
        </w:rPr>
        <w:t>Implementar o reenvio manual respeitando a ordem das operações</w:t>
      </w:r>
    </w:p>
    <w:p>
      <w:pPr>
        <w:spacing w:before="0" w:after="80"/>
        <w:jc w:val="both"/>
      </w:pPr>
    </w:p>
    <w:p>
      <w:pPr>
        <w:spacing w:after="120"/>
        <w:jc w:val="both"/>
      </w:pPr>
      <w:r>
        <w:rPr>
          <w:rFonts w:ascii="Calibri" w:hAnsi="Calibri"/>
          <w:b/>
          <w:i w:val="0"/>
          <w:sz w:val="20"/>
        </w:rPr>
        <w:t xml:space="preserve">Abertura de reserva — 14h. </w:t>
      </w:r>
      <w:r>
        <w:rPr>
          <w:rFonts w:ascii="Calibri" w:hAnsi="Calibri"/>
          <w:b w:val="0"/>
          <w:i w:val="0"/>
          <w:sz w:val="20"/>
        </w:rPr>
        <w:t>Abrir a reserva financeira do sinistro na Mundial e guardar as estimativas devolvidas.</w:t>
      </w:r>
    </w:p>
    <w:p>
      <w:pPr>
        <w:spacing w:before="0" w:after="60"/>
        <w:ind w:left="340"/>
        <w:jc w:val="both"/>
      </w:pPr>
      <w:r>
        <w:rPr>
          <w:rFonts w:ascii="Calibri" w:hAnsi="Calibri"/>
          <w:b w:val="0"/>
          <w:i w:val="0"/>
          <w:sz w:val="20"/>
        </w:rPr>
        <w:t>A operação exige ramo, cobertura, bem sinistrado, data de formalização, tipo e número de documento do tomador, além dos valores de indenização, gastos de indenização e honorários, cada um com seus subconceitos. O retorno traz a lista de estimativas com código, número de subreclamação e valor, que a liquidação exige de volta.</w:t>
      </w:r>
    </w:p>
    <w:p>
      <w:pPr>
        <w:pStyle w:val="ListBullet"/>
        <w:spacing w:after="40"/>
        <w:ind w:left="624"/>
        <w:jc w:val="both"/>
      </w:pPr>
      <w:r>
        <w:rPr>
          <w:rFonts w:ascii="Calibri" w:hAnsi="Calibri"/>
          <w:sz w:val="19"/>
        </w:rPr>
        <w:t>Mapear os campos da abertura a partir do sinistro e das estimativas</w:t>
      </w:r>
    </w:p>
    <w:p>
      <w:pPr>
        <w:pStyle w:val="ListBullet"/>
        <w:spacing w:after="40"/>
        <w:ind w:left="624"/>
        <w:jc w:val="both"/>
      </w:pPr>
      <w:r>
        <w:rPr>
          <w:rFonts w:ascii="Calibri" w:hAnsi="Calibri"/>
          <w:sz w:val="19"/>
        </w:rPr>
        <w:t>Implementar o envio e o tratamento da resposta</w:t>
      </w:r>
    </w:p>
    <w:p>
      <w:pPr>
        <w:pStyle w:val="ListBullet"/>
        <w:spacing w:after="40"/>
        <w:ind w:left="624"/>
        <w:jc w:val="both"/>
      </w:pPr>
      <w:r>
        <w:rPr>
          <w:rFonts w:ascii="Calibri" w:hAnsi="Calibri"/>
          <w:sz w:val="19"/>
        </w:rPr>
        <w:t>Gravar as estimativas devolvidas com código e número de subreclamação</w:t>
      </w:r>
    </w:p>
    <w:p>
      <w:pPr>
        <w:pStyle w:val="ListBullet"/>
        <w:spacing w:after="40"/>
        <w:ind w:left="624"/>
        <w:jc w:val="both"/>
      </w:pPr>
      <w:r>
        <w:rPr>
          <w:rFonts w:ascii="Calibri" w:hAnsi="Calibri"/>
          <w:sz w:val="19"/>
        </w:rPr>
        <w:t>Impedir a abertura sem sinistro criado</w:t>
      </w:r>
    </w:p>
    <w:p>
      <w:pPr>
        <w:pStyle w:val="ListBullet"/>
        <w:spacing w:after="40"/>
        <w:ind w:left="624"/>
        <w:jc w:val="both"/>
      </w:pPr>
      <w:r>
        <w:rPr>
          <w:rFonts w:ascii="Calibri" w:hAnsi="Calibri"/>
          <w:sz w:val="19"/>
        </w:rPr>
        <w:t>Cobrir o mapeamento com testes</w:t>
      </w:r>
    </w:p>
    <w:p>
      <w:pPr>
        <w:spacing w:before="0" w:after="80"/>
        <w:jc w:val="both"/>
      </w:pPr>
    </w:p>
    <w:p>
      <w:pPr>
        <w:spacing w:after="120"/>
        <w:jc w:val="both"/>
      </w:pPr>
      <w:r>
        <w:rPr>
          <w:rFonts w:ascii="Calibri" w:hAnsi="Calibri"/>
          <w:b/>
          <w:i w:val="0"/>
          <w:sz w:val="20"/>
        </w:rPr>
        <w:t xml:space="preserve">Modificação de reserva — 10h. </w:t>
      </w:r>
      <w:r>
        <w:rPr>
          <w:rFonts w:ascii="Calibri" w:hAnsi="Calibri"/>
          <w:b w:val="0"/>
          <w:i w:val="0"/>
          <w:sz w:val="20"/>
        </w:rPr>
        <w:t>Enviar à Mundial toda alteração de valor da reserva do sinistro.</w:t>
      </w:r>
    </w:p>
    <w:p>
      <w:pPr>
        <w:spacing w:before="0" w:after="60"/>
        <w:ind w:left="340"/>
        <w:jc w:val="both"/>
      </w:pPr>
      <w:r>
        <w:rPr>
          <w:rFonts w:ascii="Calibri" w:hAnsi="Calibri"/>
          <w:b w:val="0"/>
          <w:i w:val="0"/>
          <w:sz w:val="20"/>
        </w:rPr>
        <w:t>A operação repete o corpo da abertura e acrescenta a causa da modificação. O BRS Cloud já registra alteração de valores de sinistro em evento próprio, o que dá o gancho natural para disparar esta operação.</w:t>
      </w:r>
    </w:p>
    <w:p>
      <w:pPr>
        <w:pStyle w:val="ListBullet"/>
        <w:spacing w:after="40"/>
        <w:ind w:left="624"/>
        <w:jc w:val="both"/>
      </w:pPr>
      <w:r>
        <w:rPr>
          <w:rFonts w:ascii="Calibri" w:hAnsi="Calibri"/>
          <w:sz w:val="19"/>
        </w:rPr>
        <w:t>Identificar o evento de alteração de valores que dispara a operação</w:t>
      </w:r>
    </w:p>
    <w:p>
      <w:pPr>
        <w:pStyle w:val="ListBullet"/>
        <w:spacing w:after="40"/>
        <w:ind w:left="624"/>
        <w:jc w:val="both"/>
      </w:pPr>
      <w:r>
        <w:rPr>
          <w:rFonts w:ascii="Calibri" w:hAnsi="Calibri"/>
          <w:sz w:val="19"/>
        </w:rPr>
        <w:t>Mapear a causa de modificação pela correspondência</w:t>
      </w:r>
    </w:p>
    <w:p>
      <w:pPr>
        <w:pStyle w:val="ListBullet"/>
        <w:spacing w:after="40"/>
        <w:ind w:left="624"/>
        <w:jc w:val="both"/>
      </w:pPr>
      <w:r>
        <w:rPr>
          <w:rFonts w:ascii="Calibri" w:hAnsi="Calibri"/>
          <w:sz w:val="19"/>
        </w:rPr>
        <w:t>Implementar o envio e atualizar as estimativas gravadas</w:t>
      </w:r>
    </w:p>
    <w:p>
      <w:pPr>
        <w:pStyle w:val="ListBullet"/>
        <w:spacing w:after="40"/>
        <w:ind w:left="624"/>
        <w:jc w:val="both"/>
      </w:pPr>
      <w:r>
        <w:rPr>
          <w:rFonts w:ascii="Calibri" w:hAnsi="Calibri"/>
          <w:sz w:val="19"/>
        </w:rPr>
        <w:t>Impedir o envio sem reserva aberta</w:t>
      </w:r>
    </w:p>
    <w:p>
      <w:pPr>
        <w:spacing w:before="0" w:after="80"/>
        <w:jc w:val="both"/>
      </w:pPr>
    </w:p>
    <w:p>
      <w:pPr>
        <w:spacing w:after="120"/>
        <w:jc w:val="both"/>
      </w:pPr>
      <w:r>
        <w:rPr>
          <w:rFonts w:ascii="Calibri" w:hAnsi="Calibri"/>
          <w:b/>
          <w:i w:val="0"/>
          <w:sz w:val="20"/>
        </w:rPr>
        <w:t xml:space="preserve">Liquidação do sinistro — 16h. </w:t>
      </w:r>
      <w:r>
        <w:rPr>
          <w:rFonts w:ascii="Calibri" w:hAnsi="Calibri"/>
          <w:b w:val="0"/>
          <w:i w:val="0"/>
          <w:sz w:val="20"/>
        </w:rPr>
        <w:t>Gerar na Mundial a ordem de pagamento correspondente à indenização aprovada.</w:t>
      </w:r>
    </w:p>
    <w:p>
      <w:pPr>
        <w:spacing w:before="0" w:after="60"/>
        <w:ind w:left="340"/>
        <w:jc w:val="both"/>
      </w:pPr>
      <w:r>
        <w:rPr>
          <w:rFonts w:ascii="Calibri" w:hAnsi="Calibri"/>
          <w:b w:val="0"/>
          <w:i w:val="0"/>
          <w:sz w:val="20"/>
        </w:rPr>
        <w:t>A operação exige sucursal de pagamento, data estimada do pagamento, tipo e número de documento do tomador e do terceiro a pagar, a lista de estimativas com valor reclamado e valor aprovado, e a moeda. O valor aprovado não pode superar o reclamado. O retorno traz número da ordem de pagamento, número da solicitação e número da autorização técnica. É a operação mais sensível do projeto: ela gera pagamento no sistema da seguradora.</w:t>
      </w:r>
    </w:p>
    <w:p>
      <w:pPr>
        <w:spacing w:after="60"/>
        <w:ind w:left="340"/>
        <w:jc w:val="both"/>
      </w:pPr>
      <w:r>
        <w:rPr>
          <w:rFonts w:ascii="Calibri" w:hAnsi="Calibri"/>
          <w:b/>
          <w:i/>
          <w:sz w:val="19"/>
        </w:rPr>
        <w:t xml:space="preserve">Risco: </w:t>
      </w:r>
      <w:r>
        <w:rPr>
          <w:rFonts w:ascii="Calibri" w:hAnsi="Calibri"/>
          <w:b w:val="0"/>
          <w:i/>
          <w:sz w:val="19"/>
        </w:rPr>
        <w:t>Gera efeito financeiro no sistema da seguradora. Um envio indevido ou duplicado tem consequência real, e por isso a idempotência e o registro de quem autorizou são obrigatórios.</w:t>
      </w:r>
    </w:p>
    <w:p>
      <w:pPr>
        <w:pStyle w:val="ListBullet"/>
        <w:spacing w:after="40"/>
        <w:ind w:left="624"/>
        <w:jc w:val="both"/>
      </w:pPr>
      <w:r>
        <w:rPr>
          <w:rFonts w:ascii="Calibri" w:hAnsi="Calibri"/>
          <w:sz w:val="19"/>
        </w:rPr>
        <w:t>Definir com a Crawford quem autoriza a liquidação no BRS Cloud</w:t>
      </w:r>
    </w:p>
    <w:p>
      <w:pPr>
        <w:pStyle w:val="ListBullet"/>
        <w:spacing w:after="40"/>
        <w:ind w:left="624"/>
        <w:jc w:val="both"/>
      </w:pPr>
      <w:r>
        <w:rPr>
          <w:rFonts w:ascii="Calibri" w:hAnsi="Calibri"/>
          <w:sz w:val="19"/>
        </w:rPr>
        <w:t>Mapear os campos da liquidação, inclusive o terceiro a pagar</w:t>
      </w:r>
    </w:p>
    <w:p>
      <w:pPr>
        <w:pStyle w:val="ListBullet"/>
        <w:spacing w:after="40"/>
        <w:ind w:left="624"/>
        <w:jc w:val="both"/>
      </w:pPr>
      <w:r>
        <w:rPr>
          <w:rFonts w:ascii="Calibri" w:hAnsi="Calibri"/>
          <w:sz w:val="19"/>
        </w:rPr>
        <w:t>Validar valor aprovado contra valor reclamado antes do envio</w:t>
      </w:r>
    </w:p>
    <w:p>
      <w:pPr>
        <w:pStyle w:val="ListBullet"/>
        <w:spacing w:after="40"/>
        <w:ind w:left="624"/>
        <w:jc w:val="both"/>
      </w:pPr>
      <w:r>
        <w:rPr>
          <w:rFonts w:ascii="Calibri" w:hAnsi="Calibri"/>
          <w:sz w:val="19"/>
        </w:rPr>
        <w:t>Implementar a confirmação explícita e o registro do autorizador</w:t>
      </w:r>
    </w:p>
    <w:p>
      <w:pPr>
        <w:pStyle w:val="ListBullet"/>
        <w:spacing w:after="40"/>
        <w:ind w:left="624"/>
        <w:jc w:val="both"/>
      </w:pPr>
      <w:r>
        <w:rPr>
          <w:rFonts w:ascii="Calibri" w:hAnsi="Calibri"/>
          <w:sz w:val="19"/>
        </w:rPr>
        <w:t>Gravar os números devolvidos</w:t>
      </w:r>
    </w:p>
    <w:p>
      <w:pPr>
        <w:pStyle w:val="ListBullet"/>
        <w:spacing w:after="40"/>
        <w:ind w:left="624"/>
        <w:jc w:val="both"/>
      </w:pPr>
      <w:r>
        <w:rPr>
          <w:rFonts w:ascii="Calibri" w:hAnsi="Calibri"/>
          <w:sz w:val="19"/>
        </w:rPr>
        <w:t>Impedir reenvio automático</w:t>
      </w:r>
    </w:p>
    <w:p>
      <w:pPr>
        <w:spacing w:before="0" w:after="80"/>
        <w:jc w:val="both"/>
      </w:pPr>
    </w:p>
    <w:p>
      <w:pPr>
        <w:spacing w:after="120"/>
        <w:jc w:val="both"/>
      </w:pPr>
      <w:r>
        <w:rPr>
          <w:rFonts w:ascii="Calibri" w:hAnsi="Calibri"/>
          <w:b/>
          <w:i w:val="0"/>
          <w:sz w:val="20"/>
        </w:rPr>
        <w:t xml:space="preserve">Objeção do sinistro — 8h. </w:t>
      </w:r>
      <w:r>
        <w:rPr>
          <w:rFonts w:ascii="Calibri" w:hAnsi="Calibri"/>
          <w:b w:val="0"/>
          <w:i w:val="0"/>
          <w:sz w:val="20"/>
        </w:rPr>
        <w:t>Registrar na Mundial a objeção de uma estimativa do sinistro.</w:t>
      </w:r>
    </w:p>
    <w:p>
      <w:pPr>
        <w:spacing w:before="0" w:after="60"/>
        <w:ind w:left="340"/>
        <w:jc w:val="both"/>
      </w:pPr>
      <w:r>
        <w:rPr>
          <w:rFonts w:ascii="Calibri" w:hAnsi="Calibri"/>
          <w:b w:val="0"/>
          <w:i w:val="0"/>
          <w:sz w:val="20"/>
        </w:rPr>
        <w:t>A operação exige ramo, código de estimativa, número de subreclamação e motivo da objeção. É a única que o manual publica na versão 1 do caminho, enquanto as demais estão na versão 2, o que precisa ser confirmado com o fornecedor.</w:t>
      </w:r>
    </w:p>
    <w:p>
      <w:pPr>
        <w:spacing w:after="60"/>
        <w:ind w:left="340"/>
        <w:jc w:val="both"/>
      </w:pPr>
      <w:r>
        <w:rPr>
          <w:rFonts w:ascii="Calibri" w:hAnsi="Calibri"/>
          <w:b/>
          <w:i/>
          <w:sz w:val="19"/>
        </w:rPr>
        <w:t xml:space="preserve">Risco: </w:t>
      </w:r>
      <w:r>
        <w:rPr>
          <w:rFonts w:ascii="Calibri" w:hAnsi="Calibri"/>
          <w:b w:val="0"/>
          <w:i/>
          <w:sz w:val="19"/>
        </w:rPr>
        <w:t>O caminho da objeção está na versão 1 e o restante na versão 2. Além disso, o campo de cobertura aparece na tabela de campos e não aparece no exemplo. Ambos precisam de confirmação.</w:t>
      </w:r>
    </w:p>
    <w:p>
      <w:pPr>
        <w:pStyle w:val="ListBullet"/>
        <w:spacing w:after="40"/>
        <w:ind w:left="624"/>
        <w:jc w:val="both"/>
      </w:pPr>
      <w:r>
        <w:rPr>
          <w:rFonts w:ascii="Calibri" w:hAnsi="Calibri"/>
          <w:sz w:val="19"/>
        </w:rPr>
        <w:t>Confirmar com a Mundial a versão do caminho e a obrigatoriedade do campo de cobertura</w:t>
      </w:r>
    </w:p>
    <w:p>
      <w:pPr>
        <w:pStyle w:val="ListBullet"/>
        <w:spacing w:after="40"/>
        <w:ind w:left="624"/>
        <w:jc w:val="both"/>
      </w:pPr>
      <w:r>
        <w:rPr>
          <w:rFonts w:ascii="Calibri" w:hAnsi="Calibri"/>
          <w:sz w:val="19"/>
        </w:rPr>
        <w:t>Mapear os campos da objeção</w:t>
      </w:r>
    </w:p>
    <w:p>
      <w:pPr>
        <w:pStyle w:val="ListBullet"/>
        <w:spacing w:after="40"/>
        <w:ind w:left="624"/>
        <w:jc w:val="both"/>
      </w:pPr>
      <w:r>
        <w:rPr>
          <w:rFonts w:ascii="Calibri" w:hAnsi="Calibri"/>
          <w:sz w:val="19"/>
        </w:rPr>
        <w:t>Implementar o envio e o tratamento da resposta</w:t>
      </w:r>
    </w:p>
    <w:p>
      <w:pPr>
        <w:pStyle w:val="ListBullet"/>
        <w:spacing w:after="40"/>
        <w:ind w:left="624"/>
        <w:jc w:val="both"/>
      </w:pPr>
      <w:r>
        <w:rPr>
          <w:rFonts w:ascii="Calibri" w:hAnsi="Calibri"/>
          <w:sz w:val="19"/>
        </w:rPr>
        <w:t>Gravar o retorno</w:t>
      </w:r>
    </w:p>
    <w:p>
      <w:pPr>
        <w:spacing w:before="0" w:after="80"/>
        <w:jc w:val="both"/>
      </w:pPr>
    </w:p>
    <w:p>
      <w:pPr>
        <w:spacing w:after="120"/>
        <w:jc w:val="both"/>
      </w:pPr>
      <w:r>
        <w:rPr>
          <w:rFonts w:ascii="Calibri" w:hAnsi="Calibri"/>
          <w:b/>
          <w:i w:val="0"/>
          <w:sz w:val="20"/>
        </w:rPr>
        <w:t xml:space="preserve">Mapeamento dos valores do sinistro — 6h. </w:t>
      </w:r>
      <w:r>
        <w:rPr>
          <w:rFonts w:ascii="Calibri" w:hAnsi="Calibri"/>
          <w:b w:val="0"/>
          <w:i w:val="0"/>
          <w:sz w:val="20"/>
        </w:rPr>
        <w:t>Definir de onde sai cada valor enviado à Mundial e deixar a regra registrada.</w:t>
      </w:r>
    </w:p>
    <w:p>
      <w:pPr>
        <w:spacing w:before="0" w:after="60"/>
        <w:ind w:left="340"/>
        <w:jc w:val="both"/>
      </w:pPr>
      <w:r>
        <w:rPr>
          <w:rFonts w:ascii="Calibri" w:hAnsi="Calibri"/>
          <w:b w:val="0"/>
          <w:i w:val="0"/>
          <w:sz w:val="20"/>
        </w:rPr>
        <w:t>O BRS Cloud tem vários valores no sinistro — reserva inicial, reserva final, valor apurado, valor reclamado, valor indenizado, estimativa de prejuízo, estimativa de honorário, franquia — e a Mundial espera três grupos: indenização, gastos de indenização e honorários. A correspondência não é óbvia e precisa ser acordada, não deduzida.</w:t>
      </w:r>
    </w:p>
    <w:p>
      <w:pPr>
        <w:pStyle w:val="ListBullet"/>
        <w:spacing w:after="40"/>
        <w:ind w:left="624"/>
        <w:jc w:val="both"/>
      </w:pPr>
      <w:r>
        <w:rPr>
          <w:rFonts w:ascii="Calibri" w:hAnsi="Calibri"/>
          <w:sz w:val="19"/>
        </w:rPr>
        <w:t>Levantar com a Crawford a origem de cada valor</w:t>
      </w:r>
    </w:p>
    <w:p>
      <w:pPr>
        <w:pStyle w:val="ListBullet"/>
        <w:spacing w:after="40"/>
        <w:ind w:left="624"/>
        <w:jc w:val="both"/>
      </w:pPr>
      <w:r>
        <w:rPr>
          <w:rFonts w:ascii="Calibri" w:hAnsi="Calibri"/>
          <w:sz w:val="19"/>
        </w:rPr>
        <w:t>Registrar a correspondência em documento</w:t>
      </w:r>
    </w:p>
    <w:p>
      <w:pPr>
        <w:pStyle w:val="ListBullet"/>
        <w:spacing w:after="40"/>
        <w:ind w:left="624"/>
        <w:jc w:val="both"/>
      </w:pPr>
      <w:r>
        <w:rPr>
          <w:rFonts w:ascii="Calibri" w:hAnsi="Calibri"/>
          <w:sz w:val="19"/>
        </w:rPr>
        <w:t>Implementar a regra em ponto único</w:t>
      </w:r>
    </w:p>
    <w:p>
      <w:pPr>
        <w:pStyle w:val="ListBullet"/>
        <w:spacing w:after="40"/>
        <w:ind w:left="624"/>
        <w:jc w:val="both"/>
      </w:pPr>
      <w:r>
        <w:rPr>
          <w:rFonts w:ascii="Calibri" w:hAnsi="Calibri"/>
          <w:sz w:val="19"/>
        </w:rPr>
        <w:t>Tratar arredondamento e moeda</w:t>
      </w:r>
    </w:p>
    <w:p>
      <w:pPr>
        <w:spacing w:before="0" w:after="80"/>
        <w:jc w:val="both"/>
      </w:pPr>
    </w:p>
    <w:p>
      <w:pPr>
        <w:spacing w:before="280" w:after="80"/>
        <w:jc w:val="left"/>
      </w:pPr>
      <w:r>
        <w:rPr>
          <w:rFonts w:ascii="Calibri" w:hAnsi="Calibri"/>
          <w:b/>
          <w:i w:val="0"/>
          <w:color w:val="1F3864"/>
          <w:sz w:val="30"/>
        </w:rPr>
        <w:t>Card 04 — Operação e visibilidade</w:t>
      </w:r>
    </w:p>
    <w:p>
      <w:pPr>
        <w:spacing w:after="120"/>
        <w:jc w:val="both"/>
      </w:pPr>
      <w:r>
        <w:rPr>
          <w:rFonts w:ascii="Calibri" w:hAnsi="Calibri"/>
          <w:b/>
          <w:i w:val="0"/>
          <w:sz w:val="19"/>
        </w:rPr>
        <w:t>24h</w:t>
      </w:r>
      <w:r>
        <w:rPr>
          <w:rFonts w:ascii="Calibri" w:hAnsi="Calibri"/>
          <w:b w:val="0"/>
          <w:i w:val="0"/>
          <w:sz w:val="19"/>
        </w:rPr>
        <w:t xml:space="preserve"> · 3 itens · etiqueta api-mundial</w:t>
      </w:r>
    </w:p>
    <w:p>
      <w:pPr>
        <w:spacing w:before="0" w:after="40"/>
        <w:jc w:val="left"/>
      </w:pPr>
      <w:r>
        <w:rPr>
          <w:rFonts w:ascii="Calibri" w:hAnsi="Calibri"/>
          <w:b/>
          <w:i w:val="0"/>
          <w:sz w:val="21"/>
        </w:rPr>
        <w:t>Objetivo</w:t>
      </w:r>
    </w:p>
    <w:p>
      <w:pPr>
        <w:spacing w:before="0" w:after="120"/>
        <w:jc w:val="both"/>
      </w:pPr>
      <w:r>
        <w:rPr>
          <w:rFonts w:ascii="Calibri" w:hAnsi="Calibri"/>
          <w:b w:val="0"/>
          <w:i w:val="0"/>
          <w:sz w:val="21"/>
        </w:rPr>
        <w:t>Dar à operação visibilidade do que foi enviado e autonomia para reenviar o que falhou.</w:t>
      </w:r>
    </w:p>
    <w:p>
      <w:pPr>
        <w:spacing w:before="0" w:after="40"/>
        <w:jc w:val="left"/>
      </w:pPr>
      <w:r>
        <w:rPr>
          <w:rFonts w:ascii="Calibri" w:hAnsi="Calibri"/>
          <w:b/>
          <w:i w:val="0"/>
          <w:sz w:val="21"/>
        </w:rPr>
        <w:t>Contexto</w:t>
      </w:r>
    </w:p>
    <w:p>
      <w:pPr>
        <w:spacing w:before="0" w:after="120"/>
        <w:jc w:val="both"/>
      </w:pPr>
      <w:r>
        <w:rPr>
          <w:rFonts w:ascii="Calibri" w:hAnsi="Calibri"/>
          <w:b w:val="0"/>
          <w:i w:val="0"/>
          <w:sz w:val="21"/>
        </w:rPr>
        <w:t>Sem essas telas, qualquer problema de integração só aparece no log do servidor, o que transfere para a equipe técnica um trabalho que é de operação. A infraestrutura de envio de e-mail já existe e cobre a entrega do aviso de falha.</w:t>
      </w:r>
    </w:p>
    <w:p>
      <w:pPr>
        <w:spacing w:before="0" w:after="40"/>
        <w:jc w:val="left"/>
      </w:pPr>
      <w:r>
        <w:rPr>
          <w:rFonts w:ascii="Calibri" w:hAnsi="Calibri"/>
          <w:b/>
          <w:i w:val="0"/>
          <w:sz w:val="21"/>
        </w:rPr>
        <w:t>Critérios de sucesso</w:t>
      </w:r>
    </w:p>
    <w:p>
      <w:pPr>
        <w:pStyle w:val="ListBullet"/>
        <w:spacing w:after="40"/>
        <w:jc w:val="both"/>
      </w:pPr>
      <w:r>
        <w:rPr>
          <w:rFonts w:ascii="Calibri" w:hAnsi="Calibri"/>
          <w:sz w:val="21"/>
        </w:rPr>
        <w:t>O painel lista as operações por sinistro, com data, estado e retorno</w:t>
      </w:r>
    </w:p>
    <w:p>
      <w:pPr>
        <w:pStyle w:val="ListBullet"/>
        <w:spacing w:after="40"/>
        <w:jc w:val="both"/>
      </w:pPr>
      <w:r>
        <w:rPr>
          <w:rFonts w:ascii="Calibri" w:hAnsi="Calibri"/>
          <w:sz w:val="21"/>
        </w:rPr>
        <w:t>Falhas aparecem com código e descrição, e podem ser reenviadas pela própria tela</w:t>
      </w:r>
    </w:p>
    <w:p>
      <w:pPr>
        <w:pStyle w:val="ListBullet"/>
        <w:spacing w:after="40"/>
        <w:jc w:val="both"/>
      </w:pPr>
      <w:r>
        <w:rPr>
          <w:rFonts w:ascii="Calibri" w:hAnsi="Calibri"/>
          <w:sz w:val="21"/>
        </w:rPr>
        <w:t>Falha definitiva gera aviso aos destinatários configurados</w:t>
      </w:r>
    </w:p>
    <w:p>
      <w:pPr>
        <w:pStyle w:val="ListBullet"/>
        <w:spacing w:after="40"/>
        <w:jc w:val="both"/>
      </w:pPr>
      <w:r>
        <w:rPr>
          <w:rFonts w:ascii="Calibri" w:hAnsi="Calibri"/>
          <w:sz w:val="21"/>
        </w:rPr>
        <w:t>O detalhe do sinistro mostra o número na Mundial e o estado das operações</w:t>
      </w:r>
    </w:p>
    <w:p>
      <w:pPr>
        <w:pStyle w:val="ListBullet"/>
        <w:spacing w:after="40"/>
        <w:jc w:val="both"/>
      </w:pPr>
      <w:r>
        <w:rPr>
          <w:rFonts w:ascii="Calibri" w:hAnsi="Calibri"/>
          <w:sz w:val="21"/>
        </w:rPr>
        <w:t>As telas respeitam a permissão de acesso e as traduções já existentes</w:t>
      </w:r>
    </w:p>
    <w:p>
      <w:pPr>
        <w:spacing w:before="120" w:after="40"/>
        <w:jc w:val="left"/>
      </w:pPr>
      <w:r>
        <w:rPr>
          <w:rFonts w:ascii="Calibri" w:hAnsi="Calibri"/>
          <w:b/>
          <w:i w:val="0"/>
          <w:sz w:val="21"/>
        </w:rPr>
        <w:t>Outras informações</w:t>
      </w:r>
    </w:p>
    <w:p>
      <w:pPr>
        <w:spacing w:before="0" w:after="120"/>
        <w:jc w:val="both"/>
      </w:pPr>
      <w:r>
        <w:rPr>
          <w:rFonts w:ascii="Calibri" w:hAnsi="Calibri"/>
          <w:b w:val="0"/>
          <w:i w:val="0"/>
          <w:sz w:val="21"/>
        </w:rPr>
        <w:t>Depende dos cards 01 e 03. Envolve backend e portal.</w:t>
      </w:r>
    </w:p>
    <w:p>
      <w:pPr>
        <w:spacing w:before="120" w:after="40"/>
        <w:jc w:val="left"/>
      </w:pPr>
      <w:r>
        <w:rPr>
          <w:rFonts w:ascii="Calibri" w:hAnsi="Calibri"/>
          <w:b/>
          <w:i w:val="0"/>
          <w:sz w:val="21"/>
        </w:rPr>
        <w:t>Smart Checklist</w:t>
      </w:r>
    </w:p>
    <w:p>
      <w:pPr>
        <w:spacing w:before="0" w:after="20"/>
        <w:ind w:left="340"/>
        <w:jc w:val="left"/>
      </w:pPr>
      <w:r>
        <w:rPr>
          <w:rFonts w:ascii="Calibri" w:hAnsi="Calibri"/>
          <w:b w:val="0"/>
          <w:i w:val="0"/>
          <w:sz w:val="20"/>
        </w:rPr>
        <w:t>Painel de integração (14h)</w:t>
      </w:r>
    </w:p>
    <w:p>
      <w:pPr>
        <w:spacing w:before="0" w:after="20"/>
        <w:ind w:left="340"/>
        <w:jc w:val="left"/>
      </w:pPr>
      <w:r>
        <w:rPr>
          <w:rFonts w:ascii="Calibri" w:hAnsi="Calibri"/>
          <w:b w:val="0"/>
          <w:i w:val="0"/>
          <w:sz w:val="20"/>
        </w:rPr>
        <w:t>Alerta de falha de integração (4h)</w:t>
      </w:r>
    </w:p>
    <w:p>
      <w:pPr>
        <w:spacing w:before="0" w:after="20"/>
        <w:ind w:left="340"/>
        <w:jc w:val="left"/>
      </w:pPr>
      <w:r>
        <w:rPr>
          <w:rFonts w:ascii="Calibri" w:hAnsi="Calibri"/>
          <w:b w:val="0"/>
          <w:i w:val="0"/>
          <w:sz w:val="20"/>
        </w:rPr>
        <w:t>Consulta de rastreabilidade por sinistro (6h)</w:t>
      </w:r>
    </w:p>
    <w:p>
      <w:pPr>
        <w:spacing w:before="160" w:after="60"/>
        <w:jc w:val="left"/>
      </w:pPr>
      <w:r>
        <w:rPr>
          <w:rFonts w:ascii="Calibri" w:hAnsi="Calibri"/>
          <w:b/>
          <w:i w:val="0"/>
          <w:sz w:val="21"/>
        </w:rPr>
        <w:t>Detalhamento dos itens</w:t>
      </w:r>
    </w:p>
    <w:p>
      <w:pPr>
        <w:spacing w:after="120"/>
        <w:jc w:val="both"/>
      </w:pPr>
      <w:r>
        <w:rPr>
          <w:rFonts w:ascii="Calibri" w:hAnsi="Calibri"/>
          <w:b/>
          <w:i w:val="0"/>
          <w:sz w:val="20"/>
        </w:rPr>
        <w:t xml:space="preserve">Painel de integração — 14h. </w:t>
      </w:r>
      <w:r>
        <w:rPr>
          <w:rFonts w:ascii="Calibri" w:hAnsi="Calibri"/>
          <w:b w:val="0"/>
          <w:i w:val="0"/>
          <w:sz w:val="20"/>
        </w:rPr>
        <w:t>Dar à operação uma tela onde ver o que foi enviado, o que falhou e reenviar.</w:t>
      </w:r>
    </w:p>
    <w:p>
      <w:pPr>
        <w:spacing w:before="0" w:after="60"/>
        <w:ind w:left="340"/>
        <w:jc w:val="both"/>
      </w:pPr>
      <w:r>
        <w:rPr>
          <w:rFonts w:ascii="Calibri" w:hAnsi="Calibri"/>
          <w:b w:val="0"/>
          <w:i w:val="0"/>
          <w:sz w:val="20"/>
        </w:rPr>
        <w:t>Sem essa tela, qualquer problema de integração só aparece no log do servidor, o que transfere para a equipe técnica um trabalho que é de operação.</w:t>
      </w:r>
    </w:p>
    <w:p>
      <w:pPr>
        <w:pStyle w:val="ListBullet"/>
        <w:spacing w:after="40"/>
        <w:ind w:left="624"/>
        <w:jc w:val="both"/>
      </w:pPr>
      <w:r>
        <w:rPr>
          <w:rFonts w:ascii="Calibri" w:hAnsi="Calibri"/>
          <w:sz w:val="19"/>
        </w:rPr>
        <w:t>Criar os endpoints de consulta do registro de integração</w:t>
      </w:r>
    </w:p>
    <w:p>
      <w:pPr>
        <w:pStyle w:val="ListBullet"/>
        <w:spacing w:after="40"/>
        <w:ind w:left="624"/>
        <w:jc w:val="both"/>
      </w:pPr>
      <w:r>
        <w:rPr>
          <w:rFonts w:ascii="Calibri" w:hAnsi="Calibri"/>
          <w:sz w:val="19"/>
        </w:rPr>
        <w:t>Criar a tela com listagem, filtro e detalhe</w:t>
      </w:r>
    </w:p>
    <w:p>
      <w:pPr>
        <w:pStyle w:val="ListBullet"/>
        <w:spacing w:after="40"/>
        <w:ind w:left="624"/>
        <w:jc w:val="both"/>
      </w:pPr>
      <w:r>
        <w:rPr>
          <w:rFonts w:ascii="Calibri" w:hAnsi="Calibri"/>
          <w:sz w:val="19"/>
        </w:rPr>
        <w:t>Exibir o conteúdo enviado e o recebido</w:t>
      </w:r>
    </w:p>
    <w:p>
      <w:pPr>
        <w:pStyle w:val="ListBullet"/>
        <w:spacing w:after="40"/>
        <w:ind w:left="624"/>
        <w:jc w:val="both"/>
      </w:pPr>
      <w:r>
        <w:rPr>
          <w:rFonts w:ascii="Calibri" w:hAnsi="Calibri"/>
          <w:sz w:val="19"/>
        </w:rPr>
        <w:t>Implementar a ação de reenvio</w:t>
      </w:r>
    </w:p>
    <w:p>
      <w:pPr>
        <w:pStyle w:val="ListBullet"/>
        <w:spacing w:after="40"/>
        <w:ind w:left="624"/>
        <w:jc w:val="both"/>
      </w:pPr>
      <w:r>
        <w:rPr>
          <w:rFonts w:ascii="Calibri" w:hAnsi="Calibri"/>
          <w:sz w:val="19"/>
        </w:rPr>
        <w:t>Incluir traduções e permissão de acesso</w:t>
      </w:r>
    </w:p>
    <w:p>
      <w:pPr>
        <w:spacing w:before="0" w:after="80"/>
        <w:jc w:val="both"/>
      </w:pPr>
    </w:p>
    <w:p>
      <w:pPr>
        <w:spacing w:after="120"/>
        <w:jc w:val="both"/>
      </w:pPr>
      <w:r>
        <w:rPr>
          <w:rFonts w:ascii="Calibri" w:hAnsi="Calibri"/>
          <w:b/>
          <w:i w:val="0"/>
          <w:sz w:val="20"/>
        </w:rPr>
        <w:t xml:space="preserve">Alerta de falha de integração — 4h. </w:t>
      </w:r>
      <w:r>
        <w:rPr>
          <w:rFonts w:ascii="Calibri" w:hAnsi="Calibri"/>
          <w:b w:val="0"/>
          <w:i w:val="0"/>
          <w:sz w:val="20"/>
        </w:rPr>
        <w:t>Avisar a equipe quando uma operação falhar em definitivo.</w:t>
      </w:r>
    </w:p>
    <w:p>
      <w:pPr>
        <w:spacing w:before="0" w:after="60"/>
        <w:ind w:left="340"/>
        <w:jc w:val="both"/>
      </w:pPr>
      <w:r>
        <w:rPr>
          <w:rFonts w:ascii="Calibri" w:hAnsi="Calibri"/>
          <w:b w:val="0"/>
          <w:i w:val="0"/>
          <w:sz w:val="20"/>
        </w:rPr>
        <w:t>O sistema já tem infraestrutura de envio de e-mail em uso, o que cobre a entrega do aviso.</w:t>
      </w:r>
    </w:p>
    <w:p>
      <w:pPr>
        <w:pStyle w:val="ListBullet"/>
        <w:spacing w:after="40"/>
        <w:ind w:left="624"/>
        <w:jc w:val="both"/>
      </w:pPr>
      <w:r>
        <w:rPr>
          <w:rFonts w:ascii="Calibri" w:hAnsi="Calibri"/>
          <w:sz w:val="19"/>
        </w:rPr>
        <w:t>Definir os destinatários do aviso</w:t>
      </w:r>
    </w:p>
    <w:p>
      <w:pPr>
        <w:pStyle w:val="ListBullet"/>
        <w:spacing w:after="40"/>
        <w:ind w:left="624"/>
        <w:jc w:val="both"/>
      </w:pPr>
      <w:r>
        <w:rPr>
          <w:rFonts w:ascii="Calibri" w:hAnsi="Calibri"/>
          <w:sz w:val="19"/>
        </w:rPr>
        <w:t>Implementar o envio usando a infraestrutura existente</w:t>
      </w:r>
    </w:p>
    <w:p>
      <w:pPr>
        <w:pStyle w:val="ListBullet"/>
        <w:spacing w:after="40"/>
        <w:ind w:left="624"/>
        <w:jc w:val="both"/>
      </w:pPr>
      <w:r>
        <w:rPr>
          <w:rFonts w:ascii="Calibri" w:hAnsi="Calibri"/>
          <w:sz w:val="19"/>
        </w:rPr>
        <w:t>Incluir sinistro, operação e erro na mensagem</w:t>
      </w:r>
    </w:p>
    <w:p>
      <w:pPr>
        <w:spacing w:before="0" w:after="80"/>
        <w:jc w:val="both"/>
      </w:pPr>
    </w:p>
    <w:p>
      <w:pPr>
        <w:spacing w:after="120"/>
        <w:jc w:val="both"/>
      </w:pPr>
      <w:r>
        <w:rPr>
          <w:rFonts w:ascii="Calibri" w:hAnsi="Calibri"/>
          <w:b/>
          <w:i w:val="0"/>
          <w:sz w:val="20"/>
        </w:rPr>
        <w:t xml:space="preserve">Consulta de rastreabilidade por sinistro — 6h. </w:t>
      </w:r>
      <w:r>
        <w:rPr>
          <w:rFonts w:ascii="Calibri" w:hAnsi="Calibri"/>
          <w:b w:val="0"/>
          <w:i w:val="0"/>
          <w:sz w:val="20"/>
        </w:rPr>
        <w:t>Mostrar, dentro do sinistro, o que já foi enviado à Mundial.</w:t>
      </w:r>
    </w:p>
    <w:p>
      <w:pPr>
        <w:spacing w:before="0" w:after="60"/>
        <w:ind w:left="340"/>
        <w:jc w:val="both"/>
      </w:pPr>
      <w:r>
        <w:rPr>
          <w:rFonts w:ascii="Calibri" w:hAnsi="Calibri"/>
          <w:b w:val="0"/>
          <w:i w:val="0"/>
          <w:sz w:val="20"/>
        </w:rPr>
        <w:t>Quem atende o cliente precisa saber, olhando o sinistro, se ele já existe na seguradora, com que número e em que estado está a reserva.</w:t>
      </w:r>
    </w:p>
    <w:p>
      <w:pPr>
        <w:pStyle w:val="ListBullet"/>
        <w:spacing w:after="40"/>
        <w:ind w:left="624"/>
        <w:jc w:val="both"/>
      </w:pPr>
      <w:r>
        <w:rPr>
          <w:rFonts w:ascii="Calibri" w:hAnsi="Calibri"/>
          <w:sz w:val="19"/>
        </w:rPr>
        <w:t>Incluir o bloco de integração no detalhe do sinistro</w:t>
      </w:r>
    </w:p>
    <w:p>
      <w:pPr>
        <w:pStyle w:val="ListBullet"/>
        <w:spacing w:after="40"/>
        <w:ind w:left="624"/>
        <w:jc w:val="both"/>
      </w:pPr>
      <w:r>
        <w:rPr>
          <w:rFonts w:ascii="Calibri" w:hAnsi="Calibri"/>
          <w:sz w:val="19"/>
        </w:rPr>
        <w:t>Exibir número, estado e data do último envio</w:t>
      </w:r>
    </w:p>
    <w:p>
      <w:pPr>
        <w:pStyle w:val="ListBullet"/>
        <w:spacing w:after="40"/>
        <w:ind w:left="624"/>
        <w:jc w:val="both"/>
      </w:pPr>
      <w:r>
        <w:rPr>
          <w:rFonts w:ascii="Calibri" w:hAnsi="Calibri"/>
          <w:sz w:val="19"/>
        </w:rPr>
        <w:t>Ocultar o bloco quando a integração estiver desligada</w:t>
      </w:r>
    </w:p>
    <w:p>
      <w:pPr>
        <w:spacing w:before="0" w:after="80"/>
        <w:jc w:val="both"/>
      </w:pPr>
    </w:p>
    <w:p>
      <w:pPr>
        <w:spacing w:before="280" w:after="80"/>
        <w:jc w:val="left"/>
      </w:pPr>
      <w:r>
        <w:rPr>
          <w:rFonts w:ascii="Calibri" w:hAnsi="Calibri"/>
          <w:b/>
          <w:i w:val="0"/>
          <w:color w:val="1F3864"/>
          <w:sz w:val="30"/>
        </w:rPr>
        <w:t>Card 05 — Qualidade e entrega</w:t>
      </w:r>
    </w:p>
    <w:p>
      <w:pPr>
        <w:spacing w:after="120"/>
        <w:jc w:val="both"/>
      </w:pPr>
      <w:r>
        <w:rPr>
          <w:rFonts w:ascii="Calibri" w:hAnsi="Calibri"/>
          <w:b/>
          <w:i w:val="0"/>
          <w:sz w:val="19"/>
        </w:rPr>
        <w:t>38h</w:t>
      </w:r>
      <w:r>
        <w:rPr>
          <w:rFonts w:ascii="Calibri" w:hAnsi="Calibri"/>
          <w:b w:val="0"/>
          <w:i w:val="0"/>
          <w:sz w:val="19"/>
        </w:rPr>
        <w:t xml:space="preserve"> · 4 itens · etiqueta api-mundial</w:t>
      </w:r>
    </w:p>
    <w:p>
      <w:pPr>
        <w:spacing w:before="0" w:after="40"/>
        <w:jc w:val="left"/>
      </w:pPr>
      <w:r>
        <w:rPr>
          <w:rFonts w:ascii="Calibri" w:hAnsi="Calibri"/>
          <w:b/>
          <w:i w:val="0"/>
          <w:sz w:val="21"/>
        </w:rPr>
        <w:t>Objetivo</w:t>
      </w:r>
    </w:p>
    <w:p>
      <w:pPr>
        <w:spacing w:before="0" w:after="120"/>
        <w:jc w:val="both"/>
      </w:pPr>
      <w:r>
        <w:rPr>
          <w:rFonts w:ascii="Calibri" w:hAnsi="Calibri"/>
          <w:b w:val="0"/>
          <w:i w:val="0"/>
          <w:sz w:val="21"/>
        </w:rPr>
        <w:t>Garantir o contrato, homologar com a Mundial, documentar e publicar.</w:t>
      </w:r>
    </w:p>
    <w:p>
      <w:pPr>
        <w:spacing w:before="0" w:after="40"/>
        <w:jc w:val="left"/>
      </w:pPr>
      <w:r>
        <w:rPr>
          <w:rFonts w:ascii="Calibri" w:hAnsi="Calibri"/>
          <w:b/>
          <w:i w:val="0"/>
          <w:sz w:val="21"/>
        </w:rPr>
        <w:t>Contexto</w:t>
      </w:r>
    </w:p>
    <w:p>
      <w:pPr>
        <w:spacing w:before="0" w:after="120"/>
        <w:jc w:val="both"/>
      </w:pPr>
      <w:r>
        <w:rPr>
          <w:rFonts w:ascii="Calibri" w:hAnsi="Calibri"/>
          <w:b w:val="0"/>
          <w:i w:val="0"/>
          <w:sz w:val="21"/>
        </w:rPr>
        <w:t>É a primeira vez que o BRS Cloud conversa com a Mundial. Diferenças entre o manual e o comportamento real do ambiente aparecem na homologação, e costumam aparecer. Os testes de contrato protegem o que já foi construído: as operações têm corpos extensos e muitos campos obrigatórios, e um ajuste em qualquer parte do sinistro pode invalidar o envio sem que ninguém perceba até a recusa em produção.</w:t>
      </w:r>
    </w:p>
    <w:p>
      <w:pPr>
        <w:spacing w:before="0" w:after="40"/>
        <w:jc w:val="left"/>
      </w:pPr>
      <w:r>
        <w:rPr>
          <w:rFonts w:ascii="Calibri" w:hAnsi="Calibri"/>
          <w:b/>
          <w:i w:val="0"/>
          <w:sz w:val="21"/>
        </w:rPr>
        <w:t>Critérios de sucesso</w:t>
      </w:r>
    </w:p>
    <w:p>
      <w:pPr>
        <w:pStyle w:val="ListBullet"/>
        <w:spacing w:after="40"/>
        <w:jc w:val="both"/>
      </w:pPr>
      <w:r>
        <w:rPr>
          <w:rFonts w:ascii="Calibri" w:hAnsi="Calibri"/>
          <w:sz w:val="21"/>
        </w:rPr>
        <w:t>Cada operação tem teste que valida o corpo enviado contra o contrato do manual, sem depender do ambiente da Mundial</w:t>
      </w:r>
    </w:p>
    <w:p>
      <w:pPr>
        <w:pStyle w:val="ListBullet"/>
        <w:spacing w:after="40"/>
        <w:jc w:val="both"/>
      </w:pPr>
      <w:r>
        <w:rPr>
          <w:rFonts w:ascii="Calibri" w:hAnsi="Calibri"/>
          <w:sz w:val="21"/>
        </w:rPr>
        <w:t>O ciclo completo de um sinistro é percorrido com sucesso no ambiente de testes da seguradora</w:t>
      </w:r>
    </w:p>
    <w:p>
      <w:pPr>
        <w:pStyle w:val="ListBullet"/>
        <w:spacing w:after="40"/>
        <w:jc w:val="both"/>
      </w:pPr>
      <w:r>
        <w:rPr>
          <w:rFonts w:ascii="Calibri" w:hAnsi="Calibri"/>
          <w:sz w:val="21"/>
        </w:rPr>
        <w:t>As divergências entre manual e comportamento real estão registradas e resolvidas</w:t>
      </w:r>
    </w:p>
    <w:p>
      <w:pPr>
        <w:pStyle w:val="ListBullet"/>
        <w:spacing w:after="40"/>
        <w:jc w:val="both"/>
      </w:pPr>
      <w:r>
        <w:rPr>
          <w:rFonts w:ascii="Calibri" w:hAnsi="Calibri"/>
          <w:sz w:val="21"/>
        </w:rPr>
        <w:t>Existe documento da integração e manual de parametrização da correspondência</w:t>
      </w:r>
    </w:p>
    <w:p>
      <w:pPr>
        <w:pStyle w:val="ListBullet"/>
        <w:spacing w:after="40"/>
        <w:jc w:val="both"/>
      </w:pPr>
      <w:r>
        <w:rPr>
          <w:rFonts w:ascii="Calibri" w:hAnsi="Calibri"/>
          <w:sz w:val="21"/>
        </w:rPr>
        <w:t>A integração é publicada e os primeiros sinistros são acompanhados um a um</w:t>
      </w:r>
    </w:p>
    <w:p>
      <w:pPr>
        <w:spacing w:before="120" w:after="40"/>
        <w:jc w:val="left"/>
      </w:pPr>
      <w:r>
        <w:rPr>
          <w:rFonts w:ascii="Calibri" w:hAnsi="Calibri"/>
          <w:b/>
          <w:i w:val="0"/>
          <w:sz w:val="21"/>
        </w:rPr>
        <w:t>Riscos técnicos</w:t>
      </w:r>
    </w:p>
    <w:p>
      <w:pPr>
        <w:spacing w:before="0" w:after="120"/>
        <w:jc w:val="both"/>
      </w:pPr>
      <w:r>
        <w:rPr>
          <w:rFonts w:ascii="Calibri" w:hAnsi="Calibri"/>
          <w:b w:val="0"/>
          <w:i w:val="0"/>
          <w:sz w:val="21"/>
        </w:rPr>
        <w:t>Depende da disponibilidade da equipe da Mundial e da liberação prévia dos nossos endereços de saída na plataforma de integração deles. É o item de maior incerteza de prazo do projeto.</w:t>
      </w:r>
    </w:p>
    <w:p>
      <w:pPr>
        <w:spacing w:before="120" w:after="40"/>
        <w:jc w:val="left"/>
      </w:pPr>
      <w:r>
        <w:rPr>
          <w:rFonts w:ascii="Calibri" w:hAnsi="Calibri"/>
          <w:b/>
          <w:i w:val="0"/>
          <w:sz w:val="21"/>
        </w:rPr>
        <w:t>Outras informações</w:t>
      </w:r>
    </w:p>
    <w:p>
      <w:pPr>
        <w:spacing w:before="0" w:after="120"/>
        <w:jc w:val="both"/>
      </w:pPr>
      <w:r>
        <w:rPr>
          <w:rFonts w:ascii="Calibri" w:hAnsi="Calibri"/>
          <w:b w:val="0"/>
          <w:i w:val="0"/>
          <w:sz w:val="21"/>
        </w:rPr>
        <w:t>Depende dos cards 02 e 03.</w:t>
      </w:r>
    </w:p>
    <w:p>
      <w:pPr>
        <w:spacing w:before="120" w:after="40"/>
        <w:jc w:val="left"/>
      </w:pPr>
      <w:r>
        <w:rPr>
          <w:rFonts w:ascii="Calibri" w:hAnsi="Calibri"/>
          <w:b/>
          <w:i w:val="0"/>
          <w:sz w:val="21"/>
        </w:rPr>
        <w:t>Smart Checklist</w:t>
      </w:r>
    </w:p>
    <w:p>
      <w:pPr>
        <w:spacing w:before="0" w:after="20"/>
        <w:ind w:left="340"/>
        <w:jc w:val="left"/>
      </w:pPr>
      <w:r>
        <w:rPr>
          <w:rFonts w:ascii="Calibri" w:hAnsi="Calibri"/>
          <w:b w:val="0"/>
          <w:i w:val="0"/>
          <w:sz w:val="20"/>
        </w:rPr>
        <w:t>Testes automatizados dos contratos (12h)</w:t>
      </w:r>
    </w:p>
    <w:p>
      <w:pPr>
        <w:spacing w:before="0" w:after="20"/>
        <w:ind w:left="340"/>
        <w:jc w:val="left"/>
      </w:pPr>
      <w:r>
        <w:rPr>
          <w:rFonts w:ascii="Calibri" w:hAnsi="Calibri"/>
          <w:b w:val="0"/>
          <w:i w:val="0"/>
          <w:sz w:val="20"/>
        </w:rPr>
        <w:t>Homologação no ambiente de testes da Mundial (14h)</w:t>
      </w:r>
    </w:p>
    <w:p>
      <w:pPr>
        <w:spacing w:before="0" w:after="20"/>
        <w:ind w:left="340"/>
        <w:jc w:val="left"/>
      </w:pPr>
      <w:r>
        <w:rPr>
          <w:rFonts w:ascii="Calibri" w:hAnsi="Calibri"/>
          <w:b w:val="0"/>
          <w:i w:val="0"/>
          <w:sz w:val="20"/>
        </w:rPr>
        <w:t>Documentação da integração (6h)</w:t>
      </w:r>
    </w:p>
    <w:p>
      <w:pPr>
        <w:spacing w:before="0" w:after="20"/>
        <w:ind w:left="340"/>
        <w:jc w:val="left"/>
      </w:pPr>
      <w:r>
        <w:rPr>
          <w:rFonts w:ascii="Calibri" w:hAnsi="Calibri"/>
          <w:b w:val="0"/>
          <w:i w:val="0"/>
          <w:sz w:val="20"/>
        </w:rPr>
        <w:t>Publicação e acompanhamento assistido (6h)</w:t>
      </w:r>
    </w:p>
    <w:p>
      <w:pPr>
        <w:spacing w:before="160" w:after="60"/>
        <w:jc w:val="left"/>
      </w:pPr>
      <w:r>
        <w:rPr>
          <w:rFonts w:ascii="Calibri" w:hAnsi="Calibri"/>
          <w:b/>
          <w:i w:val="0"/>
          <w:sz w:val="21"/>
        </w:rPr>
        <w:t>Detalhamento dos itens</w:t>
      </w:r>
    </w:p>
    <w:p>
      <w:pPr>
        <w:spacing w:after="120"/>
        <w:jc w:val="both"/>
      </w:pPr>
      <w:r>
        <w:rPr>
          <w:rFonts w:ascii="Calibri" w:hAnsi="Calibri"/>
          <w:b/>
          <w:i w:val="0"/>
          <w:sz w:val="20"/>
        </w:rPr>
        <w:t xml:space="preserve">Testes automatizados dos contratos — 12h. </w:t>
      </w:r>
      <w:r>
        <w:rPr>
          <w:rFonts w:ascii="Calibri" w:hAnsi="Calibri"/>
          <w:b w:val="0"/>
          <w:i w:val="0"/>
          <w:sz w:val="20"/>
        </w:rPr>
        <w:t>Garantir que uma mudança no sistema não quebre silenciosamente o contrato da API.</w:t>
      </w:r>
    </w:p>
    <w:p>
      <w:pPr>
        <w:spacing w:before="0" w:after="60"/>
        <w:ind w:left="340"/>
        <w:jc w:val="both"/>
      </w:pPr>
      <w:r>
        <w:rPr>
          <w:rFonts w:ascii="Calibri" w:hAnsi="Calibri"/>
          <w:b w:val="0"/>
          <w:i w:val="0"/>
          <w:sz w:val="20"/>
        </w:rPr>
        <w:t>As cinco operações têm corpos extensos e muitos campos obrigatórios. Sem teste de contrato, um ajuste em qualquer parte do sinistro pode invalidar o envio sem que ninguém perceba até a recusa em produção.</w:t>
      </w:r>
    </w:p>
    <w:p>
      <w:pPr>
        <w:pStyle w:val="ListBullet"/>
        <w:spacing w:after="40"/>
        <w:ind w:left="624"/>
        <w:jc w:val="both"/>
      </w:pPr>
      <w:r>
        <w:rPr>
          <w:rFonts w:ascii="Calibri" w:hAnsi="Calibri"/>
          <w:sz w:val="19"/>
        </w:rPr>
        <w:t>Montar o simulador das cinco operações</w:t>
      </w:r>
    </w:p>
    <w:p>
      <w:pPr>
        <w:pStyle w:val="ListBullet"/>
        <w:spacing w:after="40"/>
        <w:ind w:left="624"/>
        <w:jc w:val="both"/>
      </w:pPr>
      <w:r>
        <w:rPr>
          <w:rFonts w:ascii="Calibri" w:hAnsi="Calibri"/>
          <w:sz w:val="19"/>
        </w:rPr>
        <w:t>Escrever os testes de corpo de requisição</w:t>
      </w:r>
    </w:p>
    <w:p>
      <w:pPr>
        <w:pStyle w:val="ListBullet"/>
        <w:spacing w:after="40"/>
        <w:ind w:left="624"/>
        <w:jc w:val="both"/>
      </w:pPr>
      <w:r>
        <w:rPr>
          <w:rFonts w:ascii="Calibri" w:hAnsi="Calibri"/>
          <w:sz w:val="19"/>
        </w:rPr>
        <w:t>Escrever os testes de tratamento de erro</w:t>
      </w:r>
    </w:p>
    <w:p>
      <w:pPr>
        <w:pStyle w:val="ListBullet"/>
        <w:spacing w:after="40"/>
        <w:ind w:left="624"/>
        <w:jc w:val="both"/>
      </w:pPr>
      <w:r>
        <w:rPr>
          <w:rFonts w:ascii="Calibri" w:hAnsi="Calibri"/>
          <w:sz w:val="19"/>
        </w:rPr>
        <w:t>Integrar os testes à rotina de build</w:t>
      </w:r>
    </w:p>
    <w:p>
      <w:pPr>
        <w:spacing w:before="0" w:after="80"/>
        <w:jc w:val="both"/>
      </w:pPr>
    </w:p>
    <w:p>
      <w:pPr>
        <w:spacing w:after="120"/>
        <w:jc w:val="both"/>
      </w:pPr>
      <w:r>
        <w:rPr>
          <w:rFonts w:ascii="Calibri" w:hAnsi="Calibri"/>
          <w:b/>
          <w:i w:val="0"/>
          <w:sz w:val="20"/>
        </w:rPr>
        <w:t xml:space="preserve">Homologação no ambiente de testes da Mundial — 14h. </w:t>
      </w:r>
      <w:r>
        <w:rPr>
          <w:rFonts w:ascii="Calibri" w:hAnsi="Calibri"/>
          <w:b w:val="0"/>
          <w:i w:val="0"/>
          <w:sz w:val="20"/>
        </w:rPr>
        <w:t>Validar as cinco operações contra o ambiente de testes da seguradora, com dados reais de apólice.</w:t>
      </w:r>
    </w:p>
    <w:p>
      <w:pPr>
        <w:spacing w:before="0" w:after="60"/>
        <w:ind w:left="340"/>
        <w:jc w:val="both"/>
      </w:pPr>
      <w:r>
        <w:rPr>
          <w:rFonts w:ascii="Calibri" w:hAnsi="Calibri"/>
          <w:b w:val="0"/>
          <w:i w:val="0"/>
          <w:sz w:val="20"/>
        </w:rPr>
        <w:t>É a primeira vez que o BRS Cloud conversa com a Mundial. Diferenças entre o manual e o comportamento real do ambiente aparecem aqui, e costumam aparecer.</w:t>
      </w:r>
    </w:p>
    <w:p>
      <w:pPr>
        <w:spacing w:after="60"/>
        <w:ind w:left="340"/>
        <w:jc w:val="both"/>
      </w:pPr>
      <w:r>
        <w:rPr>
          <w:rFonts w:ascii="Calibri" w:hAnsi="Calibri"/>
          <w:b/>
          <w:i/>
          <w:sz w:val="19"/>
        </w:rPr>
        <w:t xml:space="preserve">Risco: </w:t>
      </w:r>
      <w:r>
        <w:rPr>
          <w:rFonts w:ascii="Calibri" w:hAnsi="Calibri"/>
          <w:b w:val="0"/>
          <w:i/>
          <w:sz w:val="19"/>
        </w:rPr>
        <w:t>Depende de disponibilidade da equipe da Mundial e do cadastro prévio dos nossos endereços de saída na plataforma de integração deles. É o item de maior incerteza de prazo do projeto.</w:t>
      </w:r>
    </w:p>
    <w:p>
      <w:pPr>
        <w:pStyle w:val="ListBullet"/>
        <w:spacing w:after="40"/>
        <w:ind w:left="624"/>
        <w:jc w:val="both"/>
      </w:pPr>
      <w:r>
        <w:rPr>
          <w:rFonts w:ascii="Calibri" w:hAnsi="Calibri"/>
          <w:sz w:val="19"/>
        </w:rPr>
        <w:t>Solicitar credenciais e liberação dos endereços de saída</w:t>
      </w:r>
    </w:p>
    <w:p>
      <w:pPr>
        <w:pStyle w:val="ListBullet"/>
        <w:spacing w:after="40"/>
        <w:ind w:left="624"/>
        <w:jc w:val="both"/>
      </w:pPr>
      <w:r>
        <w:rPr>
          <w:rFonts w:ascii="Calibri" w:hAnsi="Calibri"/>
          <w:sz w:val="19"/>
        </w:rPr>
        <w:t>Preencher a correspondência de códigos com os valores reais</w:t>
      </w:r>
    </w:p>
    <w:p>
      <w:pPr>
        <w:pStyle w:val="ListBullet"/>
        <w:spacing w:after="40"/>
        <w:ind w:left="624"/>
        <w:jc w:val="both"/>
      </w:pPr>
      <w:r>
        <w:rPr>
          <w:rFonts w:ascii="Calibri" w:hAnsi="Calibri"/>
          <w:sz w:val="19"/>
        </w:rPr>
        <w:t>Executar o ciclo completo de um sinistro</w:t>
      </w:r>
    </w:p>
    <w:p>
      <w:pPr>
        <w:pStyle w:val="ListBullet"/>
        <w:spacing w:after="40"/>
        <w:ind w:left="624"/>
        <w:jc w:val="both"/>
      </w:pPr>
      <w:r>
        <w:rPr>
          <w:rFonts w:ascii="Calibri" w:hAnsi="Calibri"/>
          <w:sz w:val="19"/>
        </w:rPr>
        <w:t>Registrar e tratar as divergências encontradas</w:t>
      </w:r>
    </w:p>
    <w:p>
      <w:pPr>
        <w:pStyle w:val="ListBullet"/>
        <w:spacing w:after="40"/>
        <w:ind w:left="624"/>
        <w:jc w:val="both"/>
      </w:pPr>
      <w:r>
        <w:rPr>
          <w:rFonts w:ascii="Calibri" w:hAnsi="Calibri"/>
          <w:sz w:val="19"/>
        </w:rPr>
        <w:t>Obter o aceite da Mundial</w:t>
      </w:r>
    </w:p>
    <w:p>
      <w:pPr>
        <w:spacing w:before="0" w:after="80"/>
        <w:jc w:val="both"/>
      </w:pPr>
    </w:p>
    <w:p>
      <w:pPr>
        <w:spacing w:after="120"/>
        <w:jc w:val="both"/>
      </w:pPr>
      <w:r>
        <w:rPr>
          <w:rFonts w:ascii="Calibri" w:hAnsi="Calibri"/>
          <w:b/>
          <w:i w:val="0"/>
          <w:sz w:val="20"/>
        </w:rPr>
        <w:t xml:space="preserve">Documentação da integração — 6h. </w:t>
      </w:r>
      <w:r>
        <w:rPr>
          <w:rFonts w:ascii="Calibri" w:hAnsi="Calibri"/>
          <w:b w:val="0"/>
          <w:i w:val="0"/>
          <w:sz w:val="20"/>
        </w:rPr>
        <w:t>Deixar registrado como a integração funciona e como parametrizá-la.</w:t>
      </w:r>
    </w:p>
    <w:p>
      <w:pPr>
        <w:spacing w:before="0" w:after="60"/>
        <w:ind w:left="340"/>
        <w:jc w:val="both"/>
      </w:pPr>
      <w:r>
        <w:rPr>
          <w:rFonts w:ascii="Calibri" w:hAnsi="Calibri"/>
          <w:b w:val="0"/>
          <w:i w:val="0"/>
          <w:sz w:val="20"/>
        </w:rPr>
        <w:t>A integração tem configuração, correspondência de códigos e gatilhos. Sem documento, esse conhecimento fica com quem construiu.</w:t>
      </w:r>
    </w:p>
    <w:p>
      <w:pPr>
        <w:pStyle w:val="ListBullet"/>
        <w:spacing w:after="40"/>
        <w:ind w:left="624"/>
        <w:jc w:val="both"/>
      </w:pPr>
      <w:r>
        <w:rPr>
          <w:rFonts w:ascii="Calibri" w:hAnsi="Calibri"/>
          <w:sz w:val="19"/>
        </w:rPr>
        <w:t>Escrever o documento técnico da integração</w:t>
      </w:r>
    </w:p>
    <w:p>
      <w:pPr>
        <w:pStyle w:val="ListBullet"/>
        <w:spacing w:after="40"/>
        <w:ind w:left="624"/>
        <w:jc w:val="both"/>
      </w:pPr>
      <w:r>
        <w:rPr>
          <w:rFonts w:ascii="Calibri" w:hAnsi="Calibri"/>
          <w:sz w:val="19"/>
        </w:rPr>
        <w:t>Escrever o manual de parametrização</w:t>
      </w:r>
    </w:p>
    <w:p>
      <w:pPr>
        <w:pStyle w:val="ListBullet"/>
        <w:spacing w:after="40"/>
        <w:ind w:left="624"/>
        <w:jc w:val="both"/>
      </w:pPr>
      <w:r>
        <w:rPr>
          <w:rFonts w:ascii="Calibri" w:hAnsi="Calibri"/>
          <w:sz w:val="19"/>
        </w:rPr>
        <w:t>Descrever o tratamento de erros e o reenvio</w:t>
      </w:r>
    </w:p>
    <w:p>
      <w:pPr>
        <w:spacing w:before="0" w:after="80"/>
        <w:jc w:val="both"/>
      </w:pPr>
    </w:p>
    <w:p>
      <w:pPr>
        <w:spacing w:after="120"/>
        <w:jc w:val="both"/>
      </w:pPr>
      <w:r>
        <w:rPr>
          <w:rFonts w:ascii="Calibri" w:hAnsi="Calibri"/>
          <w:b/>
          <w:i w:val="0"/>
          <w:sz w:val="20"/>
        </w:rPr>
        <w:t xml:space="preserve">Publicação e acompanhamento assistido — 6h. </w:t>
      </w:r>
      <w:r>
        <w:rPr>
          <w:rFonts w:ascii="Calibri" w:hAnsi="Calibri"/>
          <w:b w:val="0"/>
          <w:i w:val="0"/>
          <w:sz w:val="20"/>
        </w:rPr>
        <w:t>Colocar a integração em produção e acompanhar os primeiros sinistros.</w:t>
      </w:r>
    </w:p>
    <w:p>
      <w:pPr>
        <w:spacing w:before="0" w:after="60"/>
        <w:ind w:left="340"/>
        <w:jc w:val="both"/>
      </w:pPr>
      <w:r>
        <w:rPr>
          <w:rFonts w:ascii="Calibri" w:hAnsi="Calibri"/>
          <w:b w:val="0"/>
          <w:i w:val="0"/>
          <w:sz w:val="20"/>
        </w:rPr>
        <w:t>A ativação é por cliente, o que permite ligar a integração para a Mundial sem afetar nenhum outro cliente do BRS Cloud.</w:t>
      </w:r>
    </w:p>
    <w:p>
      <w:pPr>
        <w:pStyle w:val="ListBullet"/>
        <w:spacing w:after="40"/>
        <w:ind w:left="624"/>
        <w:jc w:val="both"/>
      </w:pPr>
      <w:r>
        <w:rPr>
          <w:rFonts w:ascii="Calibri" w:hAnsi="Calibri"/>
          <w:sz w:val="19"/>
        </w:rPr>
        <w:t>Publicar a versão em produção</w:t>
      </w:r>
    </w:p>
    <w:p>
      <w:pPr>
        <w:pStyle w:val="ListBullet"/>
        <w:spacing w:after="40"/>
        <w:ind w:left="624"/>
        <w:jc w:val="both"/>
      </w:pPr>
      <w:r>
        <w:rPr>
          <w:rFonts w:ascii="Calibri" w:hAnsi="Calibri"/>
          <w:sz w:val="19"/>
        </w:rPr>
        <w:t>Ativar a integração para o cliente</w:t>
      </w:r>
    </w:p>
    <w:p>
      <w:pPr>
        <w:pStyle w:val="ListBullet"/>
        <w:spacing w:after="40"/>
        <w:ind w:left="624"/>
        <w:jc w:val="both"/>
      </w:pPr>
      <w:r>
        <w:rPr>
          <w:rFonts w:ascii="Calibri" w:hAnsi="Calibri"/>
          <w:sz w:val="19"/>
        </w:rPr>
        <w:t>Acompanhar os primeiros sinistros</w:t>
      </w:r>
    </w:p>
    <w:p>
      <w:pPr>
        <w:pStyle w:val="ListBullet"/>
        <w:spacing w:after="40"/>
        <w:ind w:left="624"/>
        <w:jc w:val="both"/>
      </w:pPr>
      <w:r>
        <w:rPr>
          <w:rFonts w:ascii="Calibri" w:hAnsi="Calibri"/>
          <w:sz w:val="19"/>
        </w:rPr>
        <w:t>Tratar e documentar as falhas do período</w:t>
      </w:r>
    </w:p>
    <w:p>
      <w:pPr>
        <w:spacing w:before="0" w:after="80"/>
        <w:jc w:val="both"/>
      </w:pPr>
    </w:p>
    <w:p>
      <w:pPr>
        <w:spacing w:before="280" w:after="80"/>
        <w:jc w:val="left"/>
      </w:pPr>
      <w:r>
        <w:rPr>
          <w:rFonts w:ascii="Calibri" w:hAnsi="Calibri"/>
          <w:b/>
          <w:i w:val="0"/>
          <w:color w:val="1F3864"/>
          <w:sz w:val="30"/>
        </w:rPr>
        <w:t>Card 06 — Proteção de dados (ATDP) — opcional</w:t>
      </w:r>
    </w:p>
    <w:p>
      <w:pPr>
        <w:spacing w:after="120"/>
        <w:jc w:val="both"/>
      </w:pPr>
      <w:r>
        <w:rPr>
          <w:rFonts w:ascii="Calibri" w:hAnsi="Calibri"/>
          <w:b/>
          <w:i w:val="0"/>
          <w:sz w:val="19"/>
        </w:rPr>
        <w:t>40h</w:t>
      </w:r>
      <w:r>
        <w:rPr>
          <w:rFonts w:ascii="Calibri" w:hAnsi="Calibri"/>
          <w:b w:val="0"/>
          <w:i w:val="0"/>
          <w:sz w:val="19"/>
        </w:rPr>
        <w:t xml:space="preserve"> · 4 itens · etiqueta api-mundial</w:t>
      </w:r>
    </w:p>
    <w:p>
      <w:pPr>
        <w:spacing w:before="0" w:after="40"/>
        <w:jc w:val="left"/>
      </w:pPr>
      <w:r>
        <w:rPr>
          <w:rFonts w:ascii="Calibri" w:hAnsi="Calibri"/>
          <w:b/>
          <w:i w:val="0"/>
          <w:sz w:val="21"/>
        </w:rPr>
        <w:t>Objetivo</w:t>
      </w:r>
    </w:p>
    <w:p>
      <w:pPr>
        <w:spacing w:before="0" w:after="120"/>
        <w:jc w:val="both"/>
      </w:pPr>
      <w:r>
        <w:rPr>
          <w:rFonts w:ascii="Calibri" w:hAnsi="Calibri"/>
          <w:b w:val="0"/>
          <w:i w:val="0"/>
          <w:sz w:val="21"/>
        </w:rPr>
        <w:t>Registrar e consultar na Mundial a autorização de tratamento de dados do segurado e os canais autorizados para gestão de cobrança, e receber o aviso de mudança.</w:t>
      </w:r>
    </w:p>
    <w:p>
      <w:pPr>
        <w:spacing w:before="0" w:after="40"/>
        <w:jc w:val="left"/>
      </w:pPr>
      <w:r>
        <w:rPr>
          <w:rFonts w:ascii="Calibri" w:hAnsi="Calibri"/>
          <w:b/>
          <w:i w:val="0"/>
          <w:sz w:val="21"/>
        </w:rPr>
        <w:t>Contexto</w:t>
      </w:r>
    </w:p>
    <w:p>
      <w:pPr>
        <w:spacing w:before="0" w:after="120"/>
        <w:jc w:val="both"/>
      </w:pPr>
      <w:r>
        <w:rPr>
          <w:rFonts w:ascii="Calibri" w:hAnsi="Calibri"/>
          <w:b w:val="0"/>
          <w:i w:val="0"/>
          <w:sz w:val="21"/>
        </w:rPr>
        <w:t>É um bloco independente das operações de sinistro e pode ficar fora do escopo. A autorização mais recente sempre anula as anteriores. Contém a única ponta em que o BRS Cloud expõe um endereço em vez de consumir: o webhook de aviso, que precisa seguir os lineamentos de API do fornecedor e validar a autenticidade da mensagem.</w:t>
      </w:r>
    </w:p>
    <w:p>
      <w:pPr>
        <w:spacing w:before="0" w:after="40"/>
        <w:jc w:val="left"/>
      </w:pPr>
      <w:r>
        <w:rPr>
          <w:rFonts w:ascii="Calibri" w:hAnsi="Calibri"/>
          <w:b/>
          <w:i w:val="0"/>
          <w:sz w:val="21"/>
        </w:rPr>
        <w:t>Critérios de sucesso</w:t>
      </w:r>
    </w:p>
    <w:p>
      <w:pPr>
        <w:pStyle w:val="ListBullet"/>
        <w:spacing w:after="40"/>
        <w:jc w:val="both"/>
      </w:pPr>
      <w:r>
        <w:rPr>
          <w:rFonts w:ascii="Calibri" w:hAnsi="Calibri"/>
          <w:sz w:val="21"/>
        </w:rPr>
        <w:t>Criação, consulta do histórico, consulta da vigente e revogação estão implementadas</w:t>
      </w:r>
    </w:p>
    <w:p>
      <w:pPr>
        <w:pStyle w:val="ListBullet"/>
        <w:spacing w:after="40"/>
        <w:jc w:val="both"/>
      </w:pPr>
      <w:r>
        <w:rPr>
          <w:rFonts w:ascii="Calibri" w:hAnsi="Calibri"/>
          <w:sz w:val="21"/>
        </w:rPr>
        <w:t>Os canais autorizados são registrados e consultados, com a regra de pelo menos um canal</w:t>
      </w:r>
    </w:p>
    <w:p>
      <w:pPr>
        <w:pStyle w:val="ListBullet"/>
        <w:spacing w:after="40"/>
        <w:jc w:val="both"/>
      </w:pPr>
      <w:r>
        <w:rPr>
          <w:rFonts w:ascii="Calibri" w:hAnsi="Calibri"/>
          <w:sz w:val="21"/>
        </w:rPr>
        <w:t>O webhook recebe o aviso, valida a autenticidade e atualiza a autorização vigente</w:t>
      </w:r>
    </w:p>
    <w:p>
      <w:pPr>
        <w:pStyle w:val="ListBullet"/>
        <w:spacing w:after="40"/>
        <w:jc w:val="both"/>
      </w:pPr>
      <w:r>
        <w:rPr>
          <w:rFonts w:ascii="Calibri" w:hAnsi="Calibri"/>
          <w:sz w:val="21"/>
        </w:rPr>
        <w:t>Aviso repetido não gera duplicidade</w:t>
      </w:r>
    </w:p>
    <w:p>
      <w:pPr>
        <w:pStyle w:val="ListBullet"/>
        <w:spacing w:after="40"/>
        <w:jc w:val="both"/>
      </w:pPr>
      <w:r>
        <w:rPr>
          <w:rFonts w:ascii="Calibri" w:hAnsi="Calibri"/>
          <w:sz w:val="21"/>
        </w:rPr>
        <w:t>A tela mostra a autorização vigente e o histórico do segurado</w:t>
      </w:r>
    </w:p>
    <w:p>
      <w:pPr>
        <w:spacing w:before="120" w:after="40"/>
        <w:jc w:val="left"/>
      </w:pPr>
      <w:r>
        <w:rPr>
          <w:rFonts w:ascii="Calibri" w:hAnsi="Calibri"/>
          <w:b/>
          <w:i w:val="0"/>
          <w:sz w:val="21"/>
        </w:rPr>
        <w:t>Riscos técnicos</w:t>
      </w:r>
    </w:p>
    <w:p>
      <w:pPr>
        <w:spacing w:before="0" w:after="120"/>
        <w:jc w:val="both"/>
      </w:pPr>
      <w:r>
        <w:rPr>
          <w:rFonts w:ascii="Calibri" w:hAnsi="Calibri"/>
          <w:b w:val="0"/>
          <w:i w:val="0"/>
          <w:sz w:val="21"/>
        </w:rPr>
        <w:t>O webhook é a única ponta exposta ao exterior: exige análise de segurança e decisão de infraestrutura sobre onde publicar o endereço.</w:t>
      </w:r>
    </w:p>
    <w:p>
      <w:pPr>
        <w:spacing w:before="120" w:after="40"/>
        <w:jc w:val="left"/>
      </w:pPr>
      <w:r>
        <w:rPr>
          <w:rFonts w:ascii="Calibri" w:hAnsi="Calibri"/>
          <w:b/>
          <w:i w:val="0"/>
          <w:sz w:val="21"/>
        </w:rPr>
        <w:t>Outras informações</w:t>
      </w:r>
    </w:p>
    <w:p>
      <w:pPr>
        <w:spacing w:before="0" w:after="120"/>
        <w:jc w:val="both"/>
      </w:pPr>
      <w:r>
        <w:rPr>
          <w:rFonts w:ascii="Calibri" w:hAnsi="Calibri"/>
          <w:b w:val="0"/>
          <w:i w:val="0"/>
          <w:sz w:val="21"/>
        </w:rPr>
        <w:t>Bloco opcional, depende de decisão de escopo. Depende do card 01.</w:t>
      </w:r>
    </w:p>
    <w:p>
      <w:pPr>
        <w:spacing w:before="120" w:after="40"/>
        <w:jc w:val="left"/>
      </w:pPr>
      <w:r>
        <w:rPr>
          <w:rFonts w:ascii="Calibri" w:hAnsi="Calibri"/>
          <w:b/>
          <w:i w:val="0"/>
          <w:sz w:val="21"/>
        </w:rPr>
        <w:t>Smart Checklist</w:t>
      </w:r>
    </w:p>
    <w:p>
      <w:pPr>
        <w:spacing w:before="0" w:after="20"/>
        <w:ind w:left="340"/>
        <w:jc w:val="left"/>
      </w:pPr>
      <w:r>
        <w:rPr>
          <w:rFonts w:ascii="Calibri" w:hAnsi="Calibri"/>
          <w:b w:val="0"/>
          <w:i w:val="0"/>
          <w:sz w:val="20"/>
        </w:rPr>
        <w:t>Autorização de tratamento de dados (12h)</w:t>
      </w:r>
    </w:p>
    <w:p>
      <w:pPr>
        <w:spacing w:before="0" w:after="20"/>
        <w:ind w:left="340"/>
        <w:jc w:val="left"/>
      </w:pPr>
      <w:r>
        <w:rPr>
          <w:rFonts w:ascii="Calibri" w:hAnsi="Calibri"/>
          <w:b w:val="0"/>
          <w:i w:val="0"/>
          <w:sz w:val="20"/>
        </w:rPr>
        <w:t>Canais autorizados para gestão de cobrança (8h)</w:t>
      </w:r>
    </w:p>
    <w:p>
      <w:pPr>
        <w:spacing w:before="0" w:after="20"/>
        <w:ind w:left="340"/>
        <w:jc w:val="left"/>
      </w:pPr>
      <w:r>
        <w:rPr>
          <w:rFonts w:ascii="Calibri" w:hAnsi="Calibri"/>
          <w:b w:val="0"/>
          <w:i w:val="0"/>
          <w:sz w:val="20"/>
        </w:rPr>
        <w:t>Webhook de atualização de autorização (12h)</w:t>
      </w:r>
    </w:p>
    <w:p>
      <w:pPr>
        <w:spacing w:before="0" w:after="20"/>
        <w:ind w:left="340"/>
        <w:jc w:val="left"/>
      </w:pPr>
      <w:r>
        <w:rPr>
          <w:rFonts w:ascii="Calibri" w:hAnsi="Calibri"/>
          <w:b w:val="0"/>
          <w:i w:val="0"/>
          <w:sz w:val="20"/>
        </w:rPr>
        <w:t>Tela de consulta e registro da autorização (8h)</w:t>
      </w:r>
    </w:p>
    <w:p>
      <w:pPr>
        <w:spacing w:before="160" w:after="60"/>
        <w:jc w:val="left"/>
      </w:pPr>
      <w:r>
        <w:rPr>
          <w:rFonts w:ascii="Calibri" w:hAnsi="Calibri"/>
          <w:b/>
          <w:i w:val="0"/>
          <w:sz w:val="21"/>
        </w:rPr>
        <w:t>Detalhamento dos itens</w:t>
      </w:r>
    </w:p>
    <w:p>
      <w:pPr>
        <w:spacing w:after="120"/>
        <w:jc w:val="both"/>
      </w:pPr>
      <w:r>
        <w:rPr>
          <w:rFonts w:ascii="Calibri" w:hAnsi="Calibri"/>
          <w:b/>
          <w:i w:val="0"/>
          <w:sz w:val="20"/>
        </w:rPr>
        <w:t xml:space="preserve">Autorização de tratamento de dados — 12h. </w:t>
      </w:r>
      <w:r>
        <w:rPr>
          <w:rFonts w:ascii="Calibri" w:hAnsi="Calibri"/>
          <w:b w:val="0"/>
          <w:i w:val="0"/>
          <w:sz w:val="20"/>
        </w:rPr>
        <w:t>Registrar e consultar na Mundial a autorização de tratamento de dados pessoais do segurado.</w:t>
      </w:r>
    </w:p>
    <w:p>
      <w:pPr>
        <w:spacing w:before="0" w:after="60"/>
        <w:ind w:left="340"/>
        <w:jc w:val="both"/>
      </w:pPr>
      <w:r>
        <w:rPr>
          <w:rFonts w:ascii="Calibri" w:hAnsi="Calibri"/>
          <w:b w:val="0"/>
          <w:i w:val="0"/>
          <w:sz w:val="20"/>
        </w:rPr>
        <w:t>A API de proteção de dados permite criar a autorização, consultar o histórico, consultar a vigente e revogar. A autorização mais recente sempre anula as anteriores. É um bloco independente das operações de sinistro e pode ficar fora do escopo.</w:t>
      </w:r>
    </w:p>
    <w:p>
      <w:pPr>
        <w:pStyle w:val="ListBullet"/>
        <w:spacing w:after="40"/>
        <w:ind w:left="624"/>
        <w:jc w:val="both"/>
      </w:pPr>
      <w:r>
        <w:rPr>
          <w:rFonts w:ascii="Calibri" w:hAnsi="Calibri"/>
          <w:sz w:val="19"/>
        </w:rPr>
        <w:t>Confirmar com a Crawford se o bloco entra no escopo</w:t>
      </w:r>
    </w:p>
    <w:p>
      <w:pPr>
        <w:pStyle w:val="ListBullet"/>
        <w:spacing w:after="40"/>
        <w:ind w:left="624"/>
        <w:jc w:val="both"/>
      </w:pPr>
      <w:r>
        <w:rPr>
          <w:rFonts w:ascii="Calibri" w:hAnsi="Calibri"/>
          <w:sz w:val="19"/>
        </w:rPr>
        <w:t>Implementar a criação da autorização</w:t>
      </w:r>
    </w:p>
    <w:p>
      <w:pPr>
        <w:pStyle w:val="ListBullet"/>
        <w:spacing w:after="40"/>
        <w:ind w:left="624"/>
        <w:jc w:val="both"/>
      </w:pPr>
      <w:r>
        <w:rPr>
          <w:rFonts w:ascii="Calibri" w:hAnsi="Calibri"/>
          <w:sz w:val="19"/>
        </w:rPr>
        <w:t>Implementar a consulta do histórico e da autorização vigente</w:t>
      </w:r>
    </w:p>
    <w:p>
      <w:pPr>
        <w:pStyle w:val="ListBullet"/>
        <w:spacing w:after="40"/>
        <w:ind w:left="624"/>
        <w:jc w:val="both"/>
      </w:pPr>
      <w:r>
        <w:rPr>
          <w:rFonts w:ascii="Calibri" w:hAnsi="Calibri"/>
          <w:sz w:val="19"/>
        </w:rPr>
        <w:t>Implementar a revogação</w:t>
      </w:r>
    </w:p>
    <w:p>
      <w:pPr>
        <w:pStyle w:val="ListBullet"/>
        <w:spacing w:after="40"/>
        <w:ind w:left="624"/>
        <w:jc w:val="both"/>
      </w:pPr>
      <w:r>
        <w:rPr>
          <w:rFonts w:ascii="Calibri" w:hAnsi="Calibri"/>
          <w:sz w:val="19"/>
        </w:rPr>
        <w:t>Cobrir as operações com testes</w:t>
      </w:r>
    </w:p>
    <w:p>
      <w:pPr>
        <w:spacing w:before="0" w:after="80"/>
        <w:jc w:val="both"/>
      </w:pPr>
    </w:p>
    <w:p>
      <w:pPr>
        <w:spacing w:after="120"/>
        <w:jc w:val="both"/>
      </w:pPr>
      <w:r>
        <w:rPr>
          <w:rFonts w:ascii="Calibri" w:hAnsi="Calibri"/>
          <w:b/>
          <w:i w:val="0"/>
          <w:sz w:val="20"/>
        </w:rPr>
        <w:t xml:space="preserve">Canais autorizados para gestão de cobrança — 8h. </w:t>
      </w:r>
      <w:r>
        <w:rPr>
          <w:rFonts w:ascii="Calibri" w:hAnsi="Calibri"/>
          <w:b w:val="0"/>
          <w:i w:val="0"/>
          <w:sz w:val="20"/>
        </w:rPr>
        <w:t>Registrar e consultar os canais de comunicação autorizados pelo segurado.</w:t>
      </w:r>
    </w:p>
    <w:p>
      <w:pPr>
        <w:spacing w:before="0" w:after="60"/>
        <w:ind w:left="340"/>
        <w:jc w:val="both"/>
      </w:pPr>
      <w:r>
        <w:rPr>
          <w:rFonts w:ascii="Calibri" w:hAnsi="Calibri"/>
          <w:b w:val="0"/>
          <w:i w:val="0"/>
          <w:sz w:val="20"/>
        </w:rPr>
        <w:t>A mesma API trata os canais autorizados — chamada telefônica, correio eletrônico, mensagem de texto e mensagem instantânea. A autorização mais recente anula as anteriores, e pelo menos um canal precisa ser informado.</w:t>
      </w:r>
    </w:p>
    <w:p>
      <w:pPr>
        <w:pStyle w:val="ListBullet"/>
        <w:spacing w:after="40"/>
        <w:ind w:left="624"/>
        <w:jc w:val="both"/>
      </w:pPr>
      <w:r>
        <w:rPr>
          <w:rFonts w:ascii="Calibri" w:hAnsi="Calibri"/>
          <w:sz w:val="19"/>
        </w:rPr>
        <w:t>Implementar a criação dos canais autorizados</w:t>
      </w:r>
    </w:p>
    <w:p>
      <w:pPr>
        <w:pStyle w:val="ListBullet"/>
        <w:spacing w:after="40"/>
        <w:ind w:left="624"/>
        <w:jc w:val="both"/>
      </w:pPr>
      <w:r>
        <w:rPr>
          <w:rFonts w:ascii="Calibri" w:hAnsi="Calibri"/>
          <w:sz w:val="19"/>
        </w:rPr>
        <w:t>Implementar a consulta do histórico e dos canais vigentes</w:t>
      </w:r>
    </w:p>
    <w:p>
      <w:pPr>
        <w:pStyle w:val="ListBullet"/>
        <w:spacing w:after="40"/>
        <w:ind w:left="624"/>
        <w:jc w:val="both"/>
      </w:pPr>
      <w:r>
        <w:rPr>
          <w:rFonts w:ascii="Calibri" w:hAnsi="Calibri"/>
          <w:sz w:val="19"/>
        </w:rPr>
        <w:t>Validar a exigência de pelo menos um canal</w:t>
      </w:r>
    </w:p>
    <w:p>
      <w:pPr>
        <w:spacing w:before="0" w:after="80"/>
        <w:jc w:val="both"/>
      </w:pPr>
    </w:p>
    <w:p>
      <w:pPr>
        <w:spacing w:after="120"/>
        <w:jc w:val="both"/>
      </w:pPr>
      <w:r>
        <w:rPr>
          <w:rFonts w:ascii="Calibri" w:hAnsi="Calibri"/>
          <w:b/>
          <w:i w:val="0"/>
          <w:sz w:val="20"/>
        </w:rPr>
        <w:t xml:space="preserve">Webhook de atualização de autorização — 12h. </w:t>
      </w:r>
      <w:r>
        <w:rPr>
          <w:rFonts w:ascii="Calibri" w:hAnsi="Calibri"/>
          <w:b w:val="0"/>
          <w:i w:val="0"/>
          <w:sz w:val="20"/>
        </w:rPr>
        <w:t>Receber da Mundial o aviso de mudança na autorização de tratamento de dados.</w:t>
      </w:r>
    </w:p>
    <w:p>
      <w:pPr>
        <w:spacing w:before="0" w:after="60"/>
        <w:ind w:left="340"/>
        <w:jc w:val="both"/>
      </w:pPr>
      <w:r>
        <w:rPr>
          <w:rFonts w:ascii="Calibri" w:hAnsi="Calibri"/>
          <w:b w:val="0"/>
          <w:i w:val="0"/>
          <w:sz w:val="20"/>
        </w:rPr>
        <w:t>A Mundial notifica mudanças em um endereço fornecido por nós. É a única parte do projeto em que o BRS Cloud expõe um endereço em vez de consumir: ele precisa seguir os lineamentos de API do fornecedor e validar a autenticidade do aviso pelo serviço de verificação de token indicado no manual.</w:t>
      </w:r>
    </w:p>
    <w:p>
      <w:pPr>
        <w:spacing w:after="60"/>
        <w:ind w:left="340"/>
        <w:jc w:val="both"/>
      </w:pPr>
      <w:r>
        <w:rPr>
          <w:rFonts w:ascii="Calibri" w:hAnsi="Calibri"/>
          <w:b/>
          <w:i/>
          <w:sz w:val="19"/>
        </w:rPr>
        <w:t xml:space="preserve">Risco: </w:t>
      </w:r>
      <w:r>
        <w:rPr>
          <w:rFonts w:ascii="Calibri" w:hAnsi="Calibri"/>
          <w:b w:val="0"/>
          <w:i/>
          <w:sz w:val="19"/>
        </w:rPr>
        <w:t>É a única ponta exposta ao exterior. Exige análise de segurança e decisão de infraestrutura sobre onde publicar o endereço.</w:t>
      </w:r>
    </w:p>
    <w:p>
      <w:pPr>
        <w:pStyle w:val="ListBullet"/>
        <w:spacing w:after="40"/>
        <w:ind w:left="624"/>
        <w:jc w:val="both"/>
      </w:pPr>
      <w:r>
        <w:rPr>
          <w:rFonts w:ascii="Calibri" w:hAnsi="Calibri"/>
          <w:sz w:val="19"/>
        </w:rPr>
        <w:t>Definir com a infraestrutura onde publicar o endereço</w:t>
      </w:r>
    </w:p>
    <w:p>
      <w:pPr>
        <w:pStyle w:val="ListBullet"/>
        <w:spacing w:after="40"/>
        <w:ind w:left="624"/>
        <w:jc w:val="both"/>
      </w:pPr>
      <w:r>
        <w:rPr>
          <w:rFonts w:ascii="Calibri" w:hAnsi="Calibri"/>
          <w:sz w:val="19"/>
        </w:rPr>
        <w:t>Implementar o recebimento da notificação</w:t>
      </w:r>
    </w:p>
    <w:p>
      <w:pPr>
        <w:pStyle w:val="ListBullet"/>
        <w:spacing w:after="40"/>
        <w:ind w:left="624"/>
        <w:jc w:val="both"/>
      </w:pPr>
      <w:r>
        <w:rPr>
          <w:rFonts w:ascii="Calibri" w:hAnsi="Calibri"/>
          <w:sz w:val="19"/>
        </w:rPr>
        <w:t>Validar a autenticidade do aviso</w:t>
      </w:r>
    </w:p>
    <w:p>
      <w:pPr>
        <w:pStyle w:val="ListBullet"/>
        <w:spacing w:after="40"/>
        <w:ind w:left="624"/>
        <w:jc w:val="both"/>
      </w:pPr>
      <w:r>
        <w:rPr>
          <w:rFonts w:ascii="Calibri" w:hAnsi="Calibri"/>
          <w:sz w:val="19"/>
        </w:rPr>
        <w:t>Atualizar a autorização vigente</w:t>
      </w:r>
    </w:p>
    <w:p>
      <w:pPr>
        <w:pStyle w:val="ListBullet"/>
        <w:spacing w:after="40"/>
        <w:ind w:left="624"/>
        <w:jc w:val="both"/>
      </w:pPr>
      <w:r>
        <w:rPr>
          <w:rFonts w:ascii="Calibri" w:hAnsi="Calibri"/>
          <w:sz w:val="19"/>
        </w:rPr>
        <w:t>Garantir idempotência do recebimento</w:t>
      </w:r>
    </w:p>
    <w:p>
      <w:pPr>
        <w:spacing w:before="0" w:after="80"/>
        <w:jc w:val="both"/>
      </w:pPr>
    </w:p>
    <w:p>
      <w:pPr>
        <w:spacing w:after="120"/>
        <w:jc w:val="both"/>
      </w:pPr>
      <w:r>
        <w:rPr>
          <w:rFonts w:ascii="Calibri" w:hAnsi="Calibri"/>
          <w:b/>
          <w:i w:val="0"/>
          <w:sz w:val="20"/>
        </w:rPr>
        <w:t xml:space="preserve">Tela de consulta e registro da autorização — 8h. </w:t>
      </w:r>
      <w:r>
        <w:rPr>
          <w:rFonts w:ascii="Calibri" w:hAnsi="Calibri"/>
          <w:b w:val="0"/>
          <w:i w:val="0"/>
          <w:sz w:val="20"/>
        </w:rPr>
        <w:t>Permitir consultar e registrar a autorização do segurado pelo sistema.</w:t>
      </w:r>
    </w:p>
    <w:p>
      <w:pPr>
        <w:spacing w:before="0" w:after="60"/>
        <w:ind w:left="340"/>
        <w:jc w:val="both"/>
      </w:pPr>
      <w:r>
        <w:rPr>
          <w:rFonts w:ascii="Calibri" w:hAnsi="Calibri"/>
          <w:b w:val="0"/>
          <w:i w:val="0"/>
          <w:sz w:val="20"/>
        </w:rPr>
        <w:t>Sem tela, a autorização só existe na Mundial e quem atende não a enxerga.</w:t>
      </w:r>
    </w:p>
    <w:p>
      <w:pPr>
        <w:pStyle w:val="ListBullet"/>
        <w:spacing w:after="40"/>
        <w:ind w:left="624"/>
        <w:jc w:val="both"/>
      </w:pPr>
      <w:r>
        <w:rPr>
          <w:rFonts w:ascii="Calibri" w:hAnsi="Calibri"/>
          <w:sz w:val="19"/>
        </w:rPr>
        <w:t>Criar a tela de consulta e registro</w:t>
      </w:r>
    </w:p>
    <w:p>
      <w:pPr>
        <w:pStyle w:val="ListBullet"/>
        <w:spacing w:after="40"/>
        <w:ind w:left="624"/>
        <w:jc w:val="both"/>
      </w:pPr>
      <w:r>
        <w:rPr>
          <w:rFonts w:ascii="Calibri" w:hAnsi="Calibri"/>
          <w:sz w:val="19"/>
        </w:rPr>
        <w:t>Exibir autorização vigente e histórico</w:t>
      </w:r>
    </w:p>
    <w:p>
      <w:pPr>
        <w:pStyle w:val="ListBullet"/>
        <w:spacing w:after="40"/>
        <w:ind w:left="624"/>
        <w:jc w:val="both"/>
      </w:pPr>
      <w:r>
        <w:rPr>
          <w:rFonts w:ascii="Calibri" w:hAnsi="Calibri"/>
          <w:sz w:val="19"/>
        </w:rPr>
        <w:t>Implementar registro e revogação</w:t>
      </w:r>
    </w:p>
    <w:p>
      <w:pPr>
        <w:pStyle w:val="ListBullet"/>
        <w:spacing w:after="40"/>
        <w:ind w:left="624"/>
        <w:jc w:val="both"/>
      </w:pPr>
      <w:r>
        <w:rPr>
          <w:rFonts w:ascii="Calibri" w:hAnsi="Calibri"/>
          <w:sz w:val="19"/>
        </w:rPr>
        <w:t>Incluir traduções e permissão de acesso</w:t>
      </w:r>
    </w:p>
    <w:p>
      <w:pPr>
        <w:spacing w:before="0" w:after="80"/>
        <w:jc w:val="both"/>
      </w:pP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