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LTDEV-2 – Configuração do EmailIndexingService</w:t>
      </w:r>
    </w:p>
    <w:p>
      <w:pPr/>
      <w:r>
        <w:t xml:space="preserve">Oct 22, 2026</w:t>
      </w:r>
      <w:r>
        <w:t xml:space="preserve"> · </w:t>
      </w:r>
      <w:r>
        <w:t xml:space="preserve">@Nelson</w:t>
      </w:r>
    </w:p>
    <w:p>
      <w:pPr>
        <w:pStyle w:val="Heading2"/>
      </w:pPr>
      <w:r>
        <w:t xml:space="preserve">Visão geral</w:t>
      </w:r>
    </w:p>
    <w:p>
      <w:pPr/>
      <w:r>
        <w:t xml:space="preserve">O EmailIndexingService lê a caixa de e-mail monitorada pelo Microsoft Graph e anexa cada e-mail ao sinistro cujo código está no assunto. Ele usa o código do BRSCloud-Backend por referência de projeto e não tem consulta própria ao banco.</w:t>
      </w:r>
    </w:p>
    <w:p>
      <w:pPr/>
      <w:r>
        <w:t xml:space="preserve">O que acontece com cada e-mail:</w:t>
      </w:r>
    </w:p>
    <w:p>
      <w:pPr>
        <w:pStyle w:val="ListParagraph"/>
        <w:numPr>
          <w:ilvl w:val="0"/>
          <w:numId w:val="2"/>
        </w:numPr>
      </w:pPr>
      <w:r>
        <w:t xml:space="preserve">O serviço lê a Caixa de Entrada e procura o código do sinistro no assunto (ex.: </w:t>
      </w:r>
      <w:r>
        <w:rPr>
          <w:rStyle w:val="CodeChar"/>
        </w:rPr>
        <w:t xml:space="preserve">BR26009750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Grava o </w:t>
      </w:r>
      <w:r>
        <w:rPr>
          <w:rStyle w:val="CodeChar"/>
        </w:rPr>
        <w:t xml:space="preserve">.msg</w:t>
      </w:r>
      <w:r>
        <w:t xml:space="preserve"> e os anexos na pasta compartilhada (</w:t>
      </w:r>
      <w:r>
        <w:rPr>
          <w:rStyle w:val="CodeChar"/>
        </w:rPr>
        <w:t xml:space="preserve">Files.Temp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Anexa no sinistro: o </w:t>
      </w:r>
      <w:r>
        <w:rPr>
          <w:rStyle w:val="CodeChar"/>
        </w:rPr>
        <w:t xml:space="preserve">.msg</w:t>
      </w:r>
      <w:r>
        <w:t xml:space="preserve"> na pasta mestre de E-mails e os anexos na de Documentos.</w:t>
      </w:r>
    </w:p>
    <w:p>
      <w:pPr>
        <w:pStyle w:val="ListParagraph"/>
        <w:numPr>
          <w:ilvl w:val="0"/>
          <w:numId w:val="2"/>
        </w:numPr>
      </w:pPr>
      <w:r>
        <w:t xml:space="preserve">Preenche "Comunicação/e-mail recebido" na cronologia, se o remetente for externo e o campo estiver vazio.</w:t>
      </w:r>
    </w:p>
    <w:p>
      <w:pPr>
        <w:pStyle w:val="ListParagraph"/>
        <w:numPr>
          <w:ilvl w:val="0"/>
          <w:numId w:val="2"/>
        </w:numPr>
      </w:pPr>
      <w:r>
        <w:t xml:space="preserve">Avisa o regulador principal pelo Service-Email.</w:t>
      </w:r>
    </w:p>
    <w:p>
      <w:pPr>
        <w:pStyle w:val="ListParagraph"/>
        <w:numPr>
          <w:ilvl w:val="0"/>
          <w:numId w:val="2"/>
        </w:numPr>
      </w:pPr>
      <w:r>
        <w:t xml:space="preserve">Move o e-mail para </w:t>
      </w:r>
      <w:r>
        <w:rPr>
          <w:b/>
        </w:rPr>
        <w:t xml:space="preserve">Processados</w:t>
      </w:r>
      <w:r>
        <w:t xml:space="preserve">. Se for recusado, encaminha ao tratamento manual com o motivo e move para </w:t>
      </w:r>
      <w:r>
        <w:rPr>
          <w:b/>
        </w:rPr>
        <w:t xml:space="preserve">Rejeitados</w:t>
      </w:r>
      <w:r>
        <w:t xml:space="preserve">. Nos dois casos o e-mail fica como não lido.</w:t>
      </w:r>
    </w:p>
    <w:p>
      <w:pPr/>
      <w:r>
        <w:t xml:space="preserve">Para configurar, são 7 passos, nesta ordem: repositórios, compilação, banco, Azure, configuração do serviço, execução e conferência.</w:t>
      </w:r>
    </w:p>
    <w:p>
      <w:pPr>
        <w:pStyle w:val="Heading2"/>
      </w:pPr>
      <w:r>
        <w:t xml:space="preserve">Pré-requisitos</w:t>
      </w:r>
    </w:p>
    <w:p>
      <w:pPr/>
      <w:r>
        <w:t xml:space="preserve">Antes de começar, confira que estes itens estão disponíveis.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20"/>
        <w:gridCol w:w="4440"/>
      </w:tblGrid>
      <w:tr>
        <w:trPr>
          <w:tblHeader/>
        </w:trPr>
        <w:tc>
          <w:tcPr>
            <w:tcW w:w="492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440" w:type="dxa"/>
            <w:shd w:val="clear" w:color="auto" w:fill="F2F2F2"/>
          </w:tcPr>
          <w:p>
            <w:pPr/>
            <w:r>
              <w:t xml:space="preserve">Para quê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Visual Studio com o SDK do .NET Core 3.1</w:t>
            </w:r>
          </w:p>
        </w:tc>
        <w:tc>
          <w:tcPr>
            <w:tcW w:w="4440" w:type="dxa"/>
          </w:tcPr>
          <w:p>
            <w:pPr/>
            <w:r>
              <w:t xml:space="preserve">compilar o serviço e os projetos do backend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Git com acesso aos repositórios BRSCloud-Backend, Crawford-Framework e Service-ClaimEmailAutomation</w:t>
            </w:r>
          </w:p>
        </w:tc>
        <w:tc>
          <w:tcPr>
            <w:tcW w:w="4440" w:type="dxa"/>
          </w:tcPr>
          <w:p>
            <w:pPr/>
            <w:r>
              <w:t xml:space="preserve">baixar o código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Acesso ao SQL Server do ambiente (OneCrawfordDB, LogDB e LocalizationsDB)</w:t>
            </w:r>
          </w:p>
        </w:tc>
        <w:tc>
          <w:tcPr>
            <w:tcW w:w="4440" w:type="dxa"/>
          </w:tcPr>
          <w:p>
            <w:pPr/>
            <w:r>
              <w:t xml:space="preserve">rodar os scripts e configurar o país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RabbitMQ do ambiente (o mesmo da API)</w:t>
            </w:r>
          </w:p>
        </w:tc>
        <w:tc>
          <w:tcPr>
            <w:tcW w:w="4440" w:type="dxa"/>
          </w:tcPr>
          <w:p>
            <w:pPr/>
            <w:r>
              <w:t xml:space="preserve">log, auditoria, aviso ao regulador e integração de arquivos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Serviço de integração do país rodando</w:t>
            </w:r>
          </w:p>
        </w:tc>
        <w:tc>
          <w:tcPr>
            <w:tcW w:w="4440" w:type="dxa"/>
          </w:tcPr>
          <w:p>
            <w:pPr/>
            <w:r>
              <w:t xml:space="preserve">mover o arquivo e gravar a cronologia quando </w:t>
            </w:r>
            <w:r>
              <w:rPr>
                <w:rStyle w:val="CodeChar"/>
              </w:rPr>
              <w:t xml:space="preserve">hasFile = 0</w:t>
            </w:r>
            <w:r>
              <w:t xml:space="preserve"> ou </w:t>
            </w:r>
            <w:r>
              <w:rPr>
                <w:rStyle w:val="CodeChar"/>
              </w:rPr>
              <w:t xml:space="preserve">hasFinance = 0</w:t>
            </w:r>
            <w:r>
              <w:t xml:space="preserve"> (caso do Brasil)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Pasta compartilhada com o mesmo caminho de rede para o serviço e para a API</w:t>
            </w:r>
          </w:p>
        </w:tc>
        <w:tc>
          <w:tcPr>
            <w:tcW w:w="4440" w:type="dxa"/>
          </w:tcPr>
          <w:p>
            <w:pPr/>
            <w:r>
              <w:t xml:space="preserve">o serviço grava os anexos e a API lê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Caixa monitorada e endereço de tratamento manual (ex.: </w:t>
            </w:r>
            <w:r>
              <w:rPr>
                <w:rStyle w:val="CodeChar"/>
              </w:rPr>
              <w:t xml:space="preserve">central.recebimento@</w:t>
            </w:r>
            <w:r>
              <w:t xml:space="preserve"> e </w:t>
            </w:r>
            <w:r>
              <w:rPr>
                <w:rStyle w:val="CodeChar"/>
              </w:rPr>
              <w:t xml:space="preserve">rejeitados@</w:t>
            </w:r>
            <w:r>
              <w:t xml:space="preserve">)</w:t>
            </w:r>
          </w:p>
        </w:tc>
        <w:tc>
          <w:tcPr>
            <w:tcW w:w="4440" w:type="dxa"/>
          </w:tcPr>
          <w:p>
            <w:pPr/>
            <w:r>
              <w:t xml:space="preserve">origem dos e-mails e destino dos recusados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Aplicativo registrado no Azure AD (passo 4)</w:t>
            </w:r>
          </w:p>
        </w:tc>
        <w:tc>
          <w:tcPr>
            <w:tcW w:w="4440" w:type="dxa"/>
          </w:tcPr>
          <w:p>
            <w:pPr/>
            <w:r>
              <w:t xml:space="preserve">acesso do serviço à caixa pelo Graph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Usuário de serviço no BRS Cloud (</w:t>
            </w:r>
            <w:r>
              <w:rPr>
                <w:rStyle w:val="CodeChar"/>
              </w:rPr>
              <w:t xml:space="preserve">usr.UserX</w:t>
            </w:r>
            <w:r>
              <w:t xml:space="preserve">), ativo, do país atendido e com acesso a todas as operações</w:t>
            </w:r>
          </w:p>
        </w:tc>
        <w:tc>
          <w:tcPr>
            <w:tcW w:w="4440" w:type="dxa"/>
          </w:tcPr>
          <w:p>
            <w:pPr/>
            <w:r>
              <w:t xml:space="preserve">o serviço grava em nome dele; o país do usuário define a configuração usada</w:t>
            </w:r>
          </w:p>
        </w:tc>
      </w:tr>
    </w:tbl>
    <w:p>
      <w:pPr>
        <w:pStyle w:val="Heading2"/>
      </w:pPr>
      <w:r>
        <w:t xml:space="preserve">Passo 1 – Baixar os repositórios lado a lado</w:t>
      </w:r>
    </w:p>
    <w:p>
      <w:pPr/>
      <w:r>
        <w:t xml:space="preserve">Os três repositórios ficam na mesma pasta, porque o serviço referencia </w:t>
      </w:r>
      <w:r>
        <w:rPr>
          <w:rStyle w:val="CodeChar"/>
        </w:rPr>
        <w:t xml:space="preserve">..\..\BRSCloud-Backend</w:t>
      </w:r>
      <w:r>
        <w:t xml:space="preserve"> e </w:t>
      </w:r>
      <w:r>
        <w:rPr>
          <w:rStyle w:val="CodeChar"/>
        </w:rPr>
        <w:t xml:space="preserve">..\..\Crawford-Framework</w:t>
      </w:r>
      <w:r>
        <w:t xml:space="preserve">, como o Service-IntegracaoBRS.</w:t>
      </w:r>
    </w:p>
    <w:p>
      <w:pPr>
        <w:pStyle w:val="Code"/>
      </w:pPr>
      <w:r>
        <w:t xml:space="preserve">C:\Projetos\</w:t>
        <w:br/>
        <w:t xml:space="preserve">  BRSCloud-Backend\              branch staging-latam</w:t>
        <w:br/>
        <w:t xml:space="preserve">  Crawford-Framework\            branch main</w:t>
        <w:br/>
        <w:t xml:space="preserve">  Service-ClaimEmailAutomation\  branch main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08"/>
        <w:gridCol w:w="1796"/>
        <w:gridCol w:w="4856"/>
      </w:tblGrid>
      <w:tr>
        <w:trPr>
          <w:tblHeader/>
        </w:trPr>
        <w:tc>
          <w:tcPr>
            <w:tcW w:w="2708" w:type="dxa"/>
            <w:shd w:val="clear" w:color="auto" w:fill="F2F2F2"/>
          </w:tcPr>
          <w:p>
            <w:pPr/>
            <w:r>
              <w:t xml:space="preserve">Repositório</w:t>
            </w:r>
          </w:p>
        </w:tc>
        <w:tc>
          <w:tcPr>
            <w:tcW w:w="1796" w:type="dxa"/>
            <w:shd w:val="clear" w:color="auto" w:fill="F2F2F2"/>
          </w:tcPr>
          <w:p>
            <w:pPr/>
            <w:r>
              <w:t xml:space="preserve">Branch</w:t>
            </w:r>
          </w:p>
        </w:tc>
        <w:tc>
          <w:tcPr>
            <w:tcW w:w="4856" w:type="dxa"/>
            <w:shd w:val="clear" w:color="auto" w:fill="F2F2F2"/>
          </w:tcPr>
          <w:p>
            <w:pPr/>
            <w:r>
              <w:t xml:space="preserve">Por quê</w:t>
            </w:r>
          </w:p>
        </w:tc>
      </w:tr>
      <w:tr>
        <w:tc>
          <w:tcPr>
            <w:tcW w:w="2708" w:type="dxa"/>
          </w:tcPr>
          <w:p>
            <w:pPr/>
            <w:r>
              <w:t xml:space="preserve">BRSCloud-Backend</w:t>
            </w:r>
          </w:p>
        </w:tc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staging-latam</w:t>
            </w:r>
          </w:p>
        </w:tc>
        <w:tc>
          <w:tcPr>
            <w:tcW w:w="4856" w:type="dxa"/>
          </w:tcPr>
          <w:p>
            <w:pPr/>
            <w:r>
              <w:t xml:space="preserve">tem o #358 e o #371. No </w:t>
            </w:r>
            <w:r>
              <w:rPr>
                <w:rStyle w:val="CodeChar"/>
              </w:rPr>
              <w:t xml:space="preserve">main</w:t>
            </w:r>
            <w:r>
              <w:t xml:space="preserve"> faltam os campos </w:t>
            </w:r>
            <w:r>
              <w:rPr>
                <w:rStyle w:val="CodeChar"/>
              </w:rPr>
              <w:t xml:space="preserve">EmailIndexing*</w:t>
            </w:r>
            <w:r>
              <w:t xml:space="preserve"> do ParameterRoot, </w:t>
            </w:r>
            <w:r>
              <w:rPr>
                <w:rStyle w:val="CodeChar"/>
              </w:rPr>
              <w:t xml:space="preserve">ExternalMessageId</w:t>
            </w:r>
            <w:r>
              <w:t xml:space="preserve"> e </w:t>
            </w:r>
            <w:r>
              <w:rPr>
                <w:rStyle w:val="CodeChar"/>
              </w:rPr>
              <w:t xml:space="preserve">LastEmailReceivedDoneDate</w:t>
            </w:r>
            <w:r>
              <w:t xml:space="preserve">, e o serviço não compila</w:t>
            </w:r>
          </w:p>
        </w:tc>
      </w:tr>
      <w:tr>
        <w:tc>
          <w:tcPr>
            <w:tcW w:w="2708" w:type="dxa"/>
          </w:tcPr>
          <w:p>
            <w:pPr/>
            <w:r>
              <w:t xml:space="preserve">Crawford-Framework</w:t>
            </w:r>
          </w:p>
        </w:tc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main</w:t>
            </w:r>
          </w:p>
        </w:tc>
        <w:tc>
          <w:tcPr>
            <w:tcW w:w="4856" w:type="dxa"/>
          </w:tcPr>
          <w:p>
            <w:pPr/>
            <w:r>
              <w:t xml:space="preserve">tem o </w:t>
            </w:r>
            <w:r>
              <w:rPr>
                <w:rStyle w:val="CodeChar"/>
              </w:rPr>
              <w:t xml:space="preserve">DpapiConfigurationSource</w:t>
            </w:r>
            <w:r>
              <w:t xml:space="preserve"> e os demais projetos usados</w:t>
            </w:r>
          </w:p>
        </w:tc>
      </w:tr>
      <w:tr>
        <w:tc>
          <w:tcPr>
            <w:tcW w:w="2708" w:type="dxa"/>
          </w:tcPr>
          <w:p>
            <w:pPr/>
            <w:r>
              <w:t xml:space="preserve">Service-ClaimEmailAutomation</w:t>
            </w:r>
          </w:p>
        </w:tc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main</w:t>
            </w:r>
          </w:p>
        </w:tc>
        <w:tc>
          <w:tcPr>
            <w:tcW w:w="4856" w:type="dxa"/>
          </w:tcPr>
          <w:p>
            <w:pPr/>
            <w:r>
              <w:t xml:space="preserve">tem o #1 e o #3 (solution com os projetos do backend e do framework)</w:t>
            </w:r>
          </w:p>
        </w:tc>
      </w:tr>
    </w:tbl>
    <w:p>
      <w:pPr/>
      <w:r>
        <w:t xml:space="preserve">Comandos, em cada repositório:</w:t>
      </w:r>
    </w:p>
    <w:p>
      <w:pPr>
        <w:pStyle w:val="Code"/>
      </w:pPr>
      <w:r>
        <w:t xml:space="preserve">cd C:\Projetos\BRSCloud-Backend</w:t>
        <w:br/>
        <w:t xml:space="preserve">git checkout staging-latam</w:t>
        <w:br/>
        <w:t xml:space="preserve">git pull</w:t>
        <w:br/>
        <w:br/>
        <w:t xml:space="preserve">cd C:\Projetos\Crawford-Framework</w:t>
        <w:br/>
        <w:t xml:space="preserve">git checkout main</w:t>
        <w:br/>
        <w:t xml:space="preserve">git pull</w:t>
        <w:br/>
        <w:br/>
        <w:t xml:space="preserve">cd C:\Projetos\Service-ClaimEmailAutomation</w:t>
        <w:br/>
        <w:t xml:space="preserve">git checkout main</w:t>
        <w:br/>
        <w:t xml:space="preserve">git pull</w:t>
      </w:r>
    </w:p>
    <w:p>
      <w:pPr>
        <w:pStyle w:val="ListParagraph"/>
        <w:numPr>
          <w:ilvl w:val="0"/>
          <w:numId w:val="3"/>
        </w:numPr>
      </w:pPr>
      <w:r>
        <w:t xml:space="preserve">☐ Pastas com exatamente estes nomes, lado a lado</w:t>
      </w:r>
    </w:p>
    <w:p>
      <w:pPr>
        <w:pStyle w:val="ListParagraph"/>
        <w:numPr>
          <w:ilvl w:val="0"/>
          <w:numId w:val="3"/>
        </w:numPr>
      </w:pPr>
      <w:r>
        <w:t xml:space="preserve">☐ Cada repositório na branch da tabela e atualizado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rStyle w:val="CodeChar"/>
        </w:rPr>
        <w:t xml:space="preserve">git status</w:t>
      </w:r>
      <w:r>
        <w:t xml:space="preserve"> sem alterações locais nos três</w:t>
      </w:r>
    </w:p>
    <w:p>
      <w:pPr>
        <w:pStyle w:val="Heading2"/>
      </w:pPr>
      <w:r>
        <w:t xml:space="preserve">Passo 2 – Abrir e compilar a solution</w:t>
      </w:r>
    </w:p>
    <w:p>
      <w:pPr/>
      <w:r>
        <w:t xml:space="preserve">Abra sempre a </w:t>
      </w:r>
      <w:r>
        <w:rPr>
          <w:rStyle w:val="CodeChar"/>
        </w:rPr>
        <w:t xml:space="preserve">slnEmailIndexingService.sln</w:t>
      </w:r>
      <w:r>
        <w:t xml:space="preserve">: ela já traz os 26 projetos do backend e os 10 do framework que o serviço usa.</w:t>
      </w:r>
    </w:p>
    <w:p>
      <w:pPr>
        <w:pStyle w:val="ListParagraph"/>
        <w:numPr>
          <w:ilvl w:val="0"/>
          <w:numId w:val="4"/>
        </w:numPr>
      </w:pPr>
      <w:r>
        <w:t xml:space="preserve">Feche o Visual Studio.</w:t>
      </w:r>
    </w:p>
    <w:p>
      <w:pPr>
        <w:pStyle w:val="ListParagraph"/>
        <w:numPr>
          <w:ilvl w:val="0"/>
          <w:numId w:val="4"/>
        </w:numPr>
      </w:pPr>
      <w:r>
        <w:t xml:space="preserve">Apague a cache, para o Visual Studio não usar referências antigas (foi a causa do NU1105 depois do merge):</w:t>
      </w:r>
    </w:p>
    <w:p>
      <w:pPr>
        <w:pStyle w:val="ListParagraph"/>
        <w:numPr>
          <w:ilvl w:val="1"/>
          <w:numId w:val="5"/>
        </w:numPr>
      </w:pPr>
      <w:r>
        <w:t xml:space="preserve">a pasta </w:t>
      </w:r>
      <w:r>
        <w:rPr>
          <w:rStyle w:val="CodeChar"/>
        </w:rPr>
        <w:t xml:space="preserve">.vs</w:t>
      </w:r>
      <w:r>
        <w:t xml:space="preserve"> em </w:t>
      </w:r>
      <w:r>
        <w:rPr>
          <w:rStyle w:val="CodeChar"/>
        </w:rPr>
        <w:t xml:space="preserve">C:\Projetos\Service-ClaimEmailAutomation</w:t>
      </w:r>
      <w:r>
        <w:t xml:space="preserve">;</w:t>
      </w:r>
    </w:p>
    <w:p>
      <w:pPr>
        <w:pStyle w:val="ListParagraph"/>
        <w:numPr>
          <w:ilvl w:val="1"/>
          <w:numId w:val="5"/>
        </w:numPr>
      </w:pPr>
      <w:r>
        <w:t xml:space="preserve">as pastas </w:t>
      </w:r>
      <w:r>
        <w:rPr>
          <w:rStyle w:val="CodeChar"/>
        </w:rPr>
        <w:t xml:space="preserve">obj</w:t>
      </w:r>
      <w:r>
        <w:t xml:space="preserve"> e </w:t>
      </w:r>
      <w:r>
        <w:rPr>
          <w:rStyle w:val="CodeChar"/>
        </w:rPr>
        <w:t xml:space="preserve">bin</w:t>
      </w:r>
      <w:r>
        <w:t xml:space="preserve"> do serviço e dos projetos do backend e do framework.</w:t>
      </w:r>
    </w:p>
    <w:p>
      <w:pPr>
        <w:pStyle w:val="ListParagraph"/>
        <w:numPr>
          <w:ilvl w:val="0"/>
          <w:numId w:val="4"/>
        </w:numPr>
      </w:pPr>
      <w:r>
        <w:t xml:space="preserve">Abra </w:t>
      </w:r>
      <w:r>
        <w:rPr>
          <w:rStyle w:val="CodeChar"/>
        </w:rPr>
        <w:t xml:space="preserve">C:\Projetos\Service-ClaimEmailAutomation\slnEmailIndexingService.sln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No Solution Explorer, abra as pastas </w:t>
      </w:r>
      <w:r>
        <w:rPr>
          <w:b/>
        </w:rPr>
        <w:t xml:space="preserve">Backend</w:t>
      </w:r>
      <w:r>
        <w:t xml:space="preserve"> e </w:t>
      </w:r>
      <w:r>
        <w:rPr>
          <w:b/>
        </w:rPr>
        <w:t xml:space="preserve">Framework</w:t>
      </w:r>
      <w:r>
        <w:t xml:space="preserve"> e confira que nenhum projeto aparece como não carregado.</w:t>
      </w:r>
    </w:p>
    <w:p>
      <w:pPr>
        <w:pStyle w:val="ListParagraph"/>
        <w:numPr>
          <w:ilvl w:val="0"/>
          <w:numId w:val="4"/>
        </w:numPr>
      </w:pPr>
      <w:r>
        <w:t xml:space="preserve">Clique com o botão direito na solution e escolha </w:t>
      </w:r>
      <w:r>
        <w:rPr>
          <w:b/>
        </w:rPr>
        <w:t xml:space="preserve">Restore NuGet Packages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Build &gt; Rebuild Solution</w:t>
      </w:r>
      <w:r>
        <w:t xml:space="preserve">. O resultado esperado é 0 erros. Os warnings de pacote </w:t>
      </w:r>
      <w:r>
        <w:rPr>
          <w:rStyle w:val="CodeChar"/>
        </w:rPr>
        <w:t xml:space="preserve">doesn't support netcoreapp3.1</w:t>
      </w:r>
      <w:r>
        <w:t xml:space="preserve"> já existiam e podem ser ignorados.</w:t>
      </w:r>
    </w:p>
    <w:p>
      <w:pPr/>
      <w:r>
        <w:t xml:space="preserve">Pela linha de comando, o equivalente é:</w:t>
      </w:r>
    </w:p>
    <w:p>
      <w:pPr>
        <w:pStyle w:val="Code"/>
      </w:pPr>
      <w:r>
        <w:t xml:space="preserve">cd C:\Projetos\Service-ClaimEmailAutomation</w:t>
        <w:br/>
        <w:t xml:space="preserve">dotnet restore slnEmailIndexingService.sln</w:t>
        <w:br/>
        <w:t xml:space="preserve">dotnet build slnEmailIndexingService.sln</w:t>
      </w:r>
    </w:p>
    <w:p>
      <w:pPr>
        <w:pStyle w:val="Heading2"/>
      </w:pPr>
      <w:r>
        <w:t xml:space="preserve">Passo 3 – Banco de dados</w:t>
      </w:r>
    </w:p>
    <w:p>
      <w:pPr/>
      <w:r>
        <w:t xml:space="preserve">Rode os scripts de </w:t>
      </w:r>
      <w:r>
        <w:rPr>
          <w:rStyle w:val="CodeChar"/>
        </w:rPr>
        <w:t xml:space="preserve">BRSCloud-Backend\OneCrawford.Infra.Database.SqlServer\_executar\</w:t>
      </w:r>
      <w:r>
        <w:t xml:space="preserve"> nesta ordem. Todos são idempotentes, ou seja, podem rodar de novo sem efeito.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15"/>
        <w:gridCol w:w="2340"/>
        <w:gridCol w:w="1976"/>
        <w:gridCol w:w="4129"/>
      </w:tblGrid>
      <w:tr>
        <w:trPr>
          <w:tblHeader/>
        </w:trPr>
        <w:tc>
          <w:tcPr>
            <w:tcW w:w="915" w:type="dxa"/>
            <w:shd w:val="clear" w:color="auto" w:fill="F2F2F2"/>
          </w:tcPr>
          <w:p>
            <w:pPr/>
            <w:r>
              <w:t xml:space="preserve">Ordem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Script</w:t>
            </w:r>
          </w:p>
        </w:tc>
        <w:tc>
          <w:tcPr>
            <w:tcW w:w="1976" w:type="dxa"/>
            <w:shd w:val="clear" w:color="auto" w:fill="F2F2F2"/>
          </w:tcPr>
          <w:p>
            <w:pPr/>
            <w:r>
              <w:t xml:space="preserve">Banco</w:t>
            </w:r>
          </w:p>
        </w:tc>
        <w:tc>
          <w:tcPr>
            <w:tcW w:w="4129" w:type="dxa"/>
            <w:shd w:val="clear" w:color="auto" w:fill="F2F2F2"/>
          </w:tcPr>
          <w:p>
            <w:pPr/>
            <w:r>
              <w:t xml:space="preserve">O que faz</w:t>
            </w:r>
          </w:p>
        </w:tc>
      </w:tr>
      <w:tr>
        <w:tc>
          <w:tcPr>
            <w:tcW w:w="915" w:type="dxa"/>
          </w:tcPr>
          <w:p>
            <w:pPr/>
            <w:r>
              <w:t xml:space="preserve">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DEVLATAM-523 OneCrawfordDB.sql</w:t>
            </w:r>
          </w:p>
        </w:tc>
        <w:tc>
          <w:tcPr>
            <w:tcW w:w="1976" w:type="dxa"/>
          </w:tcPr>
          <w:p>
            <w:pPr/>
            <w:r>
              <w:t xml:space="preserve">OneCrawfordDB</w:t>
            </w:r>
          </w:p>
        </w:tc>
        <w:tc>
          <w:tcPr>
            <w:tcW w:w="4129" w:type="dxa"/>
          </w:tcPr>
          <w:p>
            <w:pPr/>
            <w:r>
              <w:t xml:space="preserve">pré-requisito (</w:t>
            </w:r>
            <w:r>
              <w:rPr>
                <w:rStyle w:val="CodeChar"/>
              </w:rPr>
              <w:t xml:space="preserve">ParameterRoot.CountryCode</w:t>
            </w:r>
            <w:r>
              <w:t xml:space="preserve">); se faltar, o script 1 para com erro</w:t>
            </w:r>
          </w:p>
        </w:tc>
      </w:tr>
      <w:tr>
        <w:tc>
          <w:tcPr>
            <w:tcW w:w="915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LTDEV-2 OneCrawfordDB.sql</w:t>
            </w:r>
          </w:p>
        </w:tc>
        <w:tc>
          <w:tcPr>
            <w:tcW w:w="1976" w:type="dxa"/>
          </w:tcPr>
          <w:p>
            <w:pPr/>
            <w:r>
              <w:t xml:space="preserve">OneCrawfordDB</w:t>
            </w:r>
          </w:p>
        </w:tc>
        <w:tc>
          <w:tcPr>
            <w:tcW w:w="4129" w:type="dxa"/>
          </w:tcPr>
          <w:p>
            <w:pPr/>
            <w:r>
              <w:t xml:space="preserve">colunas novas da cronologia, do anexo e da parametrização por país; a reversão está no fim do arquivo</w:t>
            </w:r>
          </w:p>
        </w:tc>
      </w:tr>
      <w:tr>
        <w:tc>
          <w:tcPr>
            <w:tcW w:w="915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LTDEV-2 Index OneCrawfordDB.sql</w:t>
            </w:r>
          </w:p>
        </w:tc>
        <w:tc>
          <w:tcPr>
            <w:tcW w:w="1976" w:type="dxa"/>
          </w:tcPr>
          <w:p>
            <w:pPr/>
            <w:r>
              <w:t xml:space="preserve">OneCrawfordDB</w:t>
            </w:r>
          </w:p>
        </w:tc>
        <w:tc>
          <w:tcPr>
            <w:tcW w:w="4129" w:type="dxa"/>
          </w:tcPr>
          <w:p>
            <w:pPr/>
            <w:r>
              <w:t xml:space="preserve">índice filtrado; rodar em horário de pouco tráfego</w:t>
            </w:r>
          </w:p>
        </w:tc>
      </w:tr>
      <w:tr>
        <w:tc>
          <w:tcPr>
            <w:tcW w:w="915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LTDEV-2 LocalizationsDB.sql</w:t>
            </w:r>
          </w:p>
        </w:tc>
        <w:tc>
          <w:tcPr>
            <w:tcW w:w="1976" w:type="dxa"/>
          </w:tcPr>
          <w:p>
            <w:pPr/>
            <w:r>
              <w:t xml:space="preserve">LocalizationsDB</w:t>
            </w:r>
          </w:p>
        </w:tc>
        <w:tc>
          <w:tcPr>
            <w:tcW w:w="4129" w:type="dxa"/>
          </w:tcPr>
          <w:p>
            <w:pPr/>
            <w:r>
              <w:t xml:space="preserve">traduções nos 8 idiomas (aviso ao regulador e motivo de recusa)</w:t>
            </w:r>
          </w:p>
        </w:tc>
      </w:tr>
      <w:tr>
        <w:tc>
          <w:tcPr>
            <w:tcW w:w="915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LTDEV-2 Export Tags OneCrawfordDB.sql</w:t>
            </w:r>
          </w:p>
        </w:tc>
        <w:tc>
          <w:tcPr>
            <w:tcW w:w="1976" w:type="dxa"/>
          </w:tcPr>
          <w:p>
            <w:pPr/>
            <w:r>
              <w:t xml:space="preserve">OneCrawfordDB</w:t>
            </w:r>
          </w:p>
        </w:tc>
        <w:tc>
          <w:tcPr>
            <w:tcW w:w="4129" w:type="dxa"/>
          </w:tcPr>
          <w:p>
            <w:pPr/>
            <w:r>
              <w:t xml:space="preserve">campo do card 5 no Exportar dados e nas tags dos modelos</w:t>
            </w:r>
          </w:p>
        </w:tc>
      </w:tr>
    </w:tbl>
    <w:p>
      <w:pPr/>
      <w:r>
        <w:t xml:space="preserve">Depois, configure o país no </w:t>
      </w:r>
      <w:r>
        <w:rPr>
          <w:rStyle w:val="CodeChar"/>
        </w:rPr>
        <w:t xml:space="preserve">ParameterRoot</w:t>
      </w:r>
      <w:r>
        <w:t xml:space="preserve">. Não há tela para isso, por decisão de segurança. Exemplo para o Brasil (</w:t>
      </w:r>
      <w:r>
        <w:rPr>
          <w:rStyle w:val="CodeChar"/>
        </w:rPr>
        <w:t xml:space="preserve">RootId = 1</w:t>
      </w:r>
      <w:r>
        <w:t xml:space="preserve">):</w:t>
      </w:r>
    </w:p>
    <w:p>
      <w:pPr>
        <w:pStyle w:val="Code"/>
      </w:pPr>
      <w:bookmarkStart w:id="1" w:name="bongo_lang_sql_1"/>
      <w:bookmarkEnd w:id="1"/>
      <w:r>
        <w:t xml:space="preserve">update ParameterRoot set</w:t>
        <w:br/>
        <w:t xml:space="preserve">    EmailIndexingMailbox      = 'central.recebimento@crawfordbrasil.com.br',</w:t>
        <w:br/>
        <w:t xml:space="preserve">    EmailIndexingManualBox    = 'rejeitados@crawfordbrasil.com.br',</w:t>
        <w:br/>
        <w:t xml:space="preserve">    EmailIndexingStore        = 1,</w:t>
        <w:br/>
        <w:t xml:space="preserve">    EmailIndexingStoreDays    = 0,</w:t>
        <w:br/>
        <w:t xml:space="preserve">    EmailIndexingLocalDomains = 'crawfordbrasil.com.br',</w:t>
        <w:br/>
        <w:t xml:space="preserve">    EmailIndexingAlertBox     = 'sistemas@crawfordbrasil.com.br'</w:t>
        <w:br/>
        <w:t xml:space="preserve">where RootId = 1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13"/>
        <w:gridCol w:w="5646"/>
      </w:tblGrid>
      <w:tr>
        <w:trPr>
          <w:tblHeader/>
        </w:trPr>
        <w:tc>
          <w:tcPr>
            <w:tcW w:w="3713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5646" w:type="dxa"/>
            <w:shd w:val="clear" w:color="auto" w:fill="F2F2F2"/>
          </w:tcPr>
          <w:p>
            <w:pPr/>
            <w:r>
              <w:t xml:space="preserve">Significado</w:t>
            </w:r>
          </w:p>
        </w:tc>
      </w:tr>
      <w:tr>
        <w:tc>
          <w:tcPr>
            <w:tcW w:w="3713" w:type="dxa"/>
          </w:tcPr>
          <w:p>
            <w:pPr/>
            <w:r>
              <w:rPr>
                <w:rStyle w:val="CodeChar"/>
              </w:rPr>
              <w:t xml:space="preserve">EmailIndexingMailbox</w:t>
            </w:r>
          </w:p>
        </w:tc>
        <w:tc>
          <w:tcPr>
            <w:tcW w:w="5646" w:type="dxa"/>
          </w:tcPr>
          <w:p>
            <w:pPr/>
            <w:r>
              <w:t xml:space="preserve">caixa monitorada; vazio = o país não é varrido</w:t>
            </w:r>
          </w:p>
        </w:tc>
      </w:tr>
      <w:tr>
        <w:tc>
          <w:tcPr>
            <w:tcW w:w="3713" w:type="dxa"/>
          </w:tcPr>
          <w:p>
            <w:pPr/>
            <w:r>
              <w:rPr>
                <w:rStyle w:val="CodeChar"/>
              </w:rPr>
              <w:t xml:space="preserve">EmailIndexingManualBox</w:t>
            </w:r>
          </w:p>
        </w:tc>
        <w:tc>
          <w:tcPr>
            <w:tcW w:w="5646" w:type="dxa"/>
          </w:tcPr>
          <w:p>
            <w:pPr/>
            <w:r>
              <w:t xml:space="preserve">para onde os recusados são encaminhados; vazio = só vão para Rejeitados</w:t>
            </w:r>
          </w:p>
        </w:tc>
      </w:tr>
      <w:tr>
        <w:tc>
          <w:tcPr>
            <w:tcW w:w="3713" w:type="dxa"/>
          </w:tcPr>
          <w:p>
            <w:pPr/>
            <w:r>
              <w:rPr>
                <w:rStyle w:val="CodeChar"/>
              </w:rPr>
              <w:t xml:space="preserve">EmailIndexingStore</w:t>
            </w:r>
          </w:p>
        </w:tc>
        <w:tc>
          <w:tcPr>
            <w:tcW w:w="5646" w:type="dxa"/>
          </w:tcPr>
          <w:p>
            <w:pPr/>
            <w:r>
              <w:t xml:space="preserve">1 = guarda os e-mails em Processados e Rejeitados; </w:t>
            </w:r>
            <w:r>
              <w:rPr>
                <w:b/>
              </w:rPr>
              <w:t xml:space="preserve">0 = o expurgo exclui tudo dessas pastas</w:t>
            </w:r>
            <w:r>
              <w:t xml:space="preserve">; NULL = nunca apaga</w:t>
            </w:r>
          </w:p>
        </w:tc>
      </w:tr>
      <w:tr>
        <w:tc>
          <w:tcPr>
            <w:tcW w:w="3713" w:type="dxa"/>
          </w:tcPr>
          <w:p>
            <w:pPr/>
            <w:r>
              <w:rPr>
                <w:rStyle w:val="CodeChar"/>
              </w:rPr>
              <w:t xml:space="preserve">EmailIndexingStoreDays</w:t>
            </w:r>
          </w:p>
        </w:tc>
        <w:tc>
          <w:tcPr>
            <w:tcW w:w="5646" w:type="dxa"/>
          </w:tcPr>
          <w:p>
            <w:pPr/>
            <w:r>
              <w:t xml:space="preserve">dias de retenção; 0 com Store = 1 mantém para sempre</w:t>
            </w:r>
          </w:p>
        </w:tc>
      </w:tr>
      <w:tr>
        <w:tc>
          <w:tcPr>
            <w:tcW w:w="3713" w:type="dxa"/>
          </w:tcPr>
          <w:p>
            <w:pPr/>
            <w:r>
              <w:rPr>
                <w:rStyle w:val="CodeChar"/>
              </w:rPr>
              <w:t xml:space="preserve">EmailIndexingLocalDomains</w:t>
            </w:r>
          </w:p>
        </w:tc>
        <w:tc>
          <w:tcPr>
            <w:tcW w:w="5646" w:type="dxa"/>
          </w:tcPr>
          <w:p>
            <w:pPr/>
            <w:r>
              <w:t xml:space="preserve">domínios internos separados por </w:t>
            </w:r>
            <w:r>
              <w:rPr>
                <w:rStyle w:val="CodeChar"/>
              </w:rPr>
              <w:t xml:space="preserve">;</w:t>
            </w:r>
            <w:r>
              <w:t xml:space="preserve">; e-mail vindo deles anexa, mas não preenche a data da cronologia</w:t>
            </w:r>
          </w:p>
        </w:tc>
      </w:tr>
      <w:tr>
        <w:tc>
          <w:tcPr>
            <w:tcW w:w="3713" w:type="dxa"/>
          </w:tcPr>
          <w:p>
            <w:pPr/>
            <w:r>
              <w:rPr>
                <w:rStyle w:val="CodeChar"/>
              </w:rPr>
              <w:t xml:space="preserve">EmailIndexingAlertBox</w:t>
            </w:r>
          </w:p>
        </w:tc>
        <w:tc>
          <w:tcPr>
            <w:tcW w:w="5646" w:type="dxa"/>
          </w:tcPr>
          <w:p>
            <w:pPr/>
            <w:r>
              <w:t xml:space="preserve">quem recebe o aviso de erro crítico (vários separados por </w:t>
            </w:r>
            <w:r>
              <w:rPr>
                <w:rStyle w:val="CodeChar"/>
              </w:rPr>
              <w:t xml:space="preserve">;</w:t>
            </w:r>
            <w:r>
              <w:t xml:space="preserve">); NULL = só no log</w:t>
            </w:r>
          </w:p>
        </w:tc>
      </w:tr>
      <w:tr>
        <w:tc>
          <w:tcPr>
            <w:tcW w:w="3713" w:type="dxa"/>
          </w:tcPr>
          <w:p>
            <w:pPr/>
            <w:r>
              <w:rPr>
                <w:rStyle w:val="CodeChar"/>
              </w:rPr>
              <w:t xml:space="preserve">CountryCode</w:t>
            </w:r>
          </w:p>
        </w:tc>
        <w:tc>
          <w:tcPr>
            <w:tcW w:w="5646" w:type="dxa"/>
          </w:tcPr>
          <w:p>
            <w:pPr/>
            <w:r>
              <w:t xml:space="preserve">já existe; é o prefixo do sinistro no assunto, ex.: </w:t>
            </w:r>
            <w:r>
              <w:rPr>
                <w:rStyle w:val="CodeChar"/>
              </w:rPr>
              <w:t xml:space="preserve">BR</w:t>
            </w:r>
          </w:p>
        </w:tc>
      </w:tr>
    </w:tbl>
    <w:p>
      <w:pPr/>
      <w:r>
        <w:t xml:space="preserve">O serviço relê esses valores a cada varredura, então mudanças valem sem reiniciar.</w:t>
      </w:r>
    </w:p>
    <w:p>
      <w:pPr>
        <w:pStyle w:val="ListParagraph"/>
        <w:numPr>
          <w:ilvl w:val="0"/>
          <w:numId w:val="6"/>
        </w:numPr>
      </w:pPr>
      <w:r>
        <w:t xml:space="preserve">☐ Scripts 0 a 4 executados sem erro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rStyle w:val="CodeChar"/>
        </w:rPr>
        <w:t xml:space="preserve">ParameterRoot</w:t>
      </w:r>
      <w:r>
        <w:t xml:space="preserve"> do país preenchido</w:t>
      </w:r>
    </w:p>
    <w:p>
      <w:pPr>
        <w:pStyle w:val="ListParagraph"/>
        <w:numPr>
          <w:ilvl w:val="0"/>
          <w:numId w:val="6"/>
        </w:numPr>
      </w:pPr>
      <w:r>
        <w:t xml:space="preserve">☐ Usuário de serviço anotado: o </w:t>
      </w:r>
      <w:r>
        <w:rPr>
          <w:rStyle w:val="CodeChar"/>
        </w:rPr>
        <w:t xml:space="preserve">UniqueId</w:t>
      </w:r>
      <w:r>
        <w:t xml:space="preserve"> (GUID) dele em </w:t>
      </w:r>
      <w:r>
        <w:rPr>
          <w:rStyle w:val="CodeChar"/>
        </w:rPr>
        <w:t xml:space="preserve">usr.UserX</w:t>
      </w:r>
    </w:p>
    <w:p>
      <w:pPr>
        <w:pStyle w:val="Heading2"/>
      </w:pPr>
      <w:r>
        <w:t xml:space="preserve">Passo 4 – Caixa de e-mail e aplicativo no Azure</w:t>
      </w:r>
    </w:p>
    <w:p>
      <w:pPr/>
      <w:r>
        <w:t xml:space="preserve">O serviço acessa a caixa por um aplicativo registrado no Azure AD, com permissão de </w:t>
      </w:r>
      <w:r>
        <w:rPr>
          <w:b/>
        </w:rPr>
        <w:t xml:space="preserve">aplicação</w:t>
      </w:r>
      <w:r>
        <w:t xml:space="preserve"> (não delegada) no Microsoft Graph.</w:t>
      </w:r>
    </w:p>
    <w:p>
      <w:pPr>
        <w:pStyle w:val="ListParagraph"/>
        <w:numPr>
          <w:ilvl w:val="0"/>
          <w:numId w:val="7"/>
        </w:numPr>
      </w:pPr>
      <w:r>
        <w:t xml:space="preserve">No Azure AD, registre o aplicativo e anote o </w:t>
      </w:r>
      <w:r>
        <w:rPr>
          <w:b/>
        </w:rPr>
        <w:t xml:space="preserve">Tenant ID</w:t>
      </w:r>
      <w:r>
        <w:t xml:space="preserve"> e o </w:t>
      </w:r>
      <w:r>
        <w:rPr>
          <w:b/>
        </w:rPr>
        <w:t xml:space="preserve">Client ID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Em </w:t>
      </w:r>
      <w:r>
        <w:rPr>
          <w:b/>
        </w:rPr>
        <w:t xml:space="preserve">API permissions</w:t>
      </w:r>
      <w:r>
        <w:t xml:space="preserve">, adicione as permissões de aplicação do Microsoft Graph:</w:t>
      </w:r>
    </w:p>
    <w:p>
      <w:pPr>
        <w:pStyle w:val="ListParagraph"/>
        <w:numPr>
          <w:ilvl w:val="1"/>
          <w:numId w:val="8"/>
        </w:numPr>
      </w:pPr>
      <w:r>
        <w:rPr>
          <w:rStyle w:val="CodeChar"/>
        </w:rPr>
        <w:t xml:space="preserve">Mail.ReadWrite</w:t>
      </w:r>
      <w:r>
        <w:t xml:space="preserve">: ler a caixa, mover e excluir no expurgo;</w:t>
      </w:r>
    </w:p>
    <w:p>
      <w:pPr>
        <w:pStyle w:val="ListParagraph"/>
        <w:numPr>
          <w:ilvl w:val="1"/>
          <w:numId w:val="8"/>
        </w:numPr>
      </w:pPr>
      <w:r>
        <w:rPr>
          <w:rStyle w:val="CodeChar"/>
        </w:rPr>
        <w:t xml:space="preserve">Mail.Send</w:t>
      </w:r>
      <w:r>
        <w:t xml:space="preserve">: encaminhar os recusados e enviar o aviso de erro crítico.</w:t>
      </w:r>
    </w:p>
    <w:p>
      <w:pPr>
        <w:pStyle w:val="ListParagraph"/>
        <w:numPr>
          <w:ilvl w:val="0"/>
          <w:numId w:val="7"/>
        </w:numPr>
      </w:pPr>
      <w:r>
        <w:t xml:space="preserve">Clique em </w:t>
      </w:r>
      <w:r>
        <w:rPr>
          <w:b/>
        </w:rPr>
        <w:t xml:space="preserve">Grant admin consent</w:t>
      </w:r>
      <w:r>
        <w:t xml:space="preserve">. Sem o consentimento de administrador, o Graph recusa o acesso.</w:t>
      </w:r>
    </w:p>
    <w:p>
      <w:pPr>
        <w:pStyle w:val="ListParagraph"/>
        <w:numPr>
          <w:ilvl w:val="0"/>
          <w:numId w:val="7"/>
        </w:numPr>
      </w:pPr>
      <w:r>
        <w:t xml:space="preserve">Crie a credencial: um certificado instalado na máquina do serviço (preferível) ou um client secret. Anote o thumbprint ou o secret.</w:t>
      </w:r>
    </w:p>
    <w:p>
      <w:pPr>
        <w:pStyle w:val="ListParagraph"/>
        <w:numPr>
          <w:ilvl w:val="0"/>
          <w:numId w:val="7"/>
        </w:numPr>
      </w:pPr>
      <w:r>
        <w:t xml:space="preserve">Recomendado: restrinja o aplicativo à caixa monitorada com uma Application Access Policy do Exchange Online.</w:t>
      </w:r>
    </w:p>
    <w:p>
      <w:pPr>
        <w:pStyle w:val="ListParagraph"/>
        <w:numPr>
          <w:ilvl w:val="0"/>
          <w:numId w:val="7"/>
        </w:numPr>
      </w:pPr>
      <w:r>
        <w:t xml:space="preserve">No Outlook nada é obrigatório: se as pastas Processados e Rejeitados não existirem, o serviço cria dentro da Caixa de Entrada.</w:t>
      </w:r>
    </w:p>
    <w:p>
      <w:pPr>
        <w:pStyle w:val="ListParagraph"/>
        <w:numPr>
          <w:ilvl w:val="0"/>
          <w:numId w:val="9"/>
        </w:numPr>
      </w:pPr>
      <w:r>
        <w:t xml:space="preserve">☐ Tenant ID e Client ID anotados</w:t>
      </w:r>
    </w:p>
    <w:p>
      <w:pPr>
        <w:pStyle w:val="ListParagraph"/>
        <w:numPr>
          <w:ilvl w:val="0"/>
          <w:numId w:val="9"/>
        </w:numPr>
      </w:pPr>
      <w:r>
        <w:t xml:space="preserve">☐ Permissões </w:t>
      </w:r>
      <w:r>
        <w:rPr>
          <w:rStyle w:val="CodeChar"/>
        </w:rPr>
        <w:t xml:space="preserve">Mail.ReadWrite</w:t>
      </w:r>
      <w:r>
        <w:t xml:space="preserve"> e </w:t>
      </w:r>
      <w:r>
        <w:rPr>
          <w:rStyle w:val="CodeChar"/>
        </w:rPr>
        <w:t xml:space="preserve">Mail.Send</w:t>
      </w:r>
      <w:r>
        <w:t xml:space="preserve"> com consentimento de administrador</w:t>
      </w:r>
    </w:p>
    <w:p>
      <w:pPr>
        <w:pStyle w:val="ListParagraph"/>
        <w:numPr>
          <w:ilvl w:val="0"/>
          <w:numId w:val="9"/>
        </w:numPr>
      </w:pPr>
      <w:r>
        <w:t xml:space="preserve">☐ Certificado instalado ou client secret criado (o secret não vai para o appsettings: ver o passo 5)</w:t>
      </w:r>
    </w:p>
    <w:p>
      <w:pPr>
        <w:pStyle w:val="Heading2"/>
      </w:pPr>
      <w:r>
        <w:t xml:space="preserve">Passo 5 – Configurar o serviço</w:t>
      </w:r>
    </w:p>
    <w:p>
      <w:pPr/>
      <w:r>
        <w:t xml:space="preserve">A configuração segue o padrão dos outros Service-* (como o Service-IntegracaoBRS): </w:t>
      </w:r>
      <w:r>
        <w:rPr>
          <w:rStyle w:val="CodeChar"/>
        </w:rPr>
        <w:t xml:space="preserve">appsettings.json</w:t>
      </w:r>
      <w:r>
        <w:t xml:space="preserve"> sem segredos, e os segredos nos User Secrets em desenvolvimento ou por DPAPI e variável de ambiente no servidor.</w:t>
      </w:r>
    </w:p>
    <w:p>
      <w:pPr/>
      <w:r>
        <w:rPr>
          <w:b/>
        </w:rPr>
        <w:t xml:space="preserve">5.1 Pasta compartilhada.</w:t>
      </w:r>
      <w:r>
        <w:t xml:space="preserve"> Use em </w:t>
      </w:r>
      <w:r>
        <w:rPr>
          <w:rStyle w:val="CodeChar"/>
        </w:rPr>
        <w:t xml:space="preserve">Files.Temp</w:t>
      </w:r>
      <w:r>
        <w:t xml:space="preserve"> o mesmo caminho de rede que a API usa. A conta que roda o serviço precisa ter permissão de escrita nela.</w:t>
      </w:r>
    </w:p>
    <w:p>
      <w:pPr/>
      <w:r>
        <w:rPr>
          <w:b/>
        </w:rPr>
        <w:t xml:space="preserve">5.2 appsettings.json.</w:t>
      </w:r>
      <w:r>
        <w:t xml:space="preserve"> O arquivo não está no repositório, porque o hook de pre-commit bloqueia. Crie-o em </w:t>
      </w:r>
      <w:r>
        <w:rPr>
          <w:rStyle w:val="CodeChar"/>
        </w:rPr>
        <w:t xml:space="preserve">EmailIndexingService\</w:t>
      </w:r>
      <w:r>
        <w:t xml:space="preserve">, copiando as seções do BRS Cloud do appsettings da API do mesmo ambiente: </w:t>
      </w:r>
      <w:r>
        <w:rPr>
          <w:rStyle w:val="CodeChar"/>
        </w:rPr>
        <w:t xml:space="preserve">AppSettings</w:t>
      </w:r>
      <w:r>
        <w:t xml:space="preserve">, </w:t>
      </w:r>
      <w:r>
        <w:rPr>
          <w:rStyle w:val="CodeChar"/>
        </w:rPr>
        <w:t xml:space="preserve">ConnectionStrings</w:t>
      </w:r>
      <w:r>
        <w:t xml:space="preserve">, </w:t>
      </w:r>
      <w:r>
        <w:rPr>
          <w:rStyle w:val="CodeChar"/>
        </w:rPr>
        <w:t xml:space="preserve">RabbitMQ</w:t>
      </w:r>
      <w:r>
        <w:t xml:space="preserve">, </w:t>
      </w:r>
      <w:r>
        <w:rPr>
          <w:rStyle w:val="CodeChar"/>
        </w:rPr>
        <w:t xml:space="preserve">Files</w:t>
      </w:r>
      <w:r>
        <w:t xml:space="preserve"> e </w:t>
      </w:r>
      <w:r>
        <w:rPr>
          <w:rStyle w:val="CodeChar"/>
        </w:rPr>
        <w:t xml:space="preserve">Integration</w:t>
      </w:r>
      <w:r>
        <w:t xml:space="preserve">. Depois, acrescente as seções do serviço:</w:t>
      </w:r>
    </w:p>
    <w:p>
      <w:pPr>
        <w:pStyle w:val="Code"/>
      </w:pPr>
      <w:bookmarkStart w:id="2" w:name="bongo_lang_json_2"/>
      <w:bookmarkEnd w:id="2"/>
      <w:r>
        <w:t xml:space="preserve">{</w:t>
        <w:br/>
        <w:t xml:space="preserve">  "ServiceConfiguration": {</w:t>
        <w:br/>
        <w:t xml:space="preserve">    "ServiceName": "EmailIndexingService",</w:t>
        <w:br/>
        <w:t xml:space="preserve">    "DisplayName": "BRS Cloud - Indexação de e-mails",</w:t>
        <w:br/>
        <w:t xml:space="preserve">    "Description": "Anexa nos sinistros os e-mails da caixa monitorada"</w:t>
        <w:br/>
        <w:t xml:space="preserve">  },</w:t>
        <w:br/>
        <w:t xml:space="preserve">  "Graph": {</w:t>
        <w:br/>
        <w:t xml:space="preserve">    "TenantId": "&lt;tenant do Azure AD&gt;",</w:t>
        <w:br/>
        <w:t xml:space="preserve">    "ClientId": "&lt;client id do aplicativo&gt;",</w:t>
        <w:br/>
        <w:t xml:space="preserve">    "CertificateThumbprint": "&lt;thumbprint, se usar certificado&gt;",</w:t>
        <w:br/>
        <w:t xml:space="preserve">    "ProcessedFolder": "Processados",</w:t>
        <w:br/>
        <w:t xml:space="preserve">    "RejectedFolder": "Rejeitados",</w:t>
        <w:br/>
        <w:t xml:space="preserve">    "FoldersAtRoot": false,</w:t>
        <w:br/>
        <w:t xml:space="preserve">    "DeltaStatePath": "delta-state.txt"</w:t>
        <w:br/>
        <w:t xml:space="preserve">  },</w:t>
        <w:br/>
        <w:t xml:space="preserve">  "Indexing": {</w:t>
        <w:br/>
        <w:t xml:space="preserve">    "IntervalMinutes": 10,</w:t>
        <w:br/>
        <w:t xml:space="preserve">    "BatchSize": 50,</w:t>
        <w:br/>
        <w:t xml:space="preserve">    "MaxAttachmentSizeMB": 25,</w:t>
        <w:br/>
        <w:t xml:space="preserve">    "HealthPort": 0,</w:t>
        <w:br/>
        <w:t xml:space="preserve">    "AlertWindowMinutes": 60</w:t>
        <w:br/>
        <w:t xml:space="preserve">  },</w:t>
        <w:br/>
        <w:t xml:space="preserve">  "ServiceUser": {</w:t>
        <w:br/>
        <w:t xml:space="preserve">    "UserName": "&lt;UniqueId (GUID) do usuário de serviço em usr.UserX&gt;"</w:t>
        <w:br/>
        <w:t xml:space="preserve">  }</w:t>
        <w:br/>
        <w:t xml:space="preserve">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Chave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Graph.CertificateThumbprint</w:t>
            </w:r>
            <w:r>
              <w:t xml:space="preserve"> / </w:t>
            </w:r>
            <w:r>
              <w:rPr>
                <w:rStyle w:val="CodeChar"/>
              </w:rPr>
              <w:t xml:space="preserve">Graph.ClientSecret</w:t>
            </w:r>
          </w:p>
        </w:tc>
        <w:tc>
          <w:tcPr>
            <w:tcW w:w="4920" w:type="dxa"/>
          </w:tcPr>
          <w:p>
            <w:pPr/>
            <w:r>
              <w:t xml:space="preserve">use um dos dois; com os dois, o certificado vale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Graph.FoldersAtRoot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false</w:t>
            </w:r>
            <w:r>
              <w:t xml:space="preserve"> cria Processados e Rejeitados dentro da Caixa de Entrada, onde a equipe enxerga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Graph.DeltaStatePath</w:t>
            </w:r>
          </w:p>
        </w:tc>
        <w:tc>
          <w:tcPr>
            <w:tcW w:w="4920" w:type="dxa"/>
          </w:tcPr>
          <w:p>
            <w:pPr/>
            <w:r>
              <w:t xml:space="preserve">apagar esse arquivo faz o serviço reler a Caixa de Entrada inteira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Indexing.IntervalMinutes</w:t>
            </w:r>
          </w:p>
        </w:tc>
        <w:tc>
          <w:tcPr>
            <w:tcW w:w="4920" w:type="dxa"/>
          </w:tcPr>
          <w:p>
            <w:pPr/>
            <w:r>
              <w:t xml:space="preserve">intervalo entre varreduras (mínimo 1)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Indexing.HealthPort</w:t>
            </w:r>
          </w:p>
        </w:tc>
        <w:tc>
          <w:tcPr>
            <w:tcW w:w="4920" w:type="dxa"/>
          </w:tcPr>
          <w:p>
            <w:pPr/>
            <w:r>
              <w:t xml:space="preserve">porta do health check (</w:t>
            </w:r>
            <w:r>
              <w:rPr>
                <w:rStyle w:val="CodeChar"/>
              </w:rPr>
              <w:t xml:space="preserve">http://localhost:&lt;porta&gt;/health/</w:t>
            </w:r>
            <w:r>
              <w:t xml:space="preserve">); 0 = desligado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Indexing.AlertWindowMinutes</w:t>
            </w:r>
          </w:p>
        </w:tc>
        <w:tc>
          <w:tcPr>
            <w:tcW w:w="4920" w:type="dxa"/>
          </w:tcPr>
          <w:p>
            <w:pPr/>
            <w:r>
              <w:t xml:space="preserve">o mesmo erro crítico manda no máximo um e-mail por janela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ServiceUser.UserName</w:t>
            </w:r>
          </w:p>
        </w:tc>
        <w:tc>
          <w:tcPr>
            <w:tcW w:w="4920" w:type="dxa"/>
          </w:tcPr>
          <w:p>
            <w:pPr/>
            <w:r>
              <w:t xml:space="preserve">é o GUID do </w:t>
            </w:r>
            <w:r>
              <w:rPr>
                <w:rStyle w:val="CodeChar"/>
              </w:rPr>
              <w:t xml:space="preserve">UserX</w:t>
            </w:r>
            <w:r>
              <w:t xml:space="preserve">, </w:t>
            </w:r>
            <w:r>
              <w:rPr>
                <w:b/>
              </w:rPr>
              <w:t xml:space="preserve">não</w:t>
            </w:r>
            <w:r>
              <w:t xml:space="preserve"> o login; define o país atendido</w:t>
            </w:r>
          </w:p>
        </w:tc>
      </w:tr>
    </w:tbl>
    <w:p>
      <w:pPr/>
      <w:r>
        <w:rPr>
          <w:b/>
        </w:rPr>
        <w:t xml:space="preserve">5.3 Segredos.</w:t>
      </w:r>
      <w:r>
        <w:t xml:space="preserve"> </w:t>
      </w:r>
      <w:r>
        <w:rPr>
          <w:rStyle w:val="CodeChar"/>
        </w:rPr>
        <w:t xml:space="preserve">Graph:ClientSecret</w:t>
      </w:r>
      <w:r>
        <w:t xml:space="preserve">, </w:t>
      </w:r>
      <w:r>
        <w:rPr>
          <w:rStyle w:val="CodeChar"/>
        </w:rPr>
        <w:t xml:space="preserve">RabbitMQ:Password</w:t>
      </w:r>
      <w:r>
        <w:t xml:space="preserve"> e as senhas de banco não vão no appsettings.</w:t>
      </w:r>
    </w:p>
    <w:p>
      <w:pPr>
        <w:pStyle w:val="ListParagraph"/>
        <w:numPr>
          <w:ilvl w:val="0"/>
          <w:numId w:val="10"/>
        </w:numPr>
      </w:pPr>
      <w:r>
        <w:t xml:space="preserve">Em desenvolvimento: clique com o botão direito no projeto </w:t>
      </w:r>
      <w:r>
        <w:rPr>
          <w:rStyle w:val="CodeChar"/>
        </w:rPr>
        <w:t xml:space="preserve">EmailIndexingService</w:t>
      </w:r>
      <w:r>
        <w:t xml:space="preserve"> e escolha </w:t>
      </w:r>
      <w:r>
        <w:rPr>
          <w:b/>
        </w:rPr>
        <w:t xml:space="preserve">Manage User Secrets</w:t>
      </w:r>
      <w:r>
        <w:t xml:space="preserve">. Preencha, por exemplo:</w:t>
      </w:r>
    </w:p>
    <w:p>
      <w:pPr>
        <w:pStyle w:val="Code"/>
      </w:pPr>
      <w:bookmarkStart w:id="3" w:name="bongo_lang_json_3"/>
      <w:bookmarkEnd w:id="3"/>
      <w:r>
        <w:t xml:space="preserve">{</w:t>
        <w:br/>
        <w:t xml:space="preserve">  "Graph:ClientSecret": "&lt;secret do aplicativo&gt;",</w:t>
        <w:br/>
        <w:t xml:space="preserve">  "RabbitMQ:Password": "&lt;senha do RabbitMQ&gt;"</w:t>
        <w:br/>
        <w:t xml:space="preserve">}</w:t>
      </w:r>
    </w:p>
    <w:p>
      <w:pPr>
        <w:pStyle w:val="ListParagraph"/>
        <w:numPr>
          <w:ilvl w:val="0"/>
          <w:numId w:val="11"/>
        </w:numPr>
      </w:pPr>
      <w:r>
        <w:t xml:space="preserve">No servidor: valores protegidos por DPAPI ou variáveis de ambiente (</w:t>
      </w:r>
      <w:r>
        <w:rPr>
          <w:rStyle w:val="CodeChar"/>
        </w:rPr>
        <w:t xml:space="preserve">Graph__ClientSecret</w:t>
      </w:r>
      <w:r>
        <w:t xml:space="preserve">, </w:t>
      </w:r>
      <w:r>
        <w:rPr>
          <w:rStyle w:val="CodeChar"/>
        </w:rPr>
        <w:t xml:space="preserve">RabbitMQ__Password</w:t>
      </w:r>
      <w:r>
        <w:t xml:space="preserve">).</w:t>
      </w:r>
    </w:p>
    <w:p>
      <w:pPr>
        <w:pStyle w:val="ListParagraph"/>
        <w:numPr>
          <w:ilvl w:val="0"/>
          <w:numId w:val="11"/>
        </w:numPr>
      </w:pPr>
      <w:r>
        <w:t xml:space="preserve">O ambiente vem de </w:t>
      </w:r>
      <w:r>
        <w:rPr>
          <w:rStyle w:val="CodeChar"/>
        </w:rPr>
        <w:t xml:space="preserve">DOTNET_ENVIRONMENT</w:t>
      </w:r>
      <w:r>
        <w:t xml:space="preserve"> ou </w:t>
      </w:r>
      <w:r>
        <w:rPr>
          <w:rStyle w:val="CodeChar"/>
        </w:rPr>
        <w:t xml:space="preserve">ASPNETCORE_ENVIRONMENT</w:t>
      </w:r>
      <w:r>
        <w:t xml:space="preserve">. O padrão é </w:t>
      </w:r>
      <w:r>
        <w:rPr>
          <w:rStyle w:val="CodeChar"/>
        </w:rPr>
        <w:t xml:space="preserve">Development</w:t>
      </w:r>
      <w:r>
        <w:t xml:space="preserve">, e os User Secrets só são lidos nesse ambiente.</w:t>
      </w:r>
    </w:p>
    <w:p>
      <w:pPr/>
      <w:r>
        <w:rPr>
          <w:b/>
        </w:rPr>
        <w:t xml:space="preserve">5.4 NLog.config.</w:t>
      </w:r>
      <w:r>
        <w:t xml:space="preserve"> Também fica fora do repositório. Copie o padrão dos outros Service-* para </w:t>
      </w:r>
      <w:r>
        <w:rPr>
          <w:rStyle w:val="CodeChar"/>
        </w:rPr>
        <w:t xml:space="preserve">EmailIndexingService\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☐ </w:t>
      </w:r>
      <w:r>
        <w:rPr>
          <w:rStyle w:val="CodeChar"/>
        </w:rPr>
        <w:t xml:space="preserve">appsettings.json</w:t>
      </w:r>
      <w:r>
        <w:t xml:space="preserve"> criado, sem segredos</w:t>
      </w:r>
    </w:p>
    <w:p>
      <w:pPr>
        <w:pStyle w:val="ListParagraph"/>
        <w:numPr>
          <w:ilvl w:val="0"/>
          <w:numId w:val="12"/>
        </w:numPr>
      </w:pPr>
      <w:r>
        <w:t xml:space="preserve">☐ Segredos nos User Secrets (ou DPAPI no servidor)</w:t>
      </w:r>
    </w:p>
    <w:p>
      <w:pPr>
        <w:pStyle w:val="ListParagraph"/>
        <w:numPr>
          <w:ilvl w:val="0"/>
          <w:numId w:val="12"/>
        </w:numPr>
      </w:pPr>
      <w:r>
        <w:t xml:space="preserve">☐ </w:t>
      </w:r>
      <w:r>
        <w:rPr>
          <w:rStyle w:val="CodeChar"/>
        </w:rPr>
        <w:t xml:space="preserve">NLog.config</w:t>
      </w:r>
      <w:r>
        <w:t xml:space="preserve"> copiado</w:t>
      </w:r>
    </w:p>
    <w:p>
      <w:pPr>
        <w:pStyle w:val="ListParagraph"/>
        <w:numPr>
          <w:ilvl w:val="0"/>
          <w:numId w:val="12"/>
        </w:numPr>
      </w:pPr>
      <w:r>
        <w:t xml:space="preserve">☐ </w:t>
      </w:r>
      <w:r>
        <w:rPr>
          <w:rStyle w:val="CodeChar"/>
        </w:rPr>
        <w:t xml:space="preserve">Files.Temp</w:t>
      </w:r>
      <w:r>
        <w:t xml:space="preserve"> igual ao da API, com permissão de escrita</w:t>
      </w:r>
    </w:p>
    <w:p>
      <w:pPr>
        <w:pStyle w:val="Heading2"/>
      </w:pPr>
      <w:r>
        <w:t xml:space="preserve">Passo 6 – Rodar o serviço</w:t>
      </w:r>
    </w:p>
    <w:p>
      <w:pPr/>
      <w:r>
        <w:t xml:space="preserve">Em desenvolvimento, o serviço roda como aplicativo de console. No servidor, roda como serviço Windows (Topshelf).</w:t>
      </w:r>
    </w:p>
    <w:p>
      <w:pPr/>
      <w:r>
        <w:rPr>
          <w:b/>
        </w:rPr>
        <w:t xml:space="preserve">Em desenvolvimento</w:t>
      </w:r>
    </w:p>
    <w:p>
      <w:pPr>
        <w:pStyle w:val="ListParagraph"/>
        <w:numPr>
          <w:ilvl w:val="0"/>
          <w:numId w:val="13"/>
        </w:numPr>
      </w:pPr>
      <w:r>
        <w:t xml:space="preserve">Defina </w:t>
      </w:r>
      <w:r>
        <w:rPr>
          <w:rStyle w:val="CodeChar"/>
        </w:rPr>
        <w:t xml:space="preserve">EmailIndexingService</w:t>
      </w:r>
      <w:r>
        <w:t xml:space="preserve"> como projeto de inicialização.</w:t>
      </w:r>
    </w:p>
    <w:p>
      <w:pPr>
        <w:pStyle w:val="ListParagraph"/>
        <w:numPr>
          <w:ilvl w:val="0"/>
          <w:numId w:val="13"/>
        </w:numPr>
      </w:pPr>
      <w:r>
        <w:t xml:space="preserve">Aperte </w:t>
      </w:r>
      <w:r>
        <w:rPr>
          <w:b/>
        </w:rPr>
        <w:t xml:space="preserve">F5</w:t>
      </w:r>
      <w:r>
        <w:t xml:space="preserve">. O serviço faz a primeira varredura logo ao iniciar e repete a cada </w:t>
      </w:r>
      <w:r>
        <w:rPr>
          <w:rStyle w:val="CodeChar"/>
        </w:rPr>
        <w:t xml:space="preserve">IntervalMinutes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Acompanhe a janela do console e o log do NLog.</w:t>
      </w:r>
    </w:p>
    <w:p>
      <w:pPr/>
      <w:r>
        <w:rPr>
          <w:b/>
        </w:rPr>
        <w:t xml:space="preserve">No servidor</w:t>
      </w:r>
    </w:p>
    <w:p>
      <w:pPr>
        <w:pStyle w:val="ListParagraph"/>
        <w:numPr>
          <w:ilvl w:val="0"/>
          <w:numId w:val="14"/>
        </w:numPr>
      </w:pPr>
      <w:r>
        <w:t xml:space="preserve">Publique:</w:t>
      </w:r>
    </w:p>
    <w:p>
      <w:pPr>
        <w:pStyle w:val="Code"/>
      </w:pPr>
      <w:r>
        <w:t xml:space="preserve">cd C:\Projetos\Service-ClaimEmailAutomation</w:t>
        <w:br/>
        <w:t xml:space="preserve">dotnet publish EmailIndexingService -c Release -o &lt;pasta do serviço&gt;</w:t>
      </w:r>
    </w:p>
    <w:p>
      <w:pPr>
        <w:pStyle w:val="ListParagraph"/>
        <w:numPr>
          <w:ilvl w:val="0"/>
          <w:numId w:val="15"/>
        </w:numPr>
      </w:pPr>
      <w:r>
        <w:t xml:space="preserve">Copie para a pasta publicada o </w:t>
      </w:r>
      <w:r>
        <w:rPr>
          <w:rStyle w:val="CodeChar"/>
        </w:rPr>
        <w:t xml:space="preserve">appsettings.json</w:t>
      </w:r>
      <w:r>
        <w:t xml:space="preserve">, o </w:t>
      </w:r>
      <w:r>
        <w:rPr>
          <w:rStyle w:val="CodeChar"/>
        </w:rPr>
        <w:t xml:space="preserve">appsettings.{ambiente}.json</w:t>
      </w:r>
      <w:r>
        <w:t xml:space="preserve"> e o </w:t>
      </w:r>
      <w:r>
        <w:rPr>
          <w:rStyle w:val="CodeChar"/>
        </w:rPr>
        <w:t xml:space="preserve">NLog.config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Defina </w:t>
      </w:r>
      <w:r>
        <w:rPr>
          <w:rStyle w:val="CodeChar"/>
        </w:rPr>
        <w:t xml:space="preserve">DOTNET_ENVIRONMENT</w:t>
      </w:r>
      <w:r>
        <w:t xml:space="preserve"> com o ambiente e coloque os segredos por DPAPI ou variável de ambiente.</w:t>
      </w:r>
    </w:p>
    <w:p>
      <w:pPr>
        <w:pStyle w:val="ListParagraph"/>
        <w:numPr>
          <w:ilvl w:val="0"/>
          <w:numId w:val="15"/>
        </w:numPr>
      </w:pPr>
      <w:r>
        <w:t xml:space="preserve">Instale e inicie, num prompt de administrador, na pasta publicada:</w:t>
      </w:r>
    </w:p>
    <w:p>
      <w:pPr>
        <w:pStyle w:val="Code"/>
      </w:pPr>
      <w:r>
        <w:t xml:space="preserve">EmailIndexingService.exe install</w:t>
        <w:br/>
        <w:t xml:space="preserve">EmailIndexingService.exe start</w:t>
      </w:r>
    </w:p>
    <w:p>
      <w:pPr/>
      <w:r>
        <w:t xml:space="preserve">O serviço fica com início automático. Para remover: </w:t>
      </w:r>
      <w:r>
        <w:rPr>
          <w:rStyle w:val="CodeChar"/>
        </w:rPr>
        <w:t xml:space="preserve">EmailIndexingService.exe uninstall</w:t>
      </w:r>
      <w:r>
        <w:t xml:space="preserve">.</w:t>
      </w:r>
    </w:p>
    <w:p>
      <w:pPr>
        <w:pStyle w:val="Heading2"/>
      </w:pPr>
      <w:r>
        <w:t xml:space="preserve">Passo 7 – Conferir se está funcionando</w:t>
      </w:r>
    </w:p>
    <w:p>
      <w:pPr/>
      <w:r>
        <w:t xml:space="preserve">Um teste rápido confirma a configuração. Os testes completos estão no roteiro "LTDEV-2 – Documentação de Teste".</w:t>
      </w:r>
    </w:p>
    <w:p>
      <w:pPr>
        <w:pStyle w:val="ListParagraph"/>
        <w:numPr>
          <w:ilvl w:val="0"/>
          <w:numId w:val="16"/>
        </w:numPr>
      </w:pPr>
      <w:r>
        <w:t xml:space="preserve">Envie, de um endereço </w:t>
      </w:r>
      <w:r>
        <w:rPr>
          <w:b/>
        </w:rPr>
        <w:t xml:space="preserve">externo</w:t>
      </w:r>
      <w:r>
        <w:t xml:space="preserve">, um e-mail para a caixa monitorada com o código de um sinistro existente no assunto (ex.: </w:t>
      </w:r>
      <w:r>
        <w:rPr>
          <w:rStyle w:val="CodeChar"/>
        </w:rPr>
        <w:t xml:space="preserve">BR26009750 teste</w:t>
      </w:r>
      <w:r>
        <w:t xml:space="preserve">) e um anexo.</w:t>
      </w:r>
    </w:p>
    <w:p>
      <w:pPr>
        <w:pStyle w:val="ListParagraph"/>
        <w:numPr>
          <w:ilvl w:val="0"/>
          <w:numId w:val="16"/>
        </w:numPr>
      </w:pPr>
      <w:r>
        <w:t xml:space="preserve">Espere uma varredura (até </w:t>
      </w:r>
      <w:r>
        <w:rPr>
          <w:rStyle w:val="CodeChar"/>
        </w:rPr>
        <w:t xml:space="preserve">IntervalMinutes</w:t>
      </w:r>
      <w:r>
        <w:t xml:space="preserve">).</w:t>
      </w:r>
    </w:p>
    <w:p>
      <w:pPr>
        <w:pStyle w:val="ListParagraph"/>
        <w:numPr>
          <w:ilvl w:val="0"/>
          <w:numId w:val="16"/>
        </w:numPr>
      </w:pPr>
      <w:r>
        <w:t xml:space="preserve">Confira:</w:t>
      </w:r>
    </w:p>
    <w:p>
      <w:pPr>
        <w:pStyle w:val="ListParagraph"/>
        <w:numPr>
          <w:ilvl w:val="0"/>
          <w:numId w:val="17"/>
        </w:numPr>
      </w:pPr>
      <w:r>
        <w:t xml:space="preserve">☐ O e-mail está em </w:t>
      </w:r>
      <w:r>
        <w:rPr>
          <w:b/>
        </w:rPr>
        <w:t xml:space="preserve">Processados</w:t>
      </w:r>
      <w:r>
        <w:t xml:space="preserve">, como não lido</w:t>
      </w:r>
    </w:p>
    <w:p>
      <w:pPr>
        <w:pStyle w:val="ListParagraph"/>
        <w:numPr>
          <w:ilvl w:val="0"/>
          <w:numId w:val="17"/>
        </w:numPr>
      </w:pPr>
      <w:r>
        <w:t xml:space="preserve">☐ No sinistro, o </w:t>
      </w:r>
      <w:r>
        <w:rPr>
          <w:rStyle w:val="CodeChar"/>
        </w:rPr>
        <w:t xml:space="preserve">.msg</w:t>
      </w:r>
      <w:r>
        <w:t xml:space="preserve"> está na pasta mestre de E-mails e o anexo na de Documentos, com nome </w:t>
      </w:r>
      <w:r>
        <w:rPr>
          <w:rStyle w:val="CodeChar"/>
        </w:rPr>
        <w:t xml:space="preserve">&lt;código&gt;_&lt;data-hora&gt;...</w:t>
      </w:r>
    </w:p>
    <w:p>
      <w:pPr>
        <w:pStyle w:val="ListParagraph"/>
        <w:numPr>
          <w:ilvl w:val="0"/>
          <w:numId w:val="17"/>
        </w:numPr>
      </w:pPr>
      <w:r>
        <w:t xml:space="preserve">☐ Na cronologia, "Comunicação/e-mail recebido" foi preenchido (se estava vazio)</w:t>
      </w:r>
    </w:p>
    <w:p>
      <w:pPr>
        <w:pStyle w:val="ListParagraph"/>
        <w:numPr>
          <w:ilvl w:val="0"/>
          <w:numId w:val="17"/>
        </w:numPr>
      </w:pPr>
      <w:r>
        <w:t xml:space="preserve">☐ O regulador principal recebeu o aviso</w:t>
      </w:r>
    </w:p>
    <w:p>
      <w:pPr>
        <w:pStyle w:val="ListParagraph"/>
        <w:numPr>
          <w:ilvl w:val="0"/>
          <w:numId w:val="17"/>
        </w:numPr>
      </w:pPr>
      <w:r>
        <w:t xml:space="preserve">☐ Um e-mail sem código no assunto foi para </w:t>
      </w:r>
      <w:r>
        <w:rPr>
          <w:b/>
        </w:rPr>
        <w:t xml:space="preserve">Rejeitados</w:t>
      </w:r>
      <w:r>
        <w:t xml:space="preserve"> e foi encaminhado ao tratamento manual com o motivo</w:t>
      </w:r>
    </w:p>
    <w:p>
      <w:pPr>
        <w:pStyle w:val="ListParagraph"/>
        <w:numPr>
          <w:ilvl w:val="0"/>
          <w:numId w:val="17"/>
        </w:numPr>
      </w:pPr>
      <w:r>
        <w:t xml:space="preserve">☐ O log do NLog registra a varredura sem erro</w:t>
      </w:r>
    </w:p>
    <w:p>
      <w:pPr>
        <w:pStyle w:val="Heading2"/>
      </w:pPr>
      <w:r>
        <w:t xml:space="preserve">Problemas comuns</w:t>
      </w:r>
    </w:p>
    <w:p>
      <w:pPr/>
      <w:r>
        <w:t xml:space="preserve">O e-mail recusado ou com erro é encaminhado ao tratamento manual com o motivo, e o NLog registra cada varredura e cada falha.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Sintoma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Causa e solução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NU1105 "Unable to find project information" ao abrir a solution</w:t>
            </w:r>
          </w:p>
        </w:tc>
        <w:tc>
          <w:tcPr>
            <w:tcW w:w="4920" w:type="dxa"/>
          </w:tcPr>
          <w:p>
            <w:pPr/>
            <w:r>
              <w:t xml:space="preserve">cache do Visual Studio: feche, apague </w:t>
            </w:r>
            <w:r>
              <w:rPr>
                <w:rStyle w:val="CodeChar"/>
              </w:rPr>
              <w:t xml:space="preserve">.vs</w:t>
            </w:r>
            <w:r>
              <w:t xml:space="preserve">, </w:t>
            </w:r>
            <w:r>
              <w:rPr>
                <w:rStyle w:val="CodeChar"/>
              </w:rPr>
              <w:t xml:space="preserve">obj</w:t>
            </w:r>
            <w:r>
              <w:t xml:space="preserve"> e </w:t>
            </w:r>
            <w:r>
              <w:rPr>
                <w:rStyle w:val="CodeChar"/>
              </w:rPr>
              <w:t xml:space="preserve">bin</w:t>
            </w:r>
            <w:r>
              <w:t xml:space="preserve"> e abra de novo (passo 2); confira também os nomes das pastas (passo 1)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Erros de compilação com </w:t>
            </w:r>
            <w:r>
              <w:rPr>
                <w:rStyle w:val="CodeChar"/>
              </w:rPr>
              <w:t xml:space="preserve">EmailIndexing*</w:t>
            </w:r>
            <w:r>
              <w:t xml:space="preserve">, </w:t>
            </w:r>
            <w:r>
              <w:rPr>
                <w:rStyle w:val="CodeChar"/>
              </w:rPr>
              <w:t xml:space="preserve">ExternalMessageId</w:t>
            </w:r>
            <w:r>
              <w:t xml:space="preserve"> ou </w:t>
            </w:r>
            <w:r>
              <w:rPr>
                <w:rStyle w:val="CodeChar"/>
              </w:rPr>
              <w:t xml:space="preserve">LastEmailReceivedDoneDate</w:t>
            </w:r>
          </w:p>
        </w:tc>
        <w:tc>
          <w:tcPr>
            <w:tcW w:w="4920" w:type="dxa"/>
          </w:tcPr>
          <w:p>
            <w:pPr/>
            <w:r>
              <w:t xml:space="preserve">backend fora da </w:t>
            </w:r>
            <w:r>
              <w:rPr>
                <w:rStyle w:val="CodeChar"/>
              </w:rPr>
              <w:t xml:space="preserve">staging-latam</w:t>
            </w:r>
            <w:r>
              <w:t xml:space="preserve"> (passo 1)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"Service user ... not found"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ServiceUser.UserName</w:t>
            </w:r>
            <w:r>
              <w:t xml:space="preserve"> não é o GUID do </w:t>
            </w:r>
            <w:r>
              <w:rPr>
                <w:rStyle w:val="CodeChar"/>
              </w:rPr>
              <w:t xml:space="preserve">UserX</w:t>
            </w:r>
            <w:r>
              <w:t xml:space="preserve">, ou o usuário está inativo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Motivo "sinistro não encontrado" num sinistro que existe</w:t>
            </w:r>
          </w:p>
        </w:tc>
        <w:tc>
          <w:tcPr>
            <w:tcW w:w="4920" w:type="dxa"/>
          </w:tcPr>
          <w:p>
            <w:pPr/>
            <w:r>
              <w:t xml:space="preserve">usuário de serviço sem acesso à operação do sinistro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"Could not find file" ou anexo não encontrado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Files.Temp</w:t>
            </w:r>
            <w:r>
              <w:t xml:space="preserve"> diferente da pasta em que a API lê os anexos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Motivo "Timeout"</w:t>
            </w:r>
          </w:p>
        </w:tc>
        <w:tc>
          <w:tcPr>
            <w:tcW w:w="4920" w:type="dxa"/>
          </w:tcPr>
          <w:p>
            <w:pPr/>
            <w:r>
              <w:t xml:space="preserve">serviço de integração do país parado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Log "No mailbox configured"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EmailIndexingMailbox</w:t>
            </w:r>
            <w:r>
              <w:t xml:space="preserve"> vazio no </w:t>
            </w:r>
            <w:r>
              <w:rPr>
                <w:rStyle w:val="CodeChar"/>
              </w:rPr>
              <w:t xml:space="preserve">ParameterRoot</w:t>
            </w:r>
            <w:r>
              <w:t xml:space="preserve"> do país, ou o banco não respondeu desde que o serviço subiu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A varredura falha e os e-mails ficam na Caixa de Entrada</w:t>
            </w:r>
          </w:p>
        </w:tc>
        <w:tc>
          <w:tcPr>
            <w:tcW w:w="4920" w:type="dxa"/>
          </w:tcPr>
          <w:p>
            <w:pPr/>
            <w:r>
              <w:t xml:space="preserve">banco ou Graph fora; o serviço tenta de novo na próxima varredura, sem duplicar, e avisa o </w:t>
            </w:r>
            <w:r>
              <w:rPr>
                <w:rStyle w:val="CodeChar"/>
              </w:rPr>
              <w:t xml:space="preserve">EmailIndexingAlertBox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O Graph recusa o acesso (401 ou 403)</w:t>
            </w:r>
          </w:p>
        </w:tc>
        <w:tc>
          <w:tcPr>
            <w:tcW w:w="4920" w:type="dxa"/>
          </w:tcPr>
          <w:p>
            <w:pPr/>
            <w:r>
              <w:t xml:space="preserve">falta o consentimento de administrador, a permissão é delegada em vez de aplicação, ou o secret ou certificado está errado ou vencido (passo 4)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2"/>
    </w:lvlOverride>
  </w:num>
  <w:num w:numId="16">
    <w:abstractNumId w:val="1"/>
    <w:lvlOverride w:ilvl="0">
      <w:startOverride w:val="1"/>
    </w:lvlOverride>
  </w:num>
  <w:num w:numId="1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LTDEV-2 – Configuração do EmailIndexingService</dc:title>
  <dc:description>Claude Docs node/be1a1d31-d2ff@11 docx-w7</dc:description>
  <cp:revision>11</cp:revision>
</cp:coreProperties>
</file>