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LTDEV-2 – Passo a passo de configuração</w:t>
      </w:r>
    </w:p>
    <w:p>
      <w:pPr>
        <w:spacing w:after="120"/>
      </w:pPr>
      <w:r>
        <w:t>Indexação automática de e-mails (EmailIndexingService). Roteiro para configurar o ambiente de teste a partir dos repositórios já baixados. Nomes de scripts, tabelas e colunas conforme a branch staging-latam.</w:t>
      </w:r>
    </w:p>
    <w:p>
      <w:pPr>
        <w:pStyle w:val="Heading1"/>
      </w:pPr>
      <w:r>
        <w:rPr>
          <w:rFonts w:ascii="Calibri" w:hAnsi="Calibri"/>
          <w:color w:val="1F3A5F"/>
        </w:rPr>
        <w:t>1. Branches e compilação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</w:rPr>
              <w:t>Repositório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</w:rPr>
              <w:t>Branch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C:\Projetos\BRSCloud-Backend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staging-latam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C:\Projetos\Crawford-Framework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main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C:\Projetos\Service-ClaimEmailAutomation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main</w:t>
            </w:r>
          </w:p>
        </w:tc>
      </w:tr>
    </w:tbl>
    <w:p>
      <w:pPr>
        <w:spacing w:after="40"/>
      </w:pPr>
    </w:p>
    <w:p>
      <w:pPr>
        <w:pStyle w:val="ListNumber"/>
        <w:spacing w:after="40"/>
      </w:pPr>
      <w:r>
        <w:t xml:space="preserve">Fazer </w:t>
      </w:r>
      <w:r>
        <w:rPr>
          <w:rFonts w:ascii="Consolas" w:hAnsi="Consolas"/>
          <w:sz w:val="19"/>
        </w:rPr>
        <w:t>git pull</w:t>
      </w:r>
      <w:r>
        <w:t xml:space="preserve"> nos três repositórios.</w:t>
      </w:r>
    </w:p>
    <w:p>
      <w:pPr>
        <w:pStyle w:val="ListNumber"/>
        <w:spacing w:after="40"/>
      </w:pPr>
      <w:r>
        <w:t xml:space="preserve">Fechar o Visual Studio e apagar as pastas </w:t>
      </w:r>
      <w:r>
        <w:rPr>
          <w:rFonts w:ascii="Consolas" w:hAnsi="Consolas"/>
          <w:sz w:val="19"/>
        </w:rPr>
        <w:t>.vs</w:t>
      </w:r>
      <w:r>
        <w:t xml:space="preserve">, </w:t>
      </w:r>
      <w:r>
        <w:rPr>
          <w:rFonts w:ascii="Consolas" w:hAnsi="Consolas"/>
          <w:sz w:val="19"/>
        </w:rPr>
        <w:t>obj</w:t>
      </w:r>
      <w:r>
        <w:t xml:space="preserve"> e </w:t>
      </w:r>
      <w:r>
        <w:rPr>
          <w:rFonts w:ascii="Consolas" w:hAnsi="Consolas"/>
          <w:sz w:val="19"/>
        </w:rPr>
        <w:t>bin</w:t>
      </w:r>
      <w:r>
        <w:t xml:space="preserve"> (a cache antiga causa o erro NU1105).</w:t>
      </w:r>
    </w:p>
    <w:p>
      <w:pPr>
        <w:pStyle w:val="ListNumber"/>
        <w:spacing w:after="40"/>
      </w:pPr>
      <w:r>
        <w:t xml:space="preserve">Abrir </w:t>
      </w:r>
      <w:r>
        <w:rPr>
          <w:rFonts w:ascii="Consolas" w:hAnsi="Consolas"/>
          <w:sz w:val="19"/>
        </w:rPr>
        <w:t>slnEmailIndexingService.sln</w:t>
      </w:r>
      <w:r>
        <w:t xml:space="preserve"> e fazer </w:t>
      </w:r>
      <w:r>
        <w:rPr>
          <w:b/>
        </w:rPr>
        <w:t>Rebuild Solution</w:t>
      </w:r>
      <w:r>
        <w:t>. Resultado esperado: 0 erros.</w:t>
      </w:r>
    </w:p>
    <w:p>
      <w:pPr>
        <w:pStyle w:val="Heading1"/>
      </w:pPr>
      <w:r>
        <w:rPr>
          <w:rFonts w:ascii="Calibri" w:hAnsi="Calibri"/>
          <w:color w:val="1F3A5F"/>
        </w:rPr>
        <w:t>2. Banco OneCrawfordDB: scripts</w:t>
      </w:r>
    </w:p>
    <w:p>
      <w:pPr>
        <w:spacing w:after="120"/>
      </w:pPr>
      <w:r>
        <w:t>Primeiro, verificar se o pré-requisito já existe: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COL_LENGTH('ParameterRoot','CountryCode')   -- NULL = nao existe</w:t>
      </w:r>
    </w:p>
    <w:p>
      <w:pPr>
        <w:spacing w:after="40"/>
      </w:pPr>
    </w:p>
    <w:p>
      <w:pPr>
        <w:spacing w:after="120"/>
      </w:pPr>
      <w:r>
        <w:t xml:space="preserve">Se vier NULL, rodar antes: </w:t>
      </w:r>
      <w:r>
        <w:rPr>
          <w:rFonts w:ascii="Consolas" w:hAnsi="Consolas"/>
          <w:sz w:val="19"/>
        </w:rPr>
        <w:t>OneCrawford.Infra.Database.SqlServer\scripts\2026\DEVLATAM-523 OneCrawfordDB.sql</w:t>
      </w:r>
      <w:r>
        <w:t>.</w:t>
      </w:r>
    </w:p>
    <w:p>
      <w:pPr>
        <w:spacing w:after="120"/>
      </w:pPr>
      <w:r>
        <w:t xml:space="preserve">Depois, rodar os scripts da pasta </w:t>
      </w:r>
      <w:r>
        <w:rPr>
          <w:rFonts w:ascii="Consolas" w:hAnsi="Consolas"/>
          <w:sz w:val="19"/>
        </w:rPr>
        <w:t>OneCrawford.Infra.Database.SqlServer\_executar\</w:t>
      </w:r>
      <w:r>
        <w:t>, nesta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</w:rPr>
              <w:t>Banco</w:t>
            </w:r>
          </w:p>
        </w:tc>
      </w:tr>
      <w:tr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OneCrawfordDB.sql</w:t>
            </w:r>
          </w:p>
        </w:tc>
        <w:tc>
          <w:tcPr>
            <w:tcW w:type="dxa" w:w="2835"/>
          </w:tcPr>
          <w:p>
            <w:r/>
            <w:r>
              <w:t>OneCrawfordDB</w:t>
            </w:r>
          </w:p>
        </w:tc>
      </w:tr>
      <w:tr>
        <w:tc>
          <w:tcPr>
            <w:tcW w:type="dxa" w:w="567"/>
          </w:tcPr>
          <w:p>
            <w:r/>
            <w:r>
              <w:t>2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Index OneCrawfordDB.sql</w:t>
            </w:r>
          </w:p>
        </w:tc>
        <w:tc>
          <w:tcPr>
            <w:tcW w:type="dxa" w:w="2835"/>
          </w:tcPr>
          <w:p>
            <w:r/>
            <w:r>
              <w:t>OneCrawfordDB</w:t>
            </w:r>
          </w:p>
        </w:tc>
      </w:tr>
      <w:tr>
        <w:tc>
          <w:tcPr>
            <w:tcW w:type="dxa" w:w="567"/>
          </w:tcPr>
          <w:p>
            <w:r/>
            <w:r>
              <w:t>3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LocalizationsDB.sql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LocalizationsDB</w:t>
            </w:r>
          </w:p>
        </w:tc>
      </w:tr>
      <w:tr>
        <w:tc>
          <w:tcPr>
            <w:tcW w:type="dxa" w:w="567"/>
          </w:tcPr>
          <w:p>
            <w:r/>
            <w:r>
              <w:t>4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Export Tags OneCrawfordDB.sql</w:t>
            </w:r>
          </w:p>
        </w:tc>
        <w:tc>
          <w:tcPr>
            <w:tcW w:type="dxa" w:w="2835"/>
          </w:tcPr>
          <w:p>
            <w:r/>
            <w:r>
              <w:t>OneCrawfordDB</w:t>
            </w:r>
          </w:p>
        </w:tc>
      </w:tr>
    </w:tbl>
    <w:p>
      <w:pPr>
        <w:spacing w:after="40"/>
      </w:pPr>
    </w:p>
    <w:p>
      <w:pPr>
        <w:spacing w:after="120"/>
      </w:pPr>
      <w:r>
        <w:t>Todos podem rodar de novo sem efeito. Os scripts DEVLATAM-563 da mesma pasta não fazem parte do LTDEV-2.</w:t>
      </w:r>
    </w:p>
    <w:p>
      <w:pPr>
        <w:spacing w:after="120"/>
      </w:pPr>
      <w:r>
        <w:t>Conferir se as colunas foram criadas (os três valores precisam vir diferentes de NULL):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COL_LENGTH('ClaimChronology','LastEmailReceivedDoneDate') as Cronologia,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COL_LENGTH('AttachmentClaim','ExternalMessageId')         as Anexo,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COL_LENGTH('ParameterRoot','EmailIndexingMailbox')        as Parametro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3. Tabela ParameterRoot: configurar o país</w:t>
      </w:r>
    </w:p>
    <w:p>
      <w:pPr>
        <w:spacing w:after="120"/>
      </w:pPr>
      <w:r>
        <w:t>Não há tela para esta configuração; é feita por update. Exemplo para o Brasil (</w:t>
      </w:r>
      <w:r>
        <w:rPr>
          <w:rFonts w:ascii="Consolas" w:hAnsi="Consolas"/>
          <w:sz w:val="19"/>
        </w:rPr>
        <w:t>RootId = 1</w:t>
      </w:r>
      <w:r>
        <w:t>):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update ParameterRoot set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EmailIndexingMailbox      = '&lt;caixa monitorada do teste&gt;',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EmailIndexingManualBox    = '&lt;e-mail que recebe os recusados&gt;',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EmailIndexingStore        = 1,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EmailIndexingStoreDays    = 0,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EmailIndexingLocalDomains = 'crawfordbrasil.com.br',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EmailIndexingAlertBox     = '&lt;e-mail que recebe o aviso de erro&gt;'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where RootId = 1</w:t>
      </w:r>
    </w:p>
    <w:p>
      <w:pPr>
        <w:spacing w:after="40"/>
      </w:pPr>
    </w:p>
    <w:p>
      <w:pPr>
        <w:spacing w:after="120"/>
      </w:pPr>
      <w:r>
        <w:t xml:space="preserve">Conferir (o </w:t>
      </w:r>
      <w:r>
        <w:rPr>
          <w:rFonts w:ascii="Consolas" w:hAnsi="Consolas"/>
          <w:sz w:val="19"/>
        </w:rPr>
        <w:t>CountryCode</w:t>
      </w:r>
      <w:r>
        <w:t xml:space="preserve"> precisa ser </w:t>
      </w:r>
      <w:r>
        <w:rPr>
          <w:rFonts w:ascii="Consolas" w:hAnsi="Consolas"/>
          <w:sz w:val="19"/>
        </w:rPr>
        <w:t>BR</w:t>
      </w:r>
      <w:r>
        <w:t>):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RootId, CountryCode, EmailIndexingMailbox, EmailIndexingManualBox,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EmailIndexingStore, EmailIndexingStoreDays,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EmailIndexingLocalDomains, EmailIndexingAlertBox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from ParameterRoot where RootId = 1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</w:rPr>
              <w:t>O que preencher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EmailIndexingMailbox</w:t>
            </w:r>
          </w:p>
        </w:tc>
        <w:tc>
          <w:tcPr>
            <w:tcW w:type="dxa" w:w="6520"/>
          </w:tcPr>
          <w:p>
            <w:r/>
            <w:r>
              <w:t>caixa que o serviço lê (a mesma que o aplicativo do Azure acessa). Vazio = o país não é varrido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EmailIndexingManualBox</w:t>
            </w:r>
          </w:p>
        </w:tc>
        <w:tc>
          <w:tcPr>
            <w:tcW w:type="dxa" w:w="6520"/>
          </w:tcPr>
          <w:p>
            <w:r/>
            <w:r>
              <w:t>quem recebe os e-mails recusados, com o motivo. Vazio = só vão para a pasta Rejeitados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EmailIndexingStore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1</w:t>
            </w:r>
            <w:r>
              <w:t>. Com 0, o expurgo apaga tudo das pastas Processados e Rejeitados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EmailIndexingStoreDays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0</w:t>
            </w:r>
            <w:r>
              <w:t xml:space="preserve"> = guarda para sempre (com Store = 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EmailIndexingLocalDomains</w:t>
            </w:r>
          </w:p>
        </w:tc>
        <w:tc>
          <w:tcPr>
            <w:tcW w:type="dxa" w:w="6520"/>
          </w:tcPr>
          <w:p>
            <w:r/>
            <w:r>
              <w:t xml:space="preserve">domínios internos, separados por </w:t>
            </w:r>
            <w:r>
              <w:rPr>
                <w:rFonts w:ascii="Consolas" w:hAnsi="Consolas"/>
                <w:sz w:val="19"/>
              </w:rPr>
              <w:t>;</w:t>
            </w:r>
            <w:r>
              <w:t>. E-mail desses domínios anexa, mas não preenche a data da cronologia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EmailIndexingAlertBox</w:t>
            </w:r>
          </w:p>
        </w:tc>
        <w:tc>
          <w:tcPr>
            <w:tcW w:type="dxa" w:w="6520"/>
          </w:tcPr>
          <w:p>
            <w:r/>
            <w:r>
              <w:t xml:space="preserve">quem recebe o aviso de erro crítico (vários separados por </w:t>
            </w:r>
            <w:r>
              <w:rPr>
                <w:rFonts w:ascii="Consolas" w:hAnsi="Consolas"/>
                <w:sz w:val="19"/>
              </w:rPr>
              <w:t>;</w:t>
            </w:r>
            <w:r>
              <w:t>). NULL = só no 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CountryCode</w:t>
            </w:r>
          </w:p>
        </w:tc>
        <w:tc>
          <w:tcPr>
            <w:tcW w:type="dxa" w:w="6520"/>
          </w:tcPr>
          <w:p>
            <w:r/>
            <w:r>
              <w:t>já existe; prefixo do sinistro no assunto (</w:t>
            </w:r>
            <w:r>
              <w:rPr>
                <w:rFonts w:ascii="Consolas" w:hAnsi="Consolas"/>
                <w:sz w:val="19"/>
              </w:rPr>
              <w:t>BR</w:t>
            </w:r>
            <w:r>
              <w:t>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4. Usuário de serviço: obter o GUID</w:t>
      </w:r>
    </w:p>
    <w:p>
      <w:pPr>
        <w:spacing w:after="120"/>
      </w:pPr>
      <w:r>
        <w:t>O serviço grava em nome de um usuário do BRS Cloud. Para o teste pode ser um usuário do Brasil, ativo e com acesso a todas as operações (ex.: um administrador).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UniqueId, UserName, PersonId, RootId, IsActive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from usr.UserX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where RootId = 1 and IsActive = 1 and UserName = '&lt;login do usuario&gt;'</w:t>
      </w:r>
    </w:p>
    <w:p>
      <w:pPr>
        <w:spacing w:after="40"/>
      </w:pPr>
    </w:p>
    <w:p>
      <w:pPr>
        <w:spacing w:after="120"/>
      </w:pPr>
      <w:r>
        <w:t xml:space="preserve">O </w:t>
      </w:r>
      <w:r>
        <w:rPr>
          <w:rFonts w:ascii="Consolas" w:hAnsi="Consolas"/>
          <w:sz w:val="19"/>
        </w:rPr>
        <w:t>UniqueId</w:t>
      </w:r>
      <w:r>
        <w:t xml:space="preserve"> retornado vai em </w:t>
      </w:r>
      <w:r>
        <w:rPr>
          <w:rFonts w:ascii="Consolas" w:hAnsi="Consolas"/>
          <w:sz w:val="19"/>
        </w:rPr>
        <w:t>ServiceUser.UserName</w:t>
      </w:r>
      <w:r>
        <w:t xml:space="preserve"> no appsettings. É o GUID, </w:t>
      </w:r>
      <w:r>
        <w:rPr>
          <w:b/>
        </w:rPr>
        <w:t>não</w:t>
      </w:r>
      <w:r>
        <w:t xml:space="preserve"> o login.</w:t>
      </w:r>
    </w:p>
    <w:p>
      <w:pPr>
        <w:pStyle w:val="Heading1"/>
      </w:pPr>
      <w:r>
        <w:rPr>
          <w:rFonts w:ascii="Calibri" w:hAnsi="Calibri"/>
          <w:color w:val="1F3A5F"/>
        </w:rPr>
        <w:t>5. appsettings.json</w:t>
      </w:r>
    </w:p>
    <w:p>
      <w:pPr>
        <w:spacing w:after="120"/>
      </w:pPr>
      <w:r>
        <w:t xml:space="preserve">Copiar o arquivo </w:t>
      </w:r>
      <w:r>
        <w:rPr>
          <w:rFonts w:ascii="Consolas" w:hAnsi="Consolas"/>
          <w:sz w:val="19"/>
        </w:rPr>
        <w:t>LTDEV-2 appsettings.json</w:t>
      </w:r>
      <w:r>
        <w:t xml:space="preserve"> (enviado junto) para </w:t>
      </w:r>
      <w:r>
        <w:rPr>
          <w:rFonts w:ascii="Consolas" w:hAnsi="Consolas"/>
          <w:sz w:val="19"/>
        </w:rPr>
        <w:t>C:\Projetos\Service-ClaimEmailAutomation\EmailIndexingService\appsettings.json</w:t>
      </w:r>
      <w:r>
        <w:t xml:space="preserve"> e preencher os campos </w:t>
      </w:r>
      <w:r>
        <w:rPr>
          <w:rFonts w:ascii="Consolas" w:hAnsi="Consolas"/>
          <w:sz w:val="19"/>
        </w:rPr>
        <w:t>&lt;...&gt;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</w:rPr>
              <w:t>Seção / campo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</w:rPr>
              <w:t>De onde vem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/>
                <w:sz w:val="19"/>
              </w:rPr>
              <w:t>AppSettings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ConnectionStrings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RabbitMQ</w:t>
            </w:r>
            <w:r>
              <w:t xml:space="preserve"> (Host e Username), </w:t>
            </w:r>
            <w:r>
              <w:rPr>
                <w:rFonts w:ascii="Consolas" w:hAnsi="Consolas"/>
                <w:sz w:val="19"/>
              </w:rPr>
              <w:t>Files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Integration</w:t>
            </w:r>
          </w:p>
        </w:tc>
        <w:tc>
          <w:tcPr>
            <w:tcW w:type="dxa" w:w="5386"/>
          </w:tcPr>
          <w:p>
            <w:r/>
            <w:r>
              <w:t>copiar do appsettings da API local (</w:t>
            </w:r>
            <w:r>
              <w:rPr>
                <w:rFonts w:ascii="Consolas" w:hAnsi="Consolas"/>
                <w:sz w:val="19"/>
              </w:rPr>
              <w:t>OneCrawford.Services.Api</w:t>
            </w:r>
            <w:r>
              <w:t xml:space="preserve">). Precisa ser o mesmo banco e a mesma pasta </w:t>
            </w:r>
            <w:r>
              <w:rPr>
                <w:rFonts w:ascii="Consolas" w:hAnsi="Consolas"/>
                <w:sz w:val="19"/>
              </w:rPr>
              <w:t>Files.Temp</w:t>
            </w:r>
            <w:r>
              <w:t xml:space="preserve"> da API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/>
                <w:sz w:val="19"/>
              </w:rPr>
              <w:t>Graph.TenantId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Graph.ClientId</w:t>
            </w:r>
          </w:p>
        </w:tc>
        <w:tc>
          <w:tcPr>
            <w:tcW w:type="dxa" w:w="5386"/>
          </w:tcPr>
          <w:p>
            <w:r/>
            <w:r>
              <w:t>enviados separadamente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onsolas" w:hAnsi="Consolas"/>
                <w:sz w:val="19"/>
              </w:rPr>
              <w:t>ServiceUser.UserName</w:t>
            </w:r>
          </w:p>
        </w:tc>
        <w:tc>
          <w:tcPr>
            <w:tcW w:type="dxa" w:w="5386"/>
          </w:tcPr>
          <w:p>
            <w:r/>
            <w:r>
              <w:t>GUID obtido no passo 4</w:t>
            </w:r>
          </w:p>
        </w:tc>
      </w:tr>
      <w:tr>
        <w:tc>
          <w:tcPr>
            <w:tcW w:type="dxa" w:w="3969"/>
          </w:tcPr>
          <w:p>
            <w:r/>
            <w:r>
              <w:t>Demais campos</w:t>
            </w:r>
          </w:p>
        </w:tc>
        <w:tc>
          <w:tcPr>
            <w:tcW w:type="dxa" w:w="5386"/>
          </w:tcPr>
          <w:p>
            <w:r/>
            <w:r>
              <w:t>já vêm preenchidos (filas, pastas, intervalos)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O arquivo não é versionado: o hook de pre-commit do repositório bloqueia </w:t>
      </w:r>
      <w:r>
        <w:rPr>
          <w:rFonts w:ascii="Consolas" w:hAnsi="Consolas"/>
          <w:sz w:val="19"/>
        </w:rPr>
        <w:t>appsettings.json</w:t>
      </w:r>
      <w:r>
        <w:t xml:space="preserve"> e </w:t>
      </w:r>
      <w:r>
        <w:rPr>
          <w:rFonts w:ascii="Consolas" w:hAnsi="Consolas"/>
          <w:sz w:val="19"/>
        </w:rPr>
        <w:t>NLog.config</w:t>
      </w:r>
      <w:r>
        <w:t>.</w:t>
      </w:r>
    </w:p>
    <w:p>
      <w:pPr>
        <w:pStyle w:val="Heading1"/>
      </w:pPr>
      <w:r>
        <w:rPr>
          <w:rFonts w:ascii="Calibri" w:hAnsi="Calibri"/>
          <w:color w:val="1F3A5F"/>
        </w:rPr>
        <w:t>6. User Secrets (segredos fora do appsettings)</w:t>
      </w:r>
    </w:p>
    <w:p>
      <w:pPr>
        <w:spacing w:after="120"/>
      </w:pPr>
      <w:r>
        <w:t xml:space="preserve">No Visual Studio: botão direito no projeto </w:t>
      </w:r>
      <w:r>
        <w:rPr>
          <w:b/>
        </w:rPr>
        <w:t>EmailIndexingService</w:t>
      </w:r>
      <w:r>
        <w:t xml:space="preserve"> &gt; </w:t>
      </w:r>
      <w:r>
        <w:rPr>
          <w:b/>
        </w:rPr>
        <w:t>Manage User Secrets</w:t>
      </w:r>
      <w:r>
        <w:t>, e preencher: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"Graph:ClientSecret": "&lt;secret do aplicativo, enviado separadamente&gt;",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"RabbitMQ:Password": "&lt;senha do RabbitMQ, se houver&gt;"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}</w:t>
      </w:r>
    </w:p>
    <w:p>
      <w:pPr>
        <w:spacing w:after="40"/>
      </w:pPr>
    </w:p>
    <w:p>
      <w:pPr>
        <w:spacing w:after="120"/>
      </w:pPr>
      <w:r>
        <w:t>Os User Secrets só são lidos no ambiente Development, que é o padrão ao rodar pelo Visual Studio.</w:t>
      </w:r>
    </w:p>
    <w:p>
      <w:pPr>
        <w:pStyle w:val="Heading1"/>
      </w:pPr>
      <w:r>
        <w:rPr>
          <w:rFonts w:ascii="Calibri" w:hAnsi="Calibri"/>
          <w:color w:val="1F3A5F"/>
        </w:rPr>
        <w:t>7. Rodar e testar</w:t>
      </w:r>
    </w:p>
    <w:p>
      <w:pPr>
        <w:pStyle w:val="ListNumber"/>
        <w:spacing w:after="40"/>
      </w:pPr>
      <w:r>
        <w:t xml:space="preserve">Definir </w:t>
      </w:r>
      <w:r>
        <w:rPr>
          <w:b/>
        </w:rPr>
        <w:t>EmailIndexingService</w:t>
      </w:r>
      <w:r>
        <w:t xml:space="preserve"> como projeto de inicialização e apertar </w:t>
      </w:r>
      <w:r>
        <w:rPr>
          <w:b/>
        </w:rPr>
        <w:t>F5</w:t>
      </w:r>
      <w:r>
        <w:t>. A primeira varredura roda logo ao iniciar e repete a cada 10 minutos.</w:t>
      </w:r>
    </w:p>
    <w:p>
      <w:pPr>
        <w:pStyle w:val="ListNumber"/>
        <w:spacing w:after="40"/>
      </w:pPr>
      <w:r>
        <w:t xml:space="preserve">De um endereço </w:t>
      </w:r>
      <w:r>
        <w:rPr>
          <w:b/>
        </w:rPr>
        <w:t>externo</w:t>
      </w:r>
      <w:r>
        <w:t xml:space="preserve">, enviar para a caixa monitorada um e-mail com assunto </w:t>
      </w:r>
      <w:r>
        <w:rPr>
          <w:rFonts w:ascii="Consolas" w:hAnsi="Consolas"/>
          <w:sz w:val="19"/>
        </w:rPr>
        <w:t>BR&lt;código de um sinistro existente&gt; teste</w:t>
      </w:r>
      <w:r>
        <w:t xml:space="preserve"> e um anexo.</w:t>
      </w:r>
    </w:p>
    <w:p>
      <w:pPr>
        <w:pStyle w:val="ListNumber"/>
        <w:spacing w:after="40"/>
      </w:pPr>
      <w:r>
        <w:t>Após a varredura, conferir: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 xml:space="preserve">O e-mail está na pasta </w:t>
      </w:r>
      <w:r>
        <w:rPr>
          <w:b/>
        </w:rPr>
        <w:t>Processados</w:t>
      </w:r>
      <w:r>
        <w:t>, como não lido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 xml:space="preserve">O </w:t>
      </w:r>
      <w:r>
        <w:rPr>
          <w:rFonts w:ascii="Consolas" w:hAnsi="Consolas"/>
          <w:sz w:val="19"/>
        </w:rPr>
        <w:t>.msg</w:t>
      </w:r>
      <w:r>
        <w:t xml:space="preserve"> está na pasta de E-mails do sinistro e o anexo na de Documentos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>A data de "Comunicação/e-mail recebido" foi preenchida na cronologia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>O regulador principal recebeu o aviso</w:t>
      </w:r>
    </w:p>
    <w:p>
      <w:pPr>
        <w:spacing w:after="120"/>
      </w:pPr>
      <w:r>
        <w:t xml:space="preserve">Os demais casos (sem código, sinistro inexistente, cancelado, encerrado, domínio interno) estão no roteiro </w:t>
      </w:r>
      <w:r>
        <w:rPr>
          <w:b/>
        </w:rPr>
        <w:t>LTDEV-2 - Documentação de Teste.docx</w:t>
      </w:r>
      <w:r>
        <w:t>.</w:t>
      </w:r>
    </w:p>
    <w:p>
      <w:pPr>
        <w:pStyle w:val="Heading1"/>
      </w:pPr>
      <w:r>
        <w:rPr>
          <w:rFonts w:ascii="Calibri" w:hAnsi="Calibri"/>
          <w:color w:val="1F3A5F"/>
        </w:rPr>
        <w:t>8.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</w:rPr>
              <w:t>Causa e solução</w:t>
            </w:r>
          </w:p>
        </w:tc>
      </w:tr>
      <w:tr>
        <w:tc>
          <w:tcPr>
            <w:tcW w:type="dxa" w:w="3685"/>
          </w:tcPr>
          <w:p>
            <w:r/>
            <w:r>
              <w:t>NU1105 ao abrir a solution</w:t>
            </w:r>
          </w:p>
        </w:tc>
        <w:tc>
          <w:tcPr>
            <w:tcW w:type="dxa" w:w="5669"/>
          </w:tcPr>
          <w:p>
            <w:r/>
            <w:r>
              <w:t xml:space="preserve">cache do Visual Studio: fechar, apagar </w:t>
            </w:r>
            <w:r>
              <w:rPr>
                <w:rFonts w:ascii="Consolas" w:hAnsi="Consolas"/>
                <w:sz w:val="19"/>
              </w:rPr>
              <w:t>.vs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</w:t>
            </w:r>
            <w:r>
              <w:t xml:space="preserve"> e </w:t>
            </w:r>
            <w:r>
              <w:rPr>
                <w:rFonts w:ascii="Consolas" w:hAnsi="Consolas"/>
                <w:sz w:val="19"/>
              </w:rPr>
              <w:t>bin</w:t>
            </w:r>
            <w:r>
              <w:t xml:space="preserve"> e abrir de novo</w:t>
            </w:r>
          </w:p>
        </w:tc>
      </w:tr>
      <w:tr>
        <w:tc>
          <w:tcPr>
            <w:tcW w:type="dxa" w:w="3685"/>
          </w:tcPr>
          <w:p>
            <w:r/>
            <w:r>
              <w:t xml:space="preserve">Erros de compilação com </w:t>
            </w:r>
            <w:r>
              <w:rPr>
                <w:rFonts w:ascii="Consolas" w:hAnsi="Consolas"/>
                <w:sz w:val="19"/>
              </w:rPr>
              <w:t>EmailIndexing*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ExternalMessageId</w:t>
            </w:r>
            <w:r>
              <w:t xml:space="preserve"> ou </w:t>
            </w:r>
            <w:r>
              <w:rPr>
                <w:rFonts w:ascii="Consolas" w:hAnsi="Consolas"/>
                <w:sz w:val="19"/>
              </w:rPr>
              <w:t>LastEmailReceivedDoneDate</w:t>
            </w:r>
          </w:p>
        </w:tc>
        <w:tc>
          <w:tcPr>
            <w:tcW w:type="dxa" w:w="5669"/>
          </w:tcPr>
          <w:p>
            <w:r/>
            <w:r>
              <w:t xml:space="preserve">backend fora da branch </w:t>
            </w:r>
            <w:r>
              <w:rPr>
                <w:rFonts w:ascii="Consolas" w:hAnsi="Consolas"/>
                <w:sz w:val="19"/>
              </w:rPr>
              <w:t>staging-latam</w:t>
            </w:r>
          </w:p>
        </w:tc>
      </w:tr>
      <w:tr>
        <w:tc>
          <w:tcPr>
            <w:tcW w:type="dxa" w:w="3685"/>
          </w:tcPr>
          <w:p>
            <w:r/>
            <w:r>
              <w:t>"Service user ... not found"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ServiceUser.UserName</w:t>
            </w:r>
            <w:r>
              <w:t xml:space="preserve"> não é o GUID do </w:t>
            </w:r>
            <w:r>
              <w:rPr>
                <w:rFonts w:ascii="Consolas" w:hAnsi="Consolas"/>
                <w:sz w:val="19"/>
              </w:rPr>
              <w:t>UserX</w:t>
            </w:r>
            <w:r>
              <w:t>, ou o usuário está inativo</w:t>
            </w:r>
          </w:p>
        </w:tc>
      </w:tr>
      <w:tr>
        <w:tc>
          <w:tcPr>
            <w:tcW w:type="dxa" w:w="3685"/>
          </w:tcPr>
          <w:p>
            <w:r/>
            <w:r>
              <w:t>Motivo "sinistro não encontrado" num sinistro que existe</w:t>
            </w:r>
          </w:p>
        </w:tc>
        <w:tc>
          <w:tcPr>
            <w:tcW w:type="dxa" w:w="5669"/>
          </w:tcPr>
          <w:p>
            <w:r/>
            <w:r>
              <w:t>usuário de serviço sem acesso à operação do sinistro</w:t>
            </w:r>
          </w:p>
        </w:tc>
      </w:tr>
      <w:tr>
        <w:tc>
          <w:tcPr>
            <w:tcW w:type="dxa" w:w="3685"/>
          </w:tcPr>
          <w:p>
            <w:r/>
            <w:r>
              <w:t>"Could not find file" / anexo não encontrado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Files.Temp</w:t>
            </w:r>
            <w:r>
              <w:t xml:space="preserve"> diferente da pasta onde a API lê os anexos</w:t>
            </w:r>
          </w:p>
        </w:tc>
      </w:tr>
      <w:tr>
        <w:tc>
          <w:tcPr>
            <w:tcW w:type="dxa" w:w="3685"/>
          </w:tcPr>
          <w:p>
            <w:r/>
            <w:r>
              <w:t>Motivo "Timeout"</w:t>
            </w:r>
          </w:p>
        </w:tc>
        <w:tc>
          <w:tcPr>
            <w:tcW w:type="dxa" w:w="5669"/>
          </w:tcPr>
          <w:p>
            <w:r/>
            <w:r>
              <w:t>serviço de integração do país parado</w:t>
            </w:r>
          </w:p>
        </w:tc>
      </w:tr>
      <w:tr>
        <w:tc>
          <w:tcPr>
            <w:tcW w:type="dxa" w:w="3685"/>
          </w:tcPr>
          <w:p>
            <w:r/>
            <w:r>
              <w:t>Log "No mailbox configured"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EmailIndexingMailbox</w:t>
            </w:r>
            <w:r>
              <w:t xml:space="preserve"> vazio no </w:t>
            </w:r>
            <w:r>
              <w:rPr>
                <w:rFonts w:ascii="Consolas" w:hAnsi="Consolas"/>
                <w:sz w:val="19"/>
              </w:rPr>
              <w:t>ParameterRoot</w:t>
            </w:r>
            <w:r>
              <w:t>, ou o banco não respondeu</w:t>
            </w:r>
          </w:p>
        </w:tc>
      </w:tr>
      <w:tr>
        <w:tc>
          <w:tcPr>
            <w:tcW w:type="dxa" w:w="3685"/>
          </w:tcPr>
          <w:p>
            <w:r/>
            <w:r>
              <w:t>O Graph recusa o acesso (401/403)</w:t>
            </w:r>
          </w:p>
        </w:tc>
        <w:tc>
          <w:tcPr>
            <w:tcW w:type="dxa" w:w="5669"/>
          </w:tcPr>
          <w:p>
            <w:r/>
            <w:r>
              <w:t>falta consentimento de administrador, permissão delegada em vez de aplicação, ou secret errado/vencido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