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Portal Externo BRS Cloud</w:t>
      </w:r>
    </w:p>
    <w:p>
      <w:pPr>
        <w:pBdr>
          <w:bottom w:val="single" w:color="1F4E79" w:sz="12" w:space="10"/>
        </w:pBdr>
        <w:spacing w:after="200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Análise técnica, estimativa e plano de execução</w:t>
      </w:r>
    </w:p>
    <w:p>
      <w:pPr>
        <w:spacing w:after="40" w:before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Antlia · Crawford Brasil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Elaborado por Nelson Diniz</w:t>
      </w:r>
    </w:p>
    <w:p>
      <w:r>
        <w:rPr>
          <w:rFonts w:ascii="Calibri" w:cs="Calibri" w:eastAsia="Calibri" w:hAnsi="Calibri"/>
          <w:color w:val="595959"/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Sumário executivo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consolida a análise técnica do portal externo do BRS Cloud, a estimativa de esforço para sua reestruturação e o plano de execução em 31 cards, conforme definido na reunião de 16 de setembro de 2026.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conclusão da análise é que o portal deve ser reescrito como uma estrutura paralela, e não alterado no lugar. O código atual carrega a identificação de um cliente específico espalhada por seis componentes e cerca de vinte e cinco pontos de template, e alterá-lo implicaria risco de quebrar o que já está em produção. A reescrita é viável porque o módulo é autocontido e porque o sistema já seleciona qual portal servir em tempo de compilação — o portal atual permanece intacto e no ar durante todo o projeto.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Há uma base relevante já pronta e ociosa no sistema: a parametrização por grupo de usuário existe, funciona e é lida no cadastro, mas nunca foi usada para definir campos de tela. A permissão de edição por componente também já está modelada e nunca foi consumida pelo portal externo. Isso reduz o esforço do que seria o item mais caro do projeto.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53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316 horas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Faixa a apresentar ao cliente</w:t>
            </w:r>
          </w:p>
        </w:tc>
        <w:tc>
          <w:tcPr>
            <w:tcW w:type="dxa" w:w="5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 a 380 horas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Dedicação considerada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horas por dia, dedicação integral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Duração</w:t>
            </w:r>
          </w:p>
        </w:tc>
        <w:tc>
          <w:tcPr>
            <w:tcW w:type="dxa" w:w="5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 dias úteis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Início previsto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21/09/2026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Entrega prevista</w:t>
            </w:r>
          </w:p>
        </w:tc>
        <w:tc>
          <w:tcPr>
            <w:tcW w:type="dxa" w:w="5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17/11/2026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Cards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31, distribuídos em 9 blocos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Modelo comercial</w:t>
            </w:r>
          </w:p>
        </w:tc>
        <w:tc>
          <w:tcPr>
            <w:tcW w:type="dxa" w:w="5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Banco de horas</w:t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Recomenda-se apresentar ao cliente a faixa de 300 a 380 horas, e não o número fechado. Em banco de horas fatura-se o consumido: uma faixa protege o fornecedor no caso dos itens de maior incerteza e beneficia o cliente quando a entrega vem abaixo do previsto.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Contexto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portal externo do BRS Cloud é o canal pelo qual corretoras, seguradoras e segurados interagem com a Crawford sem passar pelo sistema interno. Ele existe hoje em duas formas: uma com login e senha, onde o usuário externo cadastra um sinistro e acompanha o que preencheu; e outra sem senha, onde o segurado informa documento e número de sinistro apenas para anexar arquivos pendentes.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2.1. O que motivou o projeto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Clientes precisam editar informações do sinistro e hoje não podem — enviam as alterações para a equipe da Crawford preencher, o que gera retrabalho e confusão.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Cada pedido de campo personalizado vira um desenvolvimento novo. Um cliente pede um campo próprio de identificação; outro pede campos diferentes conforme a operação. Não há como atender sem tocar em código.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 usuário externo enxerga apenas o que ele mesmo preencheu, ainda que o sinistro já tenha evoluído bastante do lado da Crawford.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Não existe recuperação nem troca de senha. A senha é gerada e enviada manualmente, e o usuário não consegue alterá-la.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Há clientes em que todos os sinistros pertencem ao mesmo segurado, mas não é possível fixá-lo no grupo — o documento é digitado a cada abertura, e digitação errada cadastra uma pessoa nova no sistema.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 portal precisa operar para todos os países atendidos.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2.2. Decisão tomada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Construir um portal paralelo, preservando o atual em operação. A migração ocorrerá cliente a cliente, pelo endereço entregue a cada um, com possibilidade de retorno ao portal anterior sem nova publicação.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Análise técnica do sistema atual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3.1. Como os portais são selecionados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sistema define em tempo de compilação qual portal será servido, a partir de um tipo de acesso declarado no arquivo de ambiente. Hoje existem três valores possíveis — interno, segurado e externo — e para cada um há uma árvore de rotas própria e uma configuração de build com pasta de saída separada.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consequência prática é que cada portal é uma publicação independente, com endereço próprio. Isso favorece o projeto: a nova estrutura não compartilha build com a atual e não pode afetá-la. Em contrapartida, a migração de clientes se dá pela troca do endereço entregue, e não por uma configuração dentro do sistema — a relação de quem já foi migrado precisa ser controlada fora da aplicação.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Convém registrar uma distinção que gera confusão recorrente: o portal chamado de externo é o de cadastro, usado por corretoras e seguradoras, enquanto o chamado de segurado é o que apenas recebe documentos.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3.2. O que já existe e reduz o esforço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Parametrização por grupo de usuário, guardando propriedade, tipo e valor. Funciona ponta a ponta e já é lida no momento do cadastro para preencher campos fixos. A parametrização de campos de tela estende esse mecanismo em vez de criar um novo.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Permissão por componente de tela, incluindo a de edição, já modelada no grupo de usuário e em uso no sistema interno. O portal externo nunca a consumiu.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Infraestrutura de envio de e-mail pronta e em uso, o que cobre a parte de entrega do fluxo de recuperação de senha.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Biblioteca de componentes de campo completa — texto, seleção, marcação, data, moeda, número, área de texto, alternador, máscara e hora. Falta apenas a peça que monta o formulário a partir da configuração.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As entidades de permissão de grupo e o controlador do portal externo ficam em projetos compartilhados, não replicados por país. As alterações de servidor não precisam ser repetidas para cada país atendido.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Marcação de visibilidade externa já existente nos documentos, que serve de precedente para o mesmo critério nos campos do sinistro.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3.3. O acoplamento a um cliente específico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portal atual reconhece um cliente por um identificador de grupo escrito diretamente no código, em três componentes distintos. Desse reconhecimento deriva uma marca que trafega por um serviço compartilhado e se ramifica em seis componentes e cerca de vinte e cinco pontos de template, cobrindo praticamente todas as etapas do cadastro. Somam-se a isso três modelos de dados e três endpoints dedicados a esse mesmo cliente.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Há ainda outros identificadores fixos no código, referentes a destino de anexo e unidade, que tornam o portal dependente dos dados de um ambiente específico.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Esse é o principal argumento técnico a favor da reescrita. Desfazer o emaranhado no lugar significaria tocar em todas as etapas do cadastro em produção, com risco de quebrar comportamento existente — exatamente o cenário que se quer evitar.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3.4. O que não existe e precisa ser construído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Endpoint de atualização de sinistro. O portal externo possui apenas gravação de novo registro; não há qualquer caminho de edição no servidor.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Qualquer mecanismo de redefinição ou troca de senha, tanto na interface quanto no servidor.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Vínculo de segurado ao grupo de usuário. Existem os vínculos de corretora, seguradora, cobertura, operação e suboperação, mas não o de segurado.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Componente que monte formulários a partir de configuração. É a peça central do projeto.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3.5. Ponto de atenção na nova estrutura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Existem verificações de tipo de acesso espalhadas fora do módulo do portal — na autenticação, no serviço de usuário, na navegação, no seletor de idioma, no menu e no layout. Elas são escritas como comparações diretas, de modo que um tipo novo cai em ramos que não foram pensados para ele. São falhas silenciosas: não quebram a compilação e só aparecem em execução, eventualmente expondo a um usuário externo um menu de uso interno. O tratamento disso é o card 02.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Estimativa e cronograma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plano considera dedicação integral de 8 horas por dia, com início em 21/09/2026 e entrega em 17/11/2026, totalizando 40 dias úteis. O cálculo desconsidera fins de semana e os feriados nacionais de 12 de outubro, 2 de novembro e 20 de novembro de 2026.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Os cards são executados em sequência, respeitando as dependências entre eles. A única inversão em relação à numeração está no bloco 4, onde a exposição dos dados no servidor precede a montagem da tela.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4.1. Blocos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800"/>
        <w:gridCol w:w="18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Frente de trabalho</w:t>
            </w:r>
          </w:p>
        </w:tc>
        <w:tc>
          <w:tcPr>
            <w:tcW w:type="dxa" w:w="9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Cards</w:t>
            </w:r>
          </w:p>
        </w:tc>
        <w:tc>
          <w:tcPr>
            <w:tcW w:type="dxa" w:w="8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8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Infraestrutura do external2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01–03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21/09 – 23/09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Motor de formulário dinâmico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04–08</w:t>
            </w:r>
          </w:p>
        </w:tc>
        <w:tc>
          <w:tcPr>
            <w:tcW w:type="dxa" w:w="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66h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23/09 – 05/10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Cadastro de sinistro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09–16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06/10 – 16/10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Edição de sinistro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17–19</w:t>
            </w:r>
          </w:p>
        </w:tc>
        <w:tc>
          <w:tcPr>
            <w:tcW w:type="dxa" w:w="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38h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16/10 – 22/10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Visualização do sinistro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20–22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23/10 – 28/10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Segurado no grupo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23–24</w:t>
            </w:r>
          </w:p>
        </w:tc>
        <w:tc>
          <w:tcPr>
            <w:tcW w:type="dxa" w:w="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20h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29/10 – 03/11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Senha e segurança de acesso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25–27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03/11 – 09/11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Portal do segurado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28–28</w:t>
            </w:r>
          </w:p>
        </w:tc>
        <w:tc>
          <w:tcPr>
            <w:tcW w:type="dxa" w:w="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09/11 – 10/11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Validação, homologação e virada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29–31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38h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10/11 – 17/11</w:t>
            </w:r>
          </w:p>
        </w:tc>
      </w:tr>
      <w:tr>
        <w:tc>
          <w:tcPr>
            <w:tcW w:type="dxa" w:w="7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8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316h</w:t>
            </w:r>
          </w:p>
        </w:tc>
        <w:tc>
          <w:tcPr>
            <w:tcW w:type="dxa" w:w="1800"/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21/09 – 17/11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4.2. Cronograma por card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50"/>
        <w:gridCol w:w="1050"/>
        <w:gridCol w:w="11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42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75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05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Início</w:t>
            </w:r>
          </w:p>
        </w:tc>
        <w:tc>
          <w:tcPr>
            <w:tcW w:type="dxa" w:w="11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Novo tipo de acesso external2 e configurações de build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21/09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21/09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Tratamento do external2 nas verificações de tipo de acesso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21/09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22/09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Esqueleto do módulo e traduções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22/09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23/09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04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Modelo de parametrização de campos por grupo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23/09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25/09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Endpoint de leitura da parametrização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25/09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25/09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Componente renderizador de formulário dinâmico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28/09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30/09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Resolução de valores para campos de seleção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30/09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01/10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Tela de administração dos campos por grupo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02/10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05/10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Estrutura do cadastro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06/10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 de dados do sinistro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07/10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 de pessoas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08/10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 de local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09/10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 de apólice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09/10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 de anexos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13/10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Etapa de finalização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14/10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Remoção do acoplamento a cliente específico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16/10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Endpoint de edição de sinistro pelo portal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16/10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Edição na tela de detalhe do sinistro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21/10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Registro das alterações feitas pelo portal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22/10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Exposição dos campos adicionais do sinistro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26/10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Detalhe do sinistro com blocos parametrizáveis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26/10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Definição dos blocos por cliente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28/10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Segurado nas permissões de grupo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29/10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30/10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Segurado fixo no cadastro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30/10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03/11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Recuperação de senha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03/11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05/11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Telas de recuperação e redefinição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06/11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Troca de senha pelo usuário autenticado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06/11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09/11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Portal de documentos do segurado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09/11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10/11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Validação nos demais países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10/11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12/11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Homologação com a Crawford</w:t>
            </w:r>
          </w:p>
        </w:tc>
        <w:tc>
          <w:tcPr>
            <w:tcW w:type="dxa" w:w="7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16h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12/11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16/11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Publicação e virada do primeiro cliente</w:t>
            </w:r>
          </w:p>
        </w:tc>
        <w:tc>
          <w:tcPr>
            <w:tcW w:type="dxa" w:w="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16/11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17/11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4.3. Premissas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Um desenvolvedor, em dedicação integral de 8 horas por dia.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Ambiente de teste disponível, com acesso ao sistema interno e possibilidade de restauração da base quando necessário.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Revisão de código conduzida pela Crawford ao longo do projeto, e não concentrada ao final.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As alterações de servidor ficam em projetos compartilhados, sem replicação por país.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4.4. Não incluído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 levantamento de negócio sobre quais campos fazem sentido para cada cliente, a ser conduzido pela equipe da Crawford. O trabalho de transformar esse levantamento em configuração está estimado no card 22.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 trabalho de design e definição visual, conduzido em paralelo pela equipe da Crawford.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 troca de nome e logotipo do sistema, que não afeta este projeto: a marca é centralizada em arquivos de imagem e o nome não aparece como texto no módulo do portal externo.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4.5. Riscos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Três cards concentram a incerteza da estimativa e são os candidatos naturais a extrapolar o previsto.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Card 06 — o componente que monta formulários a partir de configuração é a peça central e a de complexidade menos previsível. Casos como campo que só aparece dependendo de outro podem não caber na primeira modelagem e forçar revisão do card 04.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Card 07 — a resolução de valores para campos de seleção só revela sua complexidade ao encostar nos casos reais de cada cliente.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Card 17 — o endpoint de edição define o que um usuário externo pode alterar num sinistro. A autorização precisa ser validada no servidor e não apenas na tela. Aqui o tempo é de revisão e decisão, e comprimi-lo seria o erro mais caro do projeto.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Há ainda um risco de natureza distinta: a base é compartilhada entre países, separados por um identificador. Consultas mal delimitadas cruzam dados entre países ou entre clientes. Isso atravessa vários cards e está registrado individualmente em cada um deles.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4.6. Cards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detalhamento dos 31 cards — objetivo, contexto, critérios de sucesso, riscos técnicos e itens de checklist de cada um — está no arquivo de importação em massa que acompanha este documento, pronto para ser carregado no Jira. Manteve-se fora daqui por ser material de execução, consumido uma única vez na abertura das tarefas.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Externo BRS Cloud — Análise, estimativa e plano de execução</dc:title>
  <dc:creator>Nelson Diniz</dc:creator>
  <cp:lastModifiedBy>Un-named</cp:lastModifiedBy>
  <cp:revision>1</cp:revision>
  <dcterms:created xsi:type="dcterms:W3CDTF">2026-09-17T17:11:46.040Z</dcterms:created>
  <dcterms:modified xsi:type="dcterms:W3CDTF">2026-09-17T17:11:46.040Z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