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MediTrace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Guía Rápida para el Médico</w:t>
      </w:r>
    </w:p>
    <w:p>
      <w:pPr>
        <w:spacing w:after="2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Dossier longitudinal de la paciente M.E.J. · 87 años · Castellón</w:t>
      </w:r>
    </w:p>
    <w:p>
      <w:pPr>
        <w:pBdr>
          <w:left w:val="single" w:color="922b21" w:sz="16" w:space="10"/>
        </w:pBdr>
        <w:shd w:fill="F5F5F5" w:val="clear"/>
        <w:spacing w:after="160"/>
        <w:ind w:left="3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🚨 ACCIÓN URGENTE — </w:t>
      </w:r>
      <w:r>
        <w:rPr>
          <w:rFonts w:ascii="Arial" w:cs="Arial" w:eastAsia="Arial" w:hAnsi="Arial"/>
          <w:sz w:val="20"/>
          <w:szCs w:val="20"/>
        </w:rPr>
        <w:t xml:space="preserve">ECG prescrito por Neurología HGC (03/2026) — NO REALIZADO. Obligatorio antes de iniciar Donepezilo (prescrito por neurólogo privado, caja sin abrir).</w:t>
      </w:r>
    </w:p>
    <w:p>
      <w:pPr>
        <w:pBdr>
          <w:left w:val="single" w:color="922b21" w:sz="16" w:space="10"/>
        </w:pBdr>
        <w:shd w:fill="F5F5F5" w:val="clear"/>
        <w:spacing w:after="160"/>
        <w:ind w:left="3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🚨 RIESGO TROMBÓTICO — </w:t>
      </w:r>
      <w:r>
        <w:rPr>
          <w:rFonts w:ascii="Arial" w:cs="Arial" w:eastAsia="Arial" w:hAnsi="Arial"/>
          <w:sz w:val="20"/>
          <w:szCs w:val="20"/>
        </w:rPr>
        <w:t xml:space="preserve">Sin anticoagulación desde 02/2025 (decisión familiar). ACI izquierda COMPLETAMENTE OCLUIDA (IRM Ascires 03/2026). Riesgo trombótico elevado.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Hallazgos clínicos mayores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3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Oclusión completa ACI izquierda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IRM Ascires 10/03/2026 · Dr. Broseta Torres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Señal precoz en PET/CT 2021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Hipometabolismo frontal izquierdo dominante (CUN 12/2021)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No detectado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tardo ictus VB (2021)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27h después · Inicial: enólismo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Antecedente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 QTc resuelto parcialmente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Haloperidol suspendido por neurólogo privado 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En curso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Déficit Vitamina D crónico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27→15.96→12.33 ng/mL · Hidroferol iniciado 2024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En tratamiento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B12 baja por Pantoprazol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 pg/mL (2022) · Pantoprazol largo plazo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Vigilar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Magnesio sérico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medido nunca · Pantoprazol &gt;3 años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Medir urgente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LDL 202 mg/dL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Objetivo &lt;116 · Atorvastatina (observancia incierta)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A controlar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Situación medicamentos — Mayo 2026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Donepezilo (Lixben)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Prescrito — NO INICIADO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Caja sin abrir · Espera ECG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Haloperidol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SUSPENDIDO definitivamente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Neurólogo privado · Correcto (QTc)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Dabigatrán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ABANDONADO 02/2025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Decisión familiar · Sin anticoagulación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Hidroferol 0.266mg/mes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CURSO 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6 meses · Renovar en ~3 meses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Melitraceno/Flupentixol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Probable abandono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encontrado en stock domiciliario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Atorvastatina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Incierto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LDL 202 mg/dL a pesar del tratamiento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Adiro 100mg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Incierto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Observancia desconocida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Pantoprazol 20mg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Incierto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¿Reducir? → B12 + Mg afectados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Preguntas para el médico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deterioro cognitivo es vascular (oclusión carotídea) y no Alzheimer? El PET/CT 2021 sugiere DFT/Vascular, no Alzheimer clásico.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¿Eco-doppler carotídeo fue realizado tras el PET/CT 2021? La señal de oclusión progresiva era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alternativa anticoagulante con FG 70.8 ml/min y ACI ocluida?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¿Medir Magnesio sérico? Pantoprazol &gt;3 años → riesgo hipomagnesemia → arritmia ventricular (FT CIMA).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Tiotropio antagoniza el Donepezilo? Ambos activos simultáneamente (FT CIMA — efecto anticolinergérgico).</w:t>
      </w:r>
    </w:p>
    <w:p>
      <w:pPr>
        <w:spacing w:after="120"/>
      </w:pPr>
    </w:p>
    <w:p>
      <w:pPr>
        <w:pBdr>
          <w:top w:val="single" w:color="CCCCCC" w:sz="4" w:space="4"/>
        </w:pBdr>
        <w:spacing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Dossier generado por MediTrace v2026 · 32 documentos · 2016–2026 · Fuentes: HGC · Vithas · CUN Navarra · Ascires Castelló</w:t>
      </w:r>
    </w:p>
    <w:p>
      <w:pPr>
        <w:spacing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Este documento es informativo y no sustituye el criterio médico profesional.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caracole.github.io/seguimiento-medico · DOI: 10.5281/zenodo.19973451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MediTrace v2026 — Guía Rápida para el Médico</w:t>
    </w:r>
    <w:r>
      <w:rPr>
        <w:rFonts w:ascii="Arial" w:cs="Arial" w:eastAsia="Arial" w:hAnsi="Arial"/>
        <w:color w:val="888888"/>
        <w:sz w:val="18"/>
        <w:szCs w:val="18"/>
      </w:rPr>
      <w:t xml:space="preserve">	© 2026 Pierre-Henri Giraud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2026-05-08T14:01:18.679Z</dcterms:created>
  <dcterms:modified xsi:type="dcterms:W3CDTF">2026-05-08T14:01:18.680Z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