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D96" w:rsidRPr="00FE7D96" w:rsidRDefault="00FE7D96" w:rsidP="00FE7D96">
      <w:pPr>
        <w:rPr>
          <w:rFonts w:ascii="Arial" w:hAnsi="Arial" w:cs="Arial"/>
          <w:b/>
        </w:rPr>
      </w:pPr>
      <w:bookmarkStart w:id="0" w:name="_GoBack"/>
      <w:r w:rsidRPr="00FE7D96">
        <w:rPr>
          <w:rFonts w:ascii="Arial" w:hAnsi="Arial" w:cs="Arial"/>
          <w:b/>
        </w:rPr>
        <w:t>Suelos: Ensayos de caracterización</w:t>
      </w:r>
    </w:p>
    <w:bookmarkEnd w:id="0"/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Humedad natural. INV E-122-13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Humedad natural usando el horno microondas. INV E-135-13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Peso unitario aparente o seco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Gravedad específica partículas sólidas que pasan por tamiz 4.75 mm (No 4). INV E-128-13 S1.0020 Granulometría por tamizado. INV E-123-13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Granulometría por hidrómetro. INV E-123-13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Límite líquido, límite plástico e índice de plasticidad. INV E-125-13 / INV E-126-13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Equivalente de arena. INV E-133-13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Potencial de cambio volumétrico empleando el aparato Lambe. INV E-120-13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Índice de expansión libre en probeta con keroseno. INV E-132-13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 xml:space="preserve">Masas unitarias máxima y mínima para el cálculo de la densidad relativa. INV E-136-13 S1.0065 Ensayo </w:t>
      </w:r>
      <w:proofErr w:type="spellStart"/>
      <w:r w:rsidRPr="00FE7D96">
        <w:rPr>
          <w:rFonts w:ascii="Arial" w:hAnsi="Arial" w:cs="Arial"/>
        </w:rPr>
        <w:t>Proctor</w:t>
      </w:r>
      <w:proofErr w:type="spellEnd"/>
      <w:r w:rsidRPr="00FE7D96">
        <w:rPr>
          <w:rFonts w:ascii="Arial" w:hAnsi="Arial" w:cs="Arial"/>
        </w:rPr>
        <w:t xml:space="preserve"> Normal. No incluye gravedad específica de las partículas. INV E-141-13 S1.0070 Ensayo </w:t>
      </w:r>
      <w:proofErr w:type="spellStart"/>
      <w:r w:rsidRPr="00FE7D96">
        <w:rPr>
          <w:rFonts w:ascii="Arial" w:hAnsi="Arial" w:cs="Arial"/>
        </w:rPr>
        <w:t>Proctor</w:t>
      </w:r>
      <w:proofErr w:type="spellEnd"/>
      <w:r w:rsidRPr="00FE7D96">
        <w:rPr>
          <w:rFonts w:ascii="Arial" w:hAnsi="Arial" w:cs="Arial"/>
        </w:rPr>
        <w:t xml:space="preserve"> Modificado. No incluye gravedad específica de las partículas. INV E-142-13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Ensayo CBR. Un punto al 100% de compactación y a la humedad óptima. INV E-148-13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Ensayo CBR. Tres puntos a distintos grados de compactación. INV E-148-13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Ensayo CBR sobre muestra inalterada. INV E-148-13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Densidad y peso unitario en el terreno por el método del cono y arena. INV E-161-13 S1.0100 Contenido orgánico mediante el ensayo de pérdida por ignición. INV E-121-13 S1.0105 pH de los suelos. INV E-131-13</w:t>
      </w:r>
    </w:p>
    <w:p w:rsidR="00FE7D96" w:rsidRPr="00FE7D96" w:rsidRDefault="00FE7D96" w:rsidP="00FE7D96">
      <w:pPr>
        <w:rPr>
          <w:rFonts w:ascii="Arial" w:hAnsi="Arial" w:cs="Arial"/>
        </w:rPr>
      </w:pPr>
      <w:r w:rsidRPr="00FE7D96">
        <w:rPr>
          <w:rFonts w:ascii="Arial" w:hAnsi="Arial" w:cs="Arial"/>
        </w:rPr>
        <w:t>Contenido de sales solubles. INV E-158-13</w:t>
      </w:r>
    </w:p>
    <w:p w:rsidR="00FE7D96" w:rsidRPr="00FE7D96" w:rsidRDefault="00FE7D96" w:rsidP="00FE7D96">
      <w:pPr>
        <w:rPr>
          <w:rFonts w:ascii="Arial" w:hAnsi="Arial" w:cs="Arial"/>
        </w:rPr>
      </w:pPr>
    </w:p>
    <w:p w:rsidR="00C61C0D" w:rsidRPr="00FE7D96" w:rsidRDefault="00C61C0D" w:rsidP="00FE7D96">
      <w:pPr>
        <w:rPr>
          <w:rFonts w:ascii="Arial" w:hAnsi="Arial" w:cs="Arial"/>
        </w:rPr>
      </w:pPr>
    </w:p>
    <w:sectPr w:rsidR="00C61C0D" w:rsidRPr="00FE7D96" w:rsidSect="006422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96"/>
    <w:rsid w:val="00642203"/>
    <w:rsid w:val="00C61C0D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06CEF"/>
  <w14:defaultImageDpi w14:val="32767"/>
  <w15:chartTrackingRefBased/>
  <w15:docId w15:val="{E743AF3E-AE77-F84A-89A7-D082C820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2024-05-23T18:32:00Z</dcterms:created>
  <dcterms:modified xsi:type="dcterms:W3CDTF">2024-05-23T18:38:00Z</dcterms:modified>
</cp:coreProperties>
</file>