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280966EC" w14:textId="66A2CB70" w:rsidR="00DE6C1D" w:rsidRDefault="00DE6C1D" w:rsidP="00AE5BB4">
          <w:pPr>
            <w:ind w:left="708" w:hanging="708"/>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E6C1D" w14:paraId="19F392F2" w14:textId="77777777">
            <w:sdt>
              <w:sdtPr>
                <w:rPr>
                  <w:color w:val="2F5496" w:themeColor="accent1" w:themeShade="BF"/>
                  <w:sz w:val="24"/>
                  <w:szCs w:val="24"/>
                </w:rPr>
                <w:alias w:val="Compañía"/>
                <w:id w:val="13406915"/>
                <w:placeholder>
                  <w:docPart w:val="549C0420771940DB9F87AF41520880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BBE2DE6" w14:textId="7FA40BFE" w:rsidR="00DE6C1D" w:rsidRDefault="00DE6C1D">
                    <w:pPr>
                      <w:pStyle w:val="Sinespaciado"/>
                      <w:rPr>
                        <w:color w:val="2F5496" w:themeColor="accent1" w:themeShade="BF"/>
                        <w:sz w:val="24"/>
                      </w:rPr>
                    </w:pPr>
                    <w:r>
                      <w:rPr>
                        <w:color w:val="2F5496" w:themeColor="accent1" w:themeShade="BF"/>
                        <w:sz w:val="24"/>
                        <w:szCs w:val="24"/>
                      </w:rPr>
                      <w:t>IMF BUSINESS SCHOOL</w:t>
                    </w:r>
                  </w:p>
                </w:tc>
              </w:sdtContent>
            </w:sdt>
          </w:tr>
          <w:tr w:rsidR="00DE6C1D" w14:paraId="61356F65"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BAE579210C9149EAB8AA1624991BD525"/>
                  </w:placeholder>
                  <w:dataBinding w:prefixMappings="xmlns:ns0='http://schemas.openxmlformats.org/package/2006/metadata/core-properties' xmlns:ns1='http://purl.org/dc/elements/1.1/'" w:xpath="/ns0:coreProperties[1]/ns1:title[1]" w:storeItemID="{6C3C8BC8-F283-45AE-878A-BAB7291924A1}"/>
                  <w:text/>
                </w:sdtPr>
                <w:sdtEndPr/>
                <w:sdtContent>
                  <w:p w14:paraId="3058FED8" w14:textId="0A47C78D" w:rsidR="00DE6C1D" w:rsidRDefault="00DE6C1D">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PREDICCIÓN DEL PRECIO DEL POOL ELÉCTRICO ESPAÑOL</w:t>
                    </w:r>
                  </w:p>
                </w:sdtContent>
              </w:sdt>
            </w:tc>
          </w:tr>
          <w:tr w:rsidR="00DE6C1D" w:rsidRPr="006D46E8" w14:paraId="3649BBA9" w14:textId="77777777">
            <w:sdt>
              <w:sdtPr>
                <w:rPr>
                  <w:color w:val="2F5496" w:themeColor="accent1" w:themeShade="BF"/>
                  <w:sz w:val="24"/>
                  <w:szCs w:val="24"/>
                  <w:lang w:val="en-US"/>
                </w:rPr>
                <w:alias w:val="Subtítulo"/>
                <w:id w:val="13406923"/>
                <w:placeholder>
                  <w:docPart w:val="914B9A342E5C4660A804964F6B101E9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9FF681B" w14:textId="6E3464F3" w:rsidR="00DE6C1D" w:rsidRPr="00DE6C1D" w:rsidRDefault="00DE6C1D">
                    <w:pPr>
                      <w:pStyle w:val="Sinespaciado"/>
                      <w:rPr>
                        <w:color w:val="2F5496" w:themeColor="accent1" w:themeShade="BF"/>
                        <w:sz w:val="24"/>
                        <w:lang w:val="en-US"/>
                      </w:rPr>
                    </w:pPr>
                    <w:r w:rsidRPr="00DE6C1D">
                      <w:rPr>
                        <w:color w:val="2F5496" w:themeColor="accent1" w:themeShade="BF"/>
                        <w:sz w:val="24"/>
                        <w:szCs w:val="24"/>
                        <w:lang w:val="en-US"/>
                      </w:rPr>
                      <w:t>TFM BIG DATA &amp; BUSINESS A</w:t>
                    </w:r>
                    <w:r>
                      <w:rPr>
                        <w:color w:val="2F5496" w:themeColor="accent1" w:themeShade="BF"/>
                        <w:sz w:val="24"/>
                        <w:szCs w:val="24"/>
                        <w:lang w:val="en-US"/>
                      </w:rPr>
                      <w:t>NALYTICS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DE6C1D" w14:paraId="06962F3A"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00A218E1D10449E4A64A68F1998FAFFF"/>
                  </w:placeholder>
                  <w:dataBinding w:prefixMappings="xmlns:ns0='http://schemas.openxmlformats.org/package/2006/metadata/core-properties' xmlns:ns1='http://purl.org/dc/elements/1.1/'" w:xpath="/ns0:coreProperties[1]/ns1:creator[1]" w:storeItemID="{6C3C8BC8-F283-45AE-878A-BAB7291924A1}"/>
                  <w:text/>
                </w:sdtPr>
                <w:sdtEndPr/>
                <w:sdtContent>
                  <w:p w14:paraId="45B112CB" w14:textId="26D1AED4" w:rsidR="00DE6C1D" w:rsidRDefault="00DE6C1D">
                    <w:pPr>
                      <w:pStyle w:val="Sinespaciado"/>
                      <w:rPr>
                        <w:color w:val="4472C4" w:themeColor="accent1"/>
                        <w:sz w:val="28"/>
                        <w:szCs w:val="28"/>
                      </w:rPr>
                    </w:pPr>
                    <w:r>
                      <w:rPr>
                        <w:color w:val="4472C4" w:themeColor="accent1"/>
                        <w:sz w:val="28"/>
                        <w:szCs w:val="28"/>
                      </w:rPr>
                      <w:t>Carlos Alonso Salcedo</w:t>
                    </w:r>
                  </w:p>
                </w:sdtContent>
              </w:sdt>
              <w:sdt>
                <w:sdtPr>
                  <w:rPr>
                    <w:color w:val="4472C4" w:themeColor="accent1"/>
                    <w:sz w:val="28"/>
                    <w:szCs w:val="28"/>
                  </w:rPr>
                  <w:alias w:val="Fecha"/>
                  <w:tag w:val="Fecha"/>
                  <w:id w:val="13406932"/>
                  <w:placeholder>
                    <w:docPart w:val="2A5A0AD364E345488D61AE4D961D5CF1"/>
                  </w:placeholder>
                  <w:dataBinding w:prefixMappings="xmlns:ns0='http://schemas.microsoft.com/office/2006/coverPageProps'" w:xpath="/ns0:CoverPageProperties[1]/ns0:PublishDate[1]" w:storeItemID="{55AF091B-3C7A-41E3-B477-F2FDAA23CFDA}"/>
                  <w:date w:fullDate="2022-06-01T00:00:00Z">
                    <w:dateFormat w:val="d-M-yyyy"/>
                    <w:lid w:val="es-ES"/>
                    <w:storeMappedDataAs w:val="dateTime"/>
                    <w:calendar w:val="gregorian"/>
                  </w:date>
                </w:sdtPr>
                <w:sdtEndPr/>
                <w:sdtContent>
                  <w:p w14:paraId="352ACBC4" w14:textId="2B693202" w:rsidR="00DE6C1D" w:rsidRDefault="00DE6C1D">
                    <w:pPr>
                      <w:rPr>
                        <w:color w:val="4472C4" w:themeColor="accent1"/>
                        <w:sz w:val="28"/>
                        <w:szCs w:val="28"/>
                      </w:rPr>
                    </w:pPr>
                    <w:r>
                      <w:rPr>
                        <w:color w:val="4472C4" w:themeColor="accent1"/>
                        <w:sz w:val="28"/>
                        <w:szCs w:val="28"/>
                      </w:rPr>
                      <w:t>1-6-2022</w:t>
                    </w:r>
                  </w:p>
                </w:sdtContent>
              </w:sdt>
              <w:p w14:paraId="45D7E5C2" w14:textId="77777777" w:rsidR="00DE6C1D" w:rsidRDefault="00DE6C1D">
                <w:pPr>
                  <w:rPr>
                    <w:color w:val="4472C4" w:themeColor="accent1"/>
                  </w:rPr>
                </w:pPr>
              </w:p>
            </w:tc>
          </w:tr>
        </w:tbl>
        <w:p w14:paraId="530954DC" w14:textId="078DD14A" w:rsidR="00DE6C1D" w:rsidRDefault="00DE6C1D">
          <w:r>
            <w:br w:type="page"/>
          </w:r>
        </w:p>
      </w:sdtContent>
    </w:sdt>
    <w:p w14:paraId="23120948" w14:textId="5CD16DC7" w:rsidR="00DE6C1D" w:rsidRPr="00DE6C1D" w:rsidRDefault="00DE6C1D">
      <w:pPr>
        <w:rPr>
          <w:rFonts w:ascii="Open Sans" w:eastAsia="Times New Roman" w:hAnsi="Open Sans" w:cs="Open Sans"/>
          <w:color w:val="3B3B3B"/>
          <w:sz w:val="24"/>
          <w:szCs w:val="24"/>
          <w:lang w:eastAsia="es-ES"/>
        </w:rPr>
      </w:pPr>
      <w:r w:rsidRPr="00DE6C1D">
        <w:rPr>
          <w:rFonts w:ascii="Open Sans" w:eastAsia="Times New Roman" w:hAnsi="Open Sans" w:cs="Open Sans"/>
          <w:color w:val="3B3B3B"/>
          <w:sz w:val="24"/>
          <w:szCs w:val="24"/>
          <w:lang w:eastAsia="es-ES"/>
        </w:rPr>
        <w:lastRenderedPageBreak/>
        <w:t>ÍNDICE:</w:t>
      </w:r>
    </w:p>
    <w:p w14:paraId="696D5C35" w14:textId="183AC8A2"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Resumen</w:t>
      </w:r>
    </w:p>
    <w:p w14:paraId="222FA15B" w14:textId="13442BB2" w:rsid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Introducción y antecedentes</w:t>
      </w:r>
    </w:p>
    <w:p w14:paraId="231869D9" w14:textId="7C704183" w:rsidR="000E267F" w:rsidRDefault="000E267F" w:rsidP="000E267F">
      <w:pPr>
        <w:pStyle w:val="Prrafodelista"/>
        <w:rPr>
          <w:rFonts w:ascii="Open Sans" w:hAnsi="Open Sans" w:cs="Open Sans"/>
          <w:sz w:val="24"/>
          <w:szCs w:val="24"/>
        </w:rPr>
      </w:pPr>
      <w:r>
        <w:rPr>
          <w:rFonts w:ascii="Open Sans" w:hAnsi="Open Sans" w:cs="Open Sans"/>
          <w:sz w:val="24"/>
          <w:szCs w:val="24"/>
        </w:rPr>
        <w:t>2.1. Introducción y agentes del sector eléctrico</w:t>
      </w:r>
    </w:p>
    <w:p w14:paraId="540817C0" w14:textId="12D634E9" w:rsidR="000E267F" w:rsidRDefault="000E267F" w:rsidP="000E267F">
      <w:pPr>
        <w:pStyle w:val="Prrafodelista"/>
        <w:rPr>
          <w:rFonts w:ascii="Open Sans" w:hAnsi="Open Sans" w:cs="Open Sans"/>
          <w:sz w:val="24"/>
          <w:szCs w:val="24"/>
        </w:rPr>
      </w:pPr>
      <w:r>
        <w:rPr>
          <w:rFonts w:ascii="Open Sans" w:hAnsi="Open Sans" w:cs="Open Sans"/>
          <w:sz w:val="24"/>
          <w:szCs w:val="24"/>
        </w:rPr>
        <w:t>2.2. Historia del sector eléctrico en España</w:t>
      </w:r>
    </w:p>
    <w:p w14:paraId="3EB8845E" w14:textId="3648BF87" w:rsidR="002B302F" w:rsidRDefault="002B302F" w:rsidP="000E267F">
      <w:pPr>
        <w:pStyle w:val="Prrafodelista"/>
        <w:rPr>
          <w:rFonts w:ascii="Open Sans" w:hAnsi="Open Sans" w:cs="Open Sans"/>
          <w:sz w:val="24"/>
          <w:szCs w:val="24"/>
        </w:rPr>
      </w:pPr>
      <w:r>
        <w:rPr>
          <w:rFonts w:ascii="Open Sans" w:hAnsi="Open Sans" w:cs="Open Sans"/>
          <w:sz w:val="24"/>
          <w:szCs w:val="24"/>
        </w:rPr>
        <w:t>2.3. ¿Cómo se establece el precio de la electricidad?</w:t>
      </w:r>
    </w:p>
    <w:p w14:paraId="1FE87017" w14:textId="3708A2EF" w:rsidR="0069651C" w:rsidRPr="000E267F" w:rsidRDefault="0069651C" w:rsidP="000E267F">
      <w:pPr>
        <w:pStyle w:val="Prrafodelista"/>
        <w:rPr>
          <w:rFonts w:ascii="Open Sans" w:hAnsi="Open Sans" w:cs="Open Sans"/>
          <w:sz w:val="24"/>
          <w:szCs w:val="24"/>
        </w:rPr>
      </w:pPr>
      <w:r>
        <w:rPr>
          <w:rFonts w:ascii="Open Sans" w:hAnsi="Open Sans" w:cs="Open Sans"/>
          <w:sz w:val="24"/>
          <w:szCs w:val="24"/>
        </w:rPr>
        <w:t>2.4. Potencia instalada en España.</w:t>
      </w:r>
    </w:p>
    <w:p w14:paraId="08483EBF" w14:textId="7DDE036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Hipótesis de trabajo y objetivos</w:t>
      </w:r>
    </w:p>
    <w:p w14:paraId="4935C4BC" w14:textId="3ED0FE4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Material y métodos</w:t>
      </w:r>
    </w:p>
    <w:p w14:paraId="72B8129B" w14:textId="57BC53A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Resultados</w:t>
      </w:r>
    </w:p>
    <w:p w14:paraId="6EE12C6A" w14:textId="20CF8304"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Discusión</w:t>
      </w:r>
    </w:p>
    <w:p w14:paraId="53E1F46A" w14:textId="482B556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Conclusiones</w:t>
      </w:r>
    </w:p>
    <w:p w14:paraId="41775097" w14:textId="2BE28098"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Referencias</w:t>
      </w:r>
    </w:p>
    <w:p w14:paraId="2B6C245B" w14:textId="7B07461E"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Anexos</w:t>
      </w:r>
    </w:p>
    <w:p w14:paraId="6119DD54" w14:textId="5EEAFB93" w:rsidR="00DE6C1D" w:rsidRPr="00DE6C1D" w:rsidRDefault="00DE6C1D" w:rsidP="00DE6C1D">
      <w:pPr>
        <w:rPr>
          <w:rFonts w:ascii="Open Sans" w:hAnsi="Open Sans" w:cs="Open Sans"/>
          <w:sz w:val="24"/>
          <w:szCs w:val="24"/>
        </w:rPr>
      </w:pPr>
    </w:p>
    <w:p w14:paraId="77C21B54" w14:textId="6C9F590D" w:rsidR="00DE6C1D" w:rsidRPr="00DE6C1D" w:rsidRDefault="00DE6C1D" w:rsidP="00DE6C1D">
      <w:pPr>
        <w:rPr>
          <w:rFonts w:ascii="Open Sans" w:hAnsi="Open Sans" w:cs="Open Sans"/>
          <w:sz w:val="24"/>
          <w:szCs w:val="24"/>
        </w:rPr>
      </w:pPr>
    </w:p>
    <w:p w14:paraId="38284B86" w14:textId="5A10D86B" w:rsidR="00DE6C1D" w:rsidRDefault="00DE6C1D" w:rsidP="00DE6C1D"/>
    <w:p w14:paraId="534B6C18" w14:textId="0F7EABCA" w:rsidR="00DE6C1D" w:rsidRDefault="00DE6C1D" w:rsidP="00DE6C1D"/>
    <w:p w14:paraId="09911A69" w14:textId="1EAEE033" w:rsidR="00DE6C1D" w:rsidRDefault="00DE6C1D" w:rsidP="00DE6C1D"/>
    <w:p w14:paraId="35DBC4E4" w14:textId="4B1D39CA" w:rsidR="00DE6C1D" w:rsidRDefault="00DE6C1D" w:rsidP="00DE6C1D"/>
    <w:p w14:paraId="3B3EE7DB" w14:textId="77517E7E" w:rsidR="00DE6C1D" w:rsidRDefault="00DE6C1D" w:rsidP="00DE6C1D"/>
    <w:p w14:paraId="0C6EA1FC" w14:textId="0B48FDEB" w:rsidR="00DE6C1D" w:rsidRDefault="00DE6C1D" w:rsidP="00DE6C1D"/>
    <w:p w14:paraId="0A41CAC9" w14:textId="190D2D28" w:rsidR="00DE6C1D" w:rsidRDefault="00DE6C1D" w:rsidP="00DE6C1D"/>
    <w:p w14:paraId="298A0A7C" w14:textId="2FC0FE4E" w:rsidR="00DE6C1D" w:rsidRDefault="00DE6C1D" w:rsidP="00DE6C1D"/>
    <w:p w14:paraId="19E8C636" w14:textId="1208D139" w:rsidR="00DE6C1D" w:rsidRDefault="00DE6C1D" w:rsidP="00DE6C1D"/>
    <w:p w14:paraId="774F35BF" w14:textId="34CDC983" w:rsidR="00DE6C1D" w:rsidRDefault="00DE6C1D" w:rsidP="00DE6C1D"/>
    <w:p w14:paraId="55B87A6F" w14:textId="213DD7FB" w:rsidR="00DE6C1D" w:rsidRDefault="00DE6C1D" w:rsidP="00DE6C1D"/>
    <w:p w14:paraId="5C9381FD" w14:textId="21EE9D88" w:rsidR="00DE6C1D" w:rsidRDefault="00DE6C1D" w:rsidP="00DE6C1D"/>
    <w:p w14:paraId="5A1E1CFB" w14:textId="504ABA53" w:rsidR="00DE6C1D" w:rsidRDefault="00DE6C1D" w:rsidP="00DE6C1D"/>
    <w:p w14:paraId="5DDAE6A1" w14:textId="31CE9E95" w:rsidR="00DE6C1D" w:rsidRDefault="00DE6C1D" w:rsidP="00DE6C1D"/>
    <w:p w14:paraId="5EA689C7" w14:textId="3600745B" w:rsidR="00DE6C1D" w:rsidRDefault="00DE6C1D" w:rsidP="00DE6C1D"/>
    <w:p w14:paraId="4A7C9176" w14:textId="27E543DF" w:rsidR="00DE6C1D" w:rsidRDefault="00DE6C1D" w:rsidP="00DE6C1D"/>
    <w:p w14:paraId="1D631AB9" w14:textId="7E04EB0B" w:rsidR="00DE6C1D" w:rsidRDefault="00DE6C1D" w:rsidP="00DE6C1D"/>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r w:rsidR="00995E24" w:rsidRPr="00AD2759">
        <w:rPr>
          <w:rFonts w:ascii="Open Sans" w:hAnsi="Open Sans" w:cs="Open Sans"/>
          <w:i/>
          <w:iCs/>
          <w:sz w:val="24"/>
          <w:szCs w:val="24"/>
        </w:rPr>
        <w:t>benchmark</w:t>
      </w:r>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r w:rsidR="00AD2759" w:rsidRPr="00AD2759">
        <w:rPr>
          <w:rFonts w:ascii="Open Sans" w:hAnsi="Open Sans" w:cs="Open Sans"/>
          <w:i/>
          <w:iCs/>
          <w:sz w:val="24"/>
          <w:szCs w:val="24"/>
        </w:rPr>
        <w:t>backtesting out of sample</w:t>
      </w:r>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5BA1242C" w14:textId="3865FF7B" w:rsidR="00AD2759" w:rsidRDefault="00AD2759" w:rsidP="00DE6C1D">
      <w:pPr>
        <w:jc w:val="both"/>
        <w:rPr>
          <w:rFonts w:ascii="Open Sans" w:hAnsi="Open Sans" w:cs="Open Sans"/>
          <w:sz w:val="24"/>
          <w:szCs w:val="24"/>
        </w:rPr>
      </w:pPr>
    </w:p>
    <w:p w14:paraId="283944B4" w14:textId="77777777" w:rsidR="00E2532F" w:rsidRDefault="00E2532F" w:rsidP="00E2532F">
      <w:pPr>
        <w:pStyle w:val="Prrafodelista"/>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276E5BE3" w:rsidR="000E267F" w:rsidRPr="000E267F" w:rsidRDefault="000E267F" w:rsidP="000E267F">
      <w:pPr>
        <w:pStyle w:val="Prrafodelista"/>
        <w:jc w:val="both"/>
        <w:rPr>
          <w:rFonts w:ascii="Open Sans" w:eastAsiaTheme="minorEastAsia" w:hAnsi="Open Sans" w:cs="Open Sans"/>
          <w:b/>
          <w:bCs/>
          <w:sz w:val="24"/>
          <w:szCs w:val="24"/>
        </w:rPr>
      </w:pPr>
      <m:oMathPara>
        <m:oMath>
          <m:r>
            <m:rPr>
              <m:sty m:val="bi"/>
            </m:rPr>
            <w:rPr>
              <w:rFonts w:ascii="Cambria Math" w:hAnsi="Cambria Math" w:cs="Open Sans"/>
              <w:sz w:val="24"/>
              <w:szCs w:val="24"/>
            </w:rPr>
            <m:t>Generacion=Demanda</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t xml:space="preserve">En 1997, con el objetivo de fomentar la competencia en el sector de la energía eléctrica y mejorar el conocimiento que los usuarios tenían del mismo, se aprobó la primera ley de liberalización del sector eléctrico nacional. La </w:t>
      </w:r>
      <w:r>
        <w:rPr>
          <w:rFonts w:ascii="Open Sans" w:hAnsi="Open Sans" w:cs="Open Sans"/>
          <w:sz w:val="24"/>
          <w:szCs w:val="24"/>
        </w:rPr>
        <w:lastRenderedPageBreak/>
        <w:t>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 xml:space="preserve">93 €/MWh.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algoritmo Euphemia</w:t>
      </w:r>
      <w:r>
        <w:rPr>
          <w:rFonts w:ascii="Open Sans" w:eastAsiaTheme="minorEastAsia" w:hAnsi="Open Sans" w:cs="Open Sans"/>
          <w:sz w:val="24"/>
          <w:szCs w:val="24"/>
        </w:rPr>
        <w:t xml:space="preserve"> que surgió en la iniciativa “Price Coupling of Regions”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emandan la energía necesaria a un 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0"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ólica, 12.000 MW a precio también cero. Luego vienen los ciclos combinados (gas), 10.000 MW a precio 40 €/MWh. Y por último carbón, 8.000 MW a precio 60 €/MWh.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lastRenderedPageBreak/>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xml:space="preserve">, pero esto es bastante complicado que ocurriese, ya que en todas las plantas de España debería estar soplando un viento suficientemente fuerte como </w:t>
      </w:r>
      <w:r w:rsidR="00AD53E8">
        <w:rPr>
          <w:rFonts w:ascii="Open Sans" w:eastAsiaTheme="minorEastAsia" w:hAnsi="Open Sans" w:cs="Open Sans"/>
          <w:sz w:val="24"/>
          <w:szCs w:val="24"/>
        </w:rPr>
        <w:lastRenderedPageBreak/>
        <w:t>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Tampoco indica que en esta proporción se produce electricidad, por ejemplo, de solar hay 15.098 MW de potencia instalada, pero es evidente pensar que el peso de esta energía respecto a la total en verano e invierno será muy distinta</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lastRenderedPageBreak/>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77777777" w:rsidR="005B725E" w:rsidRPr="002F57EB" w:rsidRDefault="005B725E"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140 €/MWh (en esta fecha se alcanzó por el temporal Filomena) y, a partir de ahí y que recuperase su precio normal, se incrementó hasta los niveles de finales de año rondando los 300 – 400 € /MWh,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2195CA80" w:rsidR="001A7757" w:rsidRPr="004E0A58" w:rsidRDefault="001A7757" w:rsidP="001A7757">
      <w:pPr>
        <w:jc w:val="both"/>
        <w:rPr>
          <w:rFonts w:ascii="Open Sans" w:eastAsiaTheme="minorEastAsia" w:hAnsi="Open Sans" w:cs="Open Sans"/>
          <w:b/>
          <w:bCs/>
          <w:sz w:val="24"/>
          <w:szCs w:val="24"/>
        </w:rPr>
      </w:pPr>
      <m:oMathPara>
        <m:oMath>
          <m:r>
            <m:rPr>
              <m:sty m:val="bi"/>
            </m:rPr>
            <w:rPr>
              <w:rFonts w:ascii="Cambria Math" w:hAnsi="Cambria Math" w:cs="Open Sans"/>
              <w:sz w:val="24"/>
              <w:szCs w:val="24"/>
            </w:rPr>
            <m:t>HT=D-R (MW)</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74E0F8EA" w:rsidR="0076399A" w:rsidRP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out-of-sample para todo el periodo de 2021, es decir, </w:t>
      </w:r>
      <w:r w:rsidR="00D618C6">
        <w:rPr>
          <w:rFonts w:ascii="Open Sans" w:hAnsi="Open Sans" w:cs="Open Sans"/>
          <w:sz w:val="24"/>
          <w:szCs w:val="24"/>
        </w:rPr>
        <w:t>365 días x 24 horas = 8760 horas de predicción y comparación con el valor real.</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Mean Absolute Percentage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1 €/MWh, por lo que, aun realizando una predicción de 2 €/MWh,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469D15C0"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Weight Mean Absolute Percentege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0869A4A2"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w:lastRenderedPageBreak/>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1C4322DA"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AF3079D"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“Nº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516A30C7"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r>
                <w:rPr>
                  <w:rFonts w:ascii="Cambria Math" w:hAnsi="Cambria Math" w:cs="Open Sans"/>
                  <w:sz w:val="24"/>
                  <w:szCs w:val="24"/>
                </w:rPr>
                <m:t xml:space="preserve"> ;</m:t>
              </m:r>
            </m:e>
          </m:nary>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080B2CBD" w14:textId="2FC01492" w:rsidR="005B725E" w:rsidRDefault="005B725E" w:rsidP="00D54ED8">
      <w:pPr>
        <w:pStyle w:val="Prrafodelista"/>
        <w:jc w:val="both"/>
        <w:rPr>
          <w:rFonts w:ascii="Open Sans" w:eastAsiaTheme="minorEastAsia" w:hAnsi="Open Sans" w:cs="Open Sans"/>
          <w:sz w:val="24"/>
          <w:szCs w:val="24"/>
        </w:rPr>
      </w:pPr>
    </w:p>
    <w:p w14:paraId="76E1EA92" w14:textId="53F0D275" w:rsidR="005B725E" w:rsidRDefault="005B725E" w:rsidP="00D54ED8">
      <w:pPr>
        <w:pStyle w:val="Prrafodelista"/>
        <w:jc w:val="both"/>
        <w:rPr>
          <w:rFonts w:ascii="Open Sans" w:eastAsiaTheme="minorEastAsia" w:hAnsi="Open Sans" w:cs="Open Sans"/>
          <w:sz w:val="24"/>
          <w:szCs w:val="24"/>
        </w:rPr>
      </w:pPr>
    </w:p>
    <w:p w14:paraId="58C6B03D" w14:textId="5963F6EA"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Jupyter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del dataset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 un modelo baseline.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baseline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baseline</w:t>
      </w:r>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Random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XGBoost</w:t>
      </w:r>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Una vez establecido el procedimiento, se describe la construcción del dataset usado para la predicción.</w:t>
      </w:r>
      <w:r w:rsidR="00106155">
        <w:rPr>
          <w:rFonts w:ascii="Open Sans" w:hAnsi="Open Sans" w:cs="Open Sans"/>
          <w:sz w:val="24"/>
          <w:szCs w:val="24"/>
        </w:rPr>
        <w:t xml:space="preserve"> Todos los datos se descargaron de las urls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“Preprocesamiento.ipynb” y “Preprocesamiento Climatologia y Finanzas.ipynb”. En el de preprocesamiento se tratan las variables de materias primas (precio de electricidad, gas, demanda energética, hueco térmico, dummies,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url</w:t>
      </w:r>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60 €/MWh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120 €/MWh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6">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Se trata de otra serie a nivel horaria cuyo dato representa la cantidad de energía, en MWh,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lastRenderedPageBreak/>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Dummies,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Como variables dummies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Spread_precio)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pdf en la ruta del repositorio ‘Data/documentación_datos_climatologicos.pdf’). Los datos son históricos y a nivel horario, por lo que para usarlos como predicción se cogió su retardo de 24 horas. También se crearon  las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r>
        <w:rPr>
          <w:rFonts w:ascii="Open Sans" w:hAnsi="Open Sans" w:cs="Open Sans"/>
          <w:bCs/>
          <w:i/>
          <w:iCs/>
          <w:sz w:val="24"/>
          <w:szCs w:val="24"/>
        </w:rPr>
        <w:t>yfinance</w:t>
      </w:r>
      <w:r>
        <w:rPr>
          <w:rFonts w:ascii="Open Sans" w:hAnsi="Open Sans" w:cs="Open Sans"/>
          <w:bCs/>
          <w:sz w:val="24"/>
          <w:szCs w:val="24"/>
        </w:rPr>
        <w:t xml:space="preserve"> de Python, una api que carga directamente los datos financieros de </w:t>
      </w:r>
      <w:r w:rsidRPr="00121341">
        <w:rPr>
          <w:rFonts w:ascii="Open Sans" w:hAnsi="Open Sans" w:cs="Open Sans"/>
          <w:bCs/>
          <w:i/>
          <w:iCs/>
          <w:sz w:val="24"/>
          <w:szCs w:val="24"/>
        </w:rPr>
        <w:t>Yahoo Finance</w:t>
      </w:r>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r w:rsidRPr="00121341">
        <w:rPr>
          <w:rFonts w:ascii="Open Sans" w:hAnsi="Open Sans" w:cs="Open Sans"/>
          <w:bCs/>
          <w:i/>
          <w:iCs/>
          <w:sz w:val="24"/>
          <w:szCs w:val="24"/>
        </w:rPr>
        <w:t>Yahoo Finance</w:t>
      </w:r>
      <w:r>
        <w:rPr>
          <w:rFonts w:ascii="Open Sans" w:hAnsi="Open Sans" w:cs="Open Sans"/>
          <w:bCs/>
          <w:sz w:val="24"/>
          <w:szCs w:val="24"/>
        </w:rPr>
        <w:t>). Estas cotizaciones son diarias e históricas, por lo que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w:t>
      </w:r>
      <w:r w:rsidR="004D798D">
        <w:rPr>
          <w:rFonts w:ascii="Open Sans" w:hAnsi="Open Sans" w:cs="Open Sans"/>
          <w:sz w:val="24"/>
          <w:szCs w:val="24"/>
        </w:rPr>
        <w:lastRenderedPageBreak/>
        <w:t xml:space="preserve">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Boxplot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Observamos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w:t>
      </w:r>
      <w:r w:rsidR="004027F4">
        <w:rPr>
          <w:rFonts w:ascii="Open Sans" w:hAnsi="Open Sans" w:cs="Open Sans"/>
          <w:sz w:val="24"/>
          <w:szCs w:val="24"/>
        </w:rPr>
        <w:lastRenderedPageBreak/>
        <w:t xml:space="preserve">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Para representar la relación entre las variables, se usa un pairplot del módulo seaborn,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 xml:space="preserve">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w:t>
      </w:r>
      <w:r>
        <w:rPr>
          <w:rFonts w:ascii="Open Sans" w:hAnsi="Open Sans" w:cs="Open Sans"/>
          <w:sz w:val="24"/>
          <w:szCs w:val="24"/>
        </w:rPr>
        <w:lastRenderedPageBreak/>
        <w:t>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correlada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Covid,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Esto manifiesta un cambio de tendencia en la función de distribución de las variables y un cambio en la relación existente entre ellas, por lo que va a dificultar aún más el backtesting, pues si vamos a entrenar con los datos de 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4044329" w:rsidR="006A6FD4" w:rsidRPr="00171E81"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Para todos los modelos que se van a mostrar se realizó un backtesting horario out-of-sample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El mejor modelo resultante de cada sección exportará sus resultados en un csv a la carpeta ‘Resultados’ desde junio de 2020 hasta diciembre de 2021, con el objetivo de usar los meses de predicción de 2020 como variables regresoras de un stacked model.</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En cada modelo que se use, poner bibliografía papers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baseline</w:t>
      </w:r>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r w:rsidR="00301D9B">
        <w:rPr>
          <w:rFonts w:ascii="Open Sans" w:hAnsi="Open Sans" w:cs="Open Sans"/>
          <w:i/>
          <w:iCs/>
          <w:sz w:val="24"/>
          <w:szCs w:val="24"/>
        </w:rPr>
        <w:t>Modelo_Baseline.ipynb</w:t>
      </w:r>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31260043"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=x(t-24)</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Métricas obtenidas del modelo baseline</w:t>
      </w:r>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5C0DBFD0" w14:textId="408130AF"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30648BC1" w:rsidR="00456047" w:rsidRPr="00456047" w:rsidRDefault="00B16E9C"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A las variables ya consideradas se le sumaron los retardos a 24, 48 y 168 horas (1, 2 y 7 días) y con ello se propuso el modelo de regresión múltiple. No se incluyen el resultado de todos los coeficientes por ser tan numerosos, 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lastRenderedPageBreak/>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Además de este modelo que, a priori tendría más sentido, al disponer de todas las variables preparadas y cargadas, se probaron más modelos quitando algunas variables y probando el backtesting y se encontraron modelos con mejores métricas resultantes en el backtesting.</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dataframe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Los valores del campo Rolling Window, cuando es distinto de ‘No’ (que no hay Rolling window),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baseline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Window obtiene mejores resultados que considerar todo el histórico. En este caso, se han optimizado las métricas para un Rolling window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C0F4F4A" w14:textId="34F92492"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lastRenderedPageBreak/>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1B87691" w:rsidR="00770C53" w:rsidRPr="00610FBD" w:rsidRDefault="00B16E9C"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1B529F12" w:rsidR="0095382B" w:rsidRDefault="00B16E9C"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38865002" w:rsidR="00421708" w:rsidRDefault="00B16E9C"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ridge, podemos reparametrizar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w:t>
      </w:r>
      <w:r w:rsidRPr="00A46DC7">
        <w:rPr>
          <w:rFonts w:ascii="Open Sans" w:hAnsi="Open Sans" w:cs="Open Sans"/>
          <w:sz w:val="24"/>
          <w:szCs w:val="24"/>
        </w:rPr>
        <w:lastRenderedPageBreak/>
        <w:t xml:space="preserve">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688CC0E7" w:rsidR="00A94A61" w:rsidRPr="00A46DC7"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squared error como métrica</w:t>
      </w:r>
      <w:r w:rsidR="00F80BA5">
        <w:rPr>
          <w:rFonts w:ascii="Open Sans" w:hAnsi="Open Sans" w:cs="Open Sans"/>
          <w:sz w:val="24"/>
          <w:szCs w:val="24"/>
        </w:rPr>
        <w:t>.</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36AB1E21" w14:textId="77777777" w:rsidR="00086CFA" w:rsidRPr="00086CFA" w:rsidRDefault="00086CFA" w:rsidP="00086CFA">
      <w:pPr>
        <w:jc w:val="both"/>
        <w:rPr>
          <w:rFonts w:ascii="Open Sans" w:hAnsi="Open Sans" w:cs="Open Sans"/>
          <w:b/>
          <w:bC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00EBD24B" w14:textId="77777777" w:rsidR="00086CFA" w:rsidRPr="00086CFA" w:rsidRDefault="00086CFA" w:rsidP="00086CFA">
      <w:pPr>
        <w:jc w:val="both"/>
        <w:rPr>
          <w:rFonts w:ascii="Open Sans" w:hAnsi="Open Sans" w:cs="Open Sans"/>
          <w:b/>
          <w:bCs/>
          <w:sz w:val="24"/>
          <w:szCs w:val="24"/>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Random Forest</w:t>
      </w:r>
    </w:p>
    <w:p w14:paraId="467DB5FA" w14:textId="77777777" w:rsidR="00086CFA" w:rsidRPr="00086CFA" w:rsidRDefault="00086CFA" w:rsidP="00086CFA">
      <w:pPr>
        <w:jc w:val="both"/>
        <w:rPr>
          <w:rFonts w:ascii="Open Sans" w:hAnsi="Open Sans" w:cs="Open Sans"/>
          <w:b/>
          <w:bCs/>
          <w:sz w:val="24"/>
          <w:szCs w:val="24"/>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XGBoost</w:t>
      </w:r>
    </w:p>
    <w:p w14:paraId="53DECEC4" w14:textId="39F974ED" w:rsidR="0034507F" w:rsidRPr="0034507F" w:rsidRDefault="0034507F" w:rsidP="0034507F">
      <w:pPr>
        <w:jc w:val="both"/>
        <w:rPr>
          <w:rFonts w:ascii="Open Sans" w:hAnsi="Open Sans" w:cs="Open Sans"/>
          <w:sz w:val="24"/>
          <w:szCs w:val="24"/>
        </w:rPr>
      </w:pPr>
      <w:r>
        <w:rPr>
          <w:rFonts w:ascii="Open Sans" w:hAnsi="Open Sans" w:cs="Open Sans"/>
          <w:sz w:val="24"/>
          <w:szCs w:val="24"/>
        </w:rPr>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46D4CA37" w14:textId="77777777" w:rsidR="00086CFA" w:rsidRPr="00086CFA" w:rsidRDefault="00086CFA" w:rsidP="00086CFA">
      <w:pPr>
        <w:jc w:val="both"/>
        <w:rPr>
          <w:rFonts w:ascii="Open Sans" w:hAnsi="Open Sans" w:cs="Open Sans"/>
          <w:b/>
          <w:bCs/>
          <w:sz w:val="24"/>
          <w:szCs w:val="24"/>
        </w:rPr>
      </w:pPr>
    </w:p>
    <w:p w14:paraId="2398950A" w14:textId="5D950A92"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Media de las predicciones</w:t>
      </w:r>
    </w:p>
    <w:p w14:paraId="39C36AAA" w14:textId="77777777" w:rsidR="00086CFA" w:rsidRPr="00086CFA" w:rsidRDefault="00086CFA" w:rsidP="00086CFA">
      <w:pPr>
        <w:jc w:val="both"/>
        <w:rPr>
          <w:rFonts w:ascii="Open Sans" w:hAnsi="Open Sans" w:cs="Open Sans"/>
          <w:b/>
          <w:bCs/>
          <w:sz w:val="24"/>
          <w:szCs w:val="24"/>
        </w:rPr>
      </w:pPr>
    </w:p>
    <w:p w14:paraId="683A6ECD" w14:textId="180649A4"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Stacked model</w:t>
      </w:r>
    </w:p>
    <w:p w14:paraId="4443DBB7" w14:textId="77777777" w:rsidR="00B604A0" w:rsidRPr="00B604A0" w:rsidRDefault="00B604A0" w:rsidP="00B604A0">
      <w:pPr>
        <w:jc w:val="both"/>
        <w:rPr>
          <w:rFonts w:ascii="Open Sans" w:hAnsi="Open Sans" w:cs="Open Sans"/>
          <w:b/>
          <w:bC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t>Ver el MAE mensual de todos los modelos y ver donde falla más uno y otro, ver el MAE por mes, día de la semana y hora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5BB5094C" w14:textId="68AA8148" w:rsidR="00DE6C1D" w:rsidRDefault="00AA1189" w:rsidP="00005A0A">
      <w:pPr>
        <w:pStyle w:val="Prrafodelista"/>
        <w:numPr>
          <w:ilvl w:val="0"/>
          <w:numId w:val="9"/>
        </w:numPr>
        <w:jc w:val="both"/>
      </w:pPr>
      <w:r>
        <w:t xml:space="preserve">La energía es un bien básico de primera necesidad cuyo acceso debe ser garantizado como servicio público (2022). Consultado el 12 de abril de 2022. </w:t>
      </w:r>
      <w:hyperlink r:id="rId25"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26"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27"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7C4BBF5E" w:rsidR="00DE6C1D" w:rsidRDefault="00170289" w:rsidP="00005A0A">
      <w:pPr>
        <w:pStyle w:val="Prrafodelista"/>
        <w:numPr>
          <w:ilvl w:val="0"/>
          <w:numId w:val="9"/>
        </w:numPr>
        <w:rPr>
          <w:lang w:val="en-US"/>
        </w:rPr>
      </w:pPr>
      <w:r w:rsidRPr="00005A0A">
        <w:rPr>
          <w:lang w:val="en-US"/>
        </w:rPr>
        <w:t xml:space="preserve">BOE: </w:t>
      </w:r>
      <w:hyperlink r:id="rId28" w:anchor="a30" w:history="1">
        <w:r w:rsidR="00005A0A" w:rsidRPr="00005A0A">
          <w:rPr>
            <w:rStyle w:val="Hipervnculo"/>
            <w:lang w:val="en-US"/>
          </w:rPr>
          <w:t>https://www.boe.es/buscar/act.php?id=BOE-A-2013-13645&amp;p=20211027&amp;tn=1#a30</w:t>
        </w:r>
      </w:hyperlink>
    </w:p>
    <w:p w14:paraId="4500FCFC" w14:textId="11C2CBEE" w:rsidR="00005A0A" w:rsidRDefault="00005A0A" w:rsidP="00DE6C1D">
      <w:pPr>
        <w:pStyle w:val="Prrafodelista"/>
        <w:numPr>
          <w:ilvl w:val="0"/>
          <w:numId w:val="9"/>
        </w:numPr>
      </w:pPr>
      <w:r w:rsidRPr="00005A0A">
        <w:t>El sistema marginalista de fijación de precios eléctricos, a debate</w:t>
      </w:r>
      <w:r>
        <w:t xml:space="preserve">. </w:t>
      </w:r>
      <w:r w:rsidRPr="00005A0A">
        <w:t>Alejandro Nieto Gonzalez (2021). Consultado e</w:t>
      </w:r>
      <w:r>
        <w:t xml:space="preserve">l 3 de mayo de 2022. </w:t>
      </w:r>
      <w:hyperlink r:id="rId29" w:history="1">
        <w:r w:rsidRPr="00F51E5B">
          <w:rPr>
            <w:rStyle w:val="Hipervnculo"/>
          </w:rPr>
          <w:t>https://www.elblogsalmon.com/sectores/sistema-marginalista-fijacion-precios-electricos-a-debate</w:t>
        </w:r>
      </w:hyperlink>
      <w:r>
        <w:t xml:space="preserve"> </w:t>
      </w:r>
    </w:p>
    <w:p w14:paraId="7916125E" w14:textId="27937C76" w:rsidR="00010696" w:rsidRDefault="00010696" w:rsidP="00DE6C1D">
      <w:pPr>
        <w:pStyle w:val="Prrafodelista"/>
        <w:numPr>
          <w:ilvl w:val="0"/>
          <w:numId w:val="9"/>
        </w:numPr>
      </w:pPr>
      <w:r>
        <w:t xml:space="preserve">Generación en España. (2022). Consultado el 3 de mayo de 2022. </w:t>
      </w:r>
      <w:hyperlink r:id="rId30" w:history="1">
        <w:r w:rsidRPr="00F51E5B">
          <w:rPr>
            <w:rStyle w:val="Hipervnculo"/>
          </w:rPr>
          <w:t>https://www.ree.es/es/datos/generacion/potencia-instalada</w:t>
        </w:r>
      </w:hyperlink>
    </w:p>
    <w:p w14:paraId="660FC0EB" w14:textId="345AAC37" w:rsidR="00010696" w:rsidRDefault="00AC73AC" w:rsidP="00DE6C1D">
      <w:pPr>
        <w:pStyle w:val="Prrafodelista"/>
        <w:numPr>
          <w:ilvl w:val="0"/>
          <w:numId w:val="9"/>
        </w:numPr>
      </w:pPr>
      <w:r>
        <w:t xml:space="preserve">Generación en España (2022). Consultado el 4 de mayo de 2022. </w:t>
      </w:r>
      <w:hyperlink r:id="rId31" w:history="1">
        <w:r w:rsidRPr="00F51E5B">
          <w:rPr>
            <w:rStyle w:val="Hipervnculo"/>
          </w:rPr>
          <w:t>https://www.ree.es/es/datos/generacion/estructura-generacion</w:t>
        </w:r>
      </w:hyperlink>
      <w:r>
        <w:t xml:space="preserve"> </w:t>
      </w:r>
    </w:p>
    <w:p w14:paraId="01139F48" w14:textId="70B626FF" w:rsidR="001B5FBA" w:rsidRPr="00770C53" w:rsidRDefault="001B5FBA" w:rsidP="001B5FBA">
      <w:pPr>
        <w:pStyle w:val="Prrafodelista"/>
        <w:numPr>
          <w:ilvl w:val="0"/>
          <w:numId w:val="9"/>
        </w:numPr>
        <w:rPr>
          <w:rStyle w:val="Hipervnculo"/>
          <w:color w:val="auto"/>
          <w:u w:val="none"/>
        </w:rPr>
      </w:pPr>
      <w:r>
        <w:t xml:space="preserve">Nuestros hábitos de consumo (2021). Consultado el 4 de mayo de 2022. </w:t>
      </w:r>
      <w:hyperlink r:id="rId32" w:history="1">
        <w:r w:rsidR="0036785E" w:rsidRPr="00AC7380">
          <w:rPr>
            <w:rStyle w:val="Hipervnculo"/>
          </w:rPr>
          <w:t>https://www.ree.es/es/red21/eficiencia-energetica-y-consumo-inteligente/nuestros-habitos-de-consumo</w:t>
        </w:r>
      </w:hyperlink>
    </w:p>
    <w:p w14:paraId="1702E705" w14:textId="0E71D131" w:rsidR="00770C53" w:rsidRPr="00770C53" w:rsidRDefault="00770C53" w:rsidP="00770C53">
      <w:pPr>
        <w:pStyle w:val="Sinespaciado"/>
        <w:numPr>
          <w:ilvl w:val="0"/>
          <w:numId w:val="9"/>
        </w:numPr>
        <w:rPr>
          <w:lang w:val="en-US"/>
        </w:rPr>
      </w:pPr>
      <w:r w:rsidRPr="00770C53">
        <w:rPr>
          <w:lang w:val="en-US"/>
        </w:rPr>
        <w:t>The elements of statistic l</w:t>
      </w:r>
      <w:r>
        <w:rPr>
          <w:lang w:val="en-US"/>
        </w:rPr>
        <w:t>earning Friedman 2001 3.4. Subset selection and coefficient shrinkage pag 59</w:t>
      </w:r>
    </w:p>
    <w:p w14:paraId="51873E35" w14:textId="771D328B" w:rsidR="0036785E" w:rsidRPr="00770C53" w:rsidRDefault="0036785E" w:rsidP="0036785E">
      <w:pPr>
        <w:rPr>
          <w:lang w:val="en-US"/>
        </w:rPr>
      </w:pPr>
    </w:p>
    <w:p w14:paraId="3629043F" w14:textId="10382EC5" w:rsidR="0036785E" w:rsidRPr="004434B7" w:rsidRDefault="0036785E" w:rsidP="0036785E">
      <w:pPr>
        <w:pStyle w:val="Prrafodelista"/>
        <w:numPr>
          <w:ilvl w:val="0"/>
          <w:numId w:val="8"/>
        </w:numPr>
        <w:rPr>
          <w:b/>
          <w:bCs/>
        </w:rPr>
      </w:pPr>
      <w:r w:rsidRPr="004434B7">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r>
              <w:t>Numpy</w:t>
            </w:r>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r>
              <w:t>Matplotlib</w:t>
            </w:r>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r>
              <w:t>Statsmodels</w:t>
            </w:r>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r>
              <w:t>Plotly</w:t>
            </w:r>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r>
              <w:t>Scikit-learn</w:t>
            </w:r>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r>
              <w:t>Tensorflow</w:t>
            </w:r>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r>
              <w:t>Keras</w:t>
            </w:r>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r>
              <w:t>Yfinance</w:t>
            </w:r>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r>
              <w:t>Xgboost</w:t>
            </w:r>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r>
              <w:lastRenderedPageBreak/>
              <w:t>Scipy</w:t>
            </w:r>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r>
              <w:t>Seaborn</w:t>
            </w:r>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r>
              <w:t>Pmdarima</w:t>
            </w:r>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En este anexo se muestran los resultados del estudio de la relación entre las variables que servirán para explicar el precio de la electricidad en España mediante un gráfico pairplot del módulo seaborn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3">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xml:space="preserve">). La primera columna o la primera fila son en las que hay que fijarse si se quiere observar la relación entre las variables explicativas y la variable a predecir, </w:t>
      </w:r>
      <w:r w:rsidR="001A5A5B">
        <w:lastRenderedPageBreak/>
        <w:t>que es la llamada</w:t>
      </w:r>
      <w:r w:rsidR="001A5A5B">
        <w:rPr>
          <w:b/>
          <w:bCs/>
        </w:rPr>
        <w:t xml:space="preserve"> Spot_electricidad</w:t>
      </w:r>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4">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Este grupo muestra la relación de la variable objetivo Spot_electricidad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7D9FEB79" w:rsidR="00122362" w:rsidRDefault="00200898" w:rsidP="00122362">
      <w:pPr>
        <w:jc w:val="both"/>
      </w:pPr>
      <w:r>
        <w:lastRenderedPageBreak/>
        <w:t>No parece existir ninguna relación  clara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5">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backtesting.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7932A" w14:textId="77777777" w:rsidR="00B16E9C" w:rsidRDefault="00B16E9C" w:rsidP="00DE6C1D">
      <w:pPr>
        <w:spacing w:after="0" w:line="240" w:lineRule="auto"/>
      </w:pPr>
      <w:r>
        <w:separator/>
      </w:r>
    </w:p>
  </w:endnote>
  <w:endnote w:type="continuationSeparator" w:id="0">
    <w:p w14:paraId="79EDCB55" w14:textId="77777777" w:rsidR="00B16E9C" w:rsidRDefault="00B16E9C"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1CA1" w14:textId="77777777" w:rsidR="00B16E9C" w:rsidRDefault="00B16E9C" w:rsidP="00DE6C1D">
      <w:pPr>
        <w:spacing w:after="0" w:line="240" w:lineRule="auto"/>
      </w:pPr>
      <w:r>
        <w:separator/>
      </w:r>
    </w:p>
  </w:footnote>
  <w:footnote w:type="continuationSeparator" w:id="0">
    <w:p w14:paraId="70F40FCB" w14:textId="77777777" w:rsidR="00B16E9C" w:rsidRDefault="00B16E9C"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10696"/>
    <w:rsid w:val="00020220"/>
    <w:rsid w:val="00023223"/>
    <w:rsid w:val="0002537B"/>
    <w:rsid w:val="000461AF"/>
    <w:rsid w:val="00064972"/>
    <w:rsid w:val="00086CFA"/>
    <w:rsid w:val="000C09A3"/>
    <w:rsid w:val="000D6650"/>
    <w:rsid w:val="000E1A93"/>
    <w:rsid w:val="000E1DF3"/>
    <w:rsid w:val="000E267F"/>
    <w:rsid w:val="000F34C2"/>
    <w:rsid w:val="00106155"/>
    <w:rsid w:val="00121341"/>
    <w:rsid w:val="00121F25"/>
    <w:rsid w:val="00122362"/>
    <w:rsid w:val="00133354"/>
    <w:rsid w:val="00137104"/>
    <w:rsid w:val="00157F4B"/>
    <w:rsid w:val="00170289"/>
    <w:rsid w:val="00171E81"/>
    <w:rsid w:val="00176283"/>
    <w:rsid w:val="00181B48"/>
    <w:rsid w:val="00187C68"/>
    <w:rsid w:val="001A5A5B"/>
    <w:rsid w:val="001A7757"/>
    <w:rsid w:val="001B5FBA"/>
    <w:rsid w:val="001C3136"/>
    <w:rsid w:val="001C7063"/>
    <w:rsid w:val="001E2E60"/>
    <w:rsid w:val="001E3139"/>
    <w:rsid w:val="00200898"/>
    <w:rsid w:val="00234A65"/>
    <w:rsid w:val="00243A40"/>
    <w:rsid w:val="00247A78"/>
    <w:rsid w:val="002747D2"/>
    <w:rsid w:val="00297359"/>
    <w:rsid w:val="002A663F"/>
    <w:rsid w:val="002B302F"/>
    <w:rsid w:val="002C4903"/>
    <w:rsid w:val="002D315B"/>
    <w:rsid w:val="002E6289"/>
    <w:rsid w:val="002F57EB"/>
    <w:rsid w:val="002F6AA4"/>
    <w:rsid w:val="00301D9B"/>
    <w:rsid w:val="00306A37"/>
    <w:rsid w:val="003253AA"/>
    <w:rsid w:val="0034507F"/>
    <w:rsid w:val="00361D9D"/>
    <w:rsid w:val="0036785E"/>
    <w:rsid w:val="00370BE0"/>
    <w:rsid w:val="003914EF"/>
    <w:rsid w:val="003916DF"/>
    <w:rsid w:val="003B3A3F"/>
    <w:rsid w:val="003D2546"/>
    <w:rsid w:val="003E7E1B"/>
    <w:rsid w:val="004027F4"/>
    <w:rsid w:val="00404923"/>
    <w:rsid w:val="004129D5"/>
    <w:rsid w:val="00421708"/>
    <w:rsid w:val="00432587"/>
    <w:rsid w:val="00435206"/>
    <w:rsid w:val="004434B7"/>
    <w:rsid w:val="00456047"/>
    <w:rsid w:val="00461FE2"/>
    <w:rsid w:val="00475BA1"/>
    <w:rsid w:val="004967E1"/>
    <w:rsid w:val="004B532A"/>
    <w:rsid w:val="004C4077"/>
    <w:rsid w:val="004D2D56"/>
    <w:rsid w:val="004D365C"/>
    <w:rsid w:val="004D798D"/>
    <w:rsid w:val="004E0A58"/>
    <w:rsid w:val="004F512D"/>
    <w:rsid w:val="005063DD"/>
    <w:rsid w:val="005132C3"/>
    <w:rsid w:val="00517D2B"/>
    <w:rsid w:val="00524C8B"/>
    <w:rsid w:val="00563DA9"/>
    <w:rsid w:val="00563F0D"/>
    <w:rsid w:val="0057217B"/>
    <w:rsid w:val="005B725E"/>
    <w:rsid w:val="005E5AEF"/>
    <w:rsid w:val="00606CFB"/>
    <w:rsid w:val="00610FBD"/>
    <w:rsid w:val="00615B81"/>
    <w:rsid w:val="00623DCD"/>
    <w:rsid w:val="006321F9"/>
    <w:rsid w:val="00636230"/>
    <w:rsid w:val="00657CD1"/>
    <w:rsid w:val="00661197"/>
    <w:rsid w:val="00663F71"/>
    <w:rsid w:val="0066739F"/>
    <w:rsid w:val="006706EF"/>
    <w:rsid w:val="00671965"/>
    <w:rsid w:val="006742A4"/>
    <w:rsid w:val="00680BD7"/>
    <w:rsid w:val="0069651C"/>
    <w:rsid w:val="00696BAF"/>
    <w:rsid w:val="006A2051"/>
    <w:rsid w:val="006A6FD4"/>
    <w:rsid w:val="006B1517"/>
    <w:rsid w:val="006B46A7"/>
    <w:rsid w:val="006B7402"/>
    <w:rsid w:val="006C6460"/>
    <w:rsid w:val="006C6484"/>
    <w:rsid w:val="006C6721"/>
    <w:rsid w:val="006C761C"/>
    <w:rsid w:val="006D46E8"/>
    <w:rsid w:val="006D4808"/>
    <w:rsid w:val="006E3036"/>
    <w:rsid w:val="006F0613"/>
    <w:rsid w:val="0070585E"/>
    <w:rsid w:val="00707B6E"/>
    <w:rsid w:val="007202CA"/>
    <w:rsid w:val="007428EB"/>
    <w:rsid w:val="00750B2B"/>
    <w:rsid w:val="007567FE"/>
    <w:rsid w:val="0076399A"/>
    <w:rsid w:val="00770C53"/>
    <w:rsid w:val="00774C92"/>
    <w:rsid w:val="00796987"/>
    <w:rsid w:val="007D31D6"/>
    <w:rsid w:val="007D3534"/>
    <w:rsid w:val="007E0986"/>
    <w:rsid w:val="007E2B94"/>
    <w:rsid w:val="007E7B28"/>
    <w:rsid w:val="007F515C"/>
    <w:rsid w:val="00802E70"/>
    <w:rsid w:val="00806168"/>
    <w:rsid w:val="00810BF1"/>
    <w:rsid w:val="00824723"/>
    <w:rsid w:val="0082692A"/>
    <w:rsid w:val="00830030"/>
    <w:rsid w:val="008324DD"/>
    <w:rsid w:val="00835EF8"/>
    <w:rsid w:val="0085442E"/>
    <w:rsid w:val="00866546"/>
    <w:rsid w:val="00877159"/>
    <w:rsid w:val="00885051"/>
    <w:rsid w:val="008B0AD8"/>
    <w:rsid w:val="008C79EE"/>
    <w:rsid w:val="008C7A52"/>
    <w:rsid w:val="008E5A49"/>
    <w:rsid w:val="008E76F0"/>
    <w:rsid w:val="009043A5"/>
    <w:rsid w:val="00906E3C"/>
    <w:rsid w:val="009114F6"/>
    <w:rsid w:val="009261BA"/>
    <w:rsid w:val="009318F2"/>
    <w:rsid w:val="009343EF"/>
    <w:rsid w:val="00941924"/>
    <w:rsid w:val="00952697"/>
    <w:rsid w:val="0095382B"/>
    <w:rsid w:val="00976344"/>
    <w:rsid w:val="00985AFA"/>
    <w:rsid w:val="00994E4C"/>
    <w:rsid w:val="00995E24"/>
    <w:rsid w:val="009A0A2C"/>
    <w:rsid w:val="009A1B48"/>
    <w:rsid w:val="009D04BD"/>
    <w:rsid w:val="009D1C31"/>
    <w:rsid w:val="009D2450"/>
    <w:rsid w:val="009D2DB8"/>
    <w:rsid w:val="009E0019"/>
    <w:rsid w:val="00A11736"/>
    <w:rsid w:val="00A1332F"/>
    <w:rsid w:val="00A46DC7"/>
    <w:rsid w:val="00A536B6"/>
    <w:rsid w:val="00A65ECF"/>
    <w:rsid w:val="00A7244E"/>
    <w:rsid w:val="00A75411"/>
    <w:rsid w:val="00A94A61"/>
    <w:rsid w:val="00AA1189"/>
    <w:rsid w:val="00AB6CE1"/>
    <w:rsid w:val="00AC73AC"/>
    <w:rsid w:val="00AD2759"/>
    <w:rsid w:val="00AD53E8"/>
    <w:rsid w:val="00AE5BB4"/>
    <w:rsid w:val="00AE6857"/>
    <w:rsid w:val="00B0742D"/>
    <w:rsid w:val="00B14ED6"/>
    <w:rsid w:val="00B16E9C"/>
    <w:rsid w:val="00B2510B"/>
    <w:rsid w:val="00B34148"/>
    <w:rsid w:val="00B46E23"/>
    <w:rsid w:val="00B55BE9"/>
    <w:rsid w:val="00B604A0"/>
    <w:rsid w:val="00B71469"/>
    <w:rsid w:val="00B82E37"/>
    <w:rsid w:val="00BA38FB"/>
    <w:rsid w:val="00BA7EAC"/>
    <w:rsid w:val="00BB663F"/>
    <w:rsid w:val="00BC2A24"/>
    <w:rsid w:val="00C376C0"/>
    <w:rsid w:val="00C60ABD"/>
    <w:rsid w:val="00C61C6F"/>
    <w:rsid w:val="00CD7BE6"/>
    <w:rsid w:val="00D014BA"/>
    <w:rsid w:val="00D0670B"/>
    <w:rsid w:val="00D13166"/>
    <w:rsid w:val="00D23166"/>
    <w:rsid w:val="00D54ED8"/>
    <w:rsid w:val="00D618C6"/>
    <w:rsid w:val="00D662BB"/>
    <w:rsid w:val="00D7263F"/>
    <w:rsid w:val="00D7408C"/>
    <w:rsid w:val="00DC161E"/>
    <w:rsid w:val="00DC2C34"/>
    <w:rsid w:val="00DC3A6F"/>
    <w:rsid w:val="00DC5467"/>
    <w:rsid w:val="00DD3603"/>
    <w:rsid w:val="00DE2F4C"/>
    <w:rsid w:val="00DE385A"/>
    <w:rsid w:val="00DE6C1D"/>
    <w:rsid w:val="00E2532F"/>
    <w:rsid w:val="00E43CCF"/>
    <w:rsid w:val="00E65BE3"/>
    <w:rsid w:val="00E74B62"/>
    <w:rsid w:val="00E8557E"/>
    <w:rsid w:val="00E922F7"/>
    <w:rsid w:val="00EB5191"/>
    <w:rsid w:val="00EC0E6F"/>
    <w:rsid w:val="00EC6911"/>
    <w:rsid w:val="00F07FC1"/>
    <w:rsid w:val="00F26C67"/>
    <w:rsid w:val="00F44303"/>
    <w:rsid w:val="00F552C1"/>
    <w:rsid w:val="00F66D07"/>
    <w:rsid w:val="00F71E17"/>
    <w:rsid w:val="00F7656E"/>
    <w:rsid w:val="00F80BA5"/>
    <w:rsid w:val="00FA1EC2"/>
    <w:rsid w:val="00FA6C1C"/>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tosmacro.expansion.com/energia-y-medio-ambiente/electricidad-consumo/espana"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nergias-renovables.com/panorama/la-energia-es-un-bien-basico-de-20191119" TargetMode="External"/><Relationship Id="rId33" Type="http://schemas.openxmlformats.org/officeDocument/2006/relationships/image" Target="media/image16.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lblogsalmon.com/sectores/sistema-marginalista-fijacion-precios-electricos-a-deb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ree.es/es/red21/eficiencia-energetica-y-consumo-inteligente/nuestros-habitos-de-consumo"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oe.es/buscar/act.php?id=BOE-A-2013-13645&amp;p=20211027&amp;tn=1" TargetMode="External"/><Relationship Id="rId36" Type="http://schemas.openxmlformats.org/officeDocument/2006/relationships/footer" Target="footer1.xml"/><Relationship Id="rId10" Type="http://schemas.openxmlformats.org/officeDocument/2006/relationships/hyperlink" Target="https://www.omie.es/es/market-results/daily/daily-market/aggragate-suply-curves" TargetMode="External"/><Relationship Id="rId19" Type="http://schemas.openxmlformats.org/officeDocument/2006/relationships/image" Target="media/image10.png"/><Relationship Id="rId31" Type="http://schemas.openxmlformats.org/officeDocument/2006/relationships/hyperlink" Target="https://www.ree.es/es/datos/generacion/estructura-generac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ura-energia.com/como-funciona-el-sector-electrico-en-espana/" TargetMode="External"/><Relationship Id="rId30" Type="http://schemas.openxmlformats.org/officeDocument/2006/relationships/hyperlink" Target="https://www.ree.es/es/datos/generacion/potencia-instaladaG" TargetMode="External"/><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9C0420771940DB9F87AF41520880AA"/>
        <w:category>
          <w:name w:val="General"/>
          <w:gallery w:val="placeholder"/>
        </w:category>
        <w:types>
          <w:type w:val="bbPlcHdr"/>
        </w:types>
        <w:behaviors>
          <w:behavior w:val="content"/>
        </w:behaviors>
        <w:guid w:val="{F7DBBD5F-70BF-4973-85C7-33D7EBF34ADE}"/>
      </w:docPartPr>
      <w:docPartBody>
        <w:p w:rsidR="005B309B" w:rsidRDefault="00C16C6E" w:rsidP="00C16C6E">
          <w:pPr>
            <w:pStyle w:val="549C0420771940DB9F87AF41520880AA"/>
          </w:pPr>
          <w:r>
            <w:rPr>
              <w:color w:val="2F5496" w:themeColor="accent1" w:themeShade="BF"/>
              <w:sz w:val="24"/>
              <w:szCs w:val="24"/>
            </w:rPr>
            <w:t>[Nombre de la compañía]</w:t>
          </w:r>
        </w:p>
      </w:docPartBody>
    </w:docPart>
    <w:docPart>
      <w:docPartPr>
        <w:name w:val="BAE579210C9149EAB8AA1624991BD525"/>
        <w:category>
          <w:name w:val="General"/>
          <w:gallery w:val="placeholder"/>
        </w:category>
        <w:types>
          <w:type w:val="bbPlcHdr"/>
        </w:types>
        <w:behaviors>
          <w:behavior w:val="content"/>
        </w:behaviors>
        <w:guid w:val="{4DA1F176-E3C9-425A-B0F8-2D00FF143ABA}"/>
      </w:docPartPr>
      <w:docPartBody>
        <w:p w:rsidR="005B309B" w:rsidRDefault="00C16C6E" w:rsidP="00C16C6E">
          <w:pPr>
            <w:pStyle w:val="BAE579210C9149EAB8AA1624991BD525"/>
          </w:pPr>
          <w:r>
            <w:rPr>
              <w:rFonts w:asciiTheme="majorHAnsi" w:eastAsiaTheme="majorEastAsia" w:hAnsiTheme="majorHAnsi" w:cstheme="majorBidi"/>
              <w:color w:val="4472C4" w:themeColor="accent1"/>
              <w:sz w:val="88"/>
              <w:szCs w:val="88"/>
            </w:rPr>
            <w:t>[Título del documento]</w:t>
          </w:r>
        </w:p>
      </w:docPartBody>
    </w:docPart>
    <w:docPart>
      <w:docPartPr>
        <w:name w:val="914B9A342E5C4660A804964F6B101E98"/>
        <w:category>
          <w:name w:val="General"/>
          <w:gallery w:val="placeholder"/>
        </w:category>
        <w:types>
          <w:type w:val="bbPlcHdr"/>
        </w:types>
        <w:behaviors>
          <w:behavior w:val="content"/>
        </w:behaviors>
        <w:guid w:val="{BB1C8CC9-C019-41E3-929E-8EA46AA8A2D7}"/>
      </w:docPartPr>
      <w:docPartBody>
        <w:p w:rsidR="005B309B" w:rsidRDefault="00C16C6E" w:rsidP="00C16C6E">
          <w:pPr>
            <w:pStyle w:val="914B9A342E5C4660A804964F6B101E98"/>
          </w:pPr>
          <w:r>
            <w:rPr>
              <w:color w:val="2F5496" w:themeColor="accent1" w:themeShade="BF"/>
              <w:sz w:val="24"/>
              <w:szCs w:val="24"/>
            </w:rPr>
            <w:t>[Subtítulo del documento]</w:t>
          </w:r>
        </w:p>
      </w:docPartBody>
    </w:docPart>
    <w:docPart>
      <w:docPartPr>
        <w:name w:val="00A218E1D10449E4A64A68F1998FAFFF"/>
        <w:category>
          <w:name w:val="General"/>
          <w:gallery w:val="placeholder"/>
        </w:category>
        <w:types>
          <w:type w:val="bbPlcHdr"/>
        </w:types>
        <w:behaviors>
          <w:behavior w:val="content"/>
        </w:behaviors>
        <w:guid w:val="{413434C8-A43F-4066-AB17-4EF2243A1655}"/>
      </w:docPartPr>
      <w:docPartBody>
        <w:p w:rsidR="005B309B" w:rsidRDefault="00C16C6E" w:rsidP="00C16C6E">
          <w:pPr>
            <w:pStyle w:val="00A218E1D10449E4A64A68F1998FAFFF"/>
          </w:pPr>
          <w:r>
            <w:rPr>
              <w:color w:val="4472C4" w:themeColor="accent1"/>
              <w:sz w:val="28"/>
              <w:szCs w:val="28"/>
            </w:rPr>
            <w:t>[Nombre del autor]</w:t>
          </w:r>
        </w:p>
      </w:docPartBody>
    </w:docPart>
    <w:docPart>
      <w:docPartPr>
        <w:name w:val="2A5A0AD364E345488D61AE4D961D5CF1"/>
        <w:category>
          <w:name w:val="General"/>
          <w:gallery w:val="placeholder"/>
        </w:category>
        <w:types>
          <w:type w:val="bbPlcHdr"/>
        </w:types>
        <w:behaviors>
          <w:behavior w:val="content"/>
        </w:behaviors>
        <w:guid w:val="{6C8685F5-7D88-430C-B223-C49A07133F3C}"/>
      </w:docPartPr>
      <w:docPartBody>
        <w:p w:rsidR="005B309B" w:rsidRDefault="00C16C6E" w:rsidP="00C16C6E">
          <w:pPr>
            <w:pStyle w:val="2A5A0AD364E345488D61AE4D961D5CF1"/>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6E"/>
    <w:rsid w:val="00126F91"/>
    <w:rsid w:val="002B6BF9"/>
    <w:rsid w:val="003637EC"/>
    <w:rsid w:val="00484F02"/>
    <w:rsid w:val="005B309B"/>
    <w:rsid w:val="006704E2"/>
    <w:rsid w:val="00675A55"/>
    <w:rsid w:val="00A243DE"/>
    <w:rsid w:val="00AF57D7"/>
    <w:rsid w:val="00C16C6E"/>
    <w:rsid w:val="00D22751"/>
    <w:rsid w:val="00D82F7D"/>
    <w:rsid w:val="00DE3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9C0420771940DB9F87AF41520880AA">
    <w:name w:val="549C0420771940DB9F87AF41520880AA"/>
    <w:rsid w:val="00C16C6E"/>
  </w:style>
  <w:style w:type="paragraph" w:customStyle="1" w:styleId="BAE579210C9149EAB8AA1624991BD525">
    <w:name w:val="BAE579210C9149EAB8AA1624991BD525"/>
    <w:rsid w:val="00C16C6E"/>
  </w:style>
  <w:style w:type="paragraph" w:customStyle="1" w:styleId="914B9A342E5C4660A804964F6B101E98">
    <w:name w:val="914B9A342E5C4660A804964F6B101E98"/>
    <w:rsid w:val="00C16C6E"/>
  </w:style>
  <w:style w:type="paragraph" w:customStyle="1" w:styleId="00A218E1D10449E4A64A68F1998FAFFF">
    <w:name w:val="00A218E1D10449E4A64A68F1998FAFFF"/>
    <w:rsid w:val="00C16C6E"/>
  </w:style>
  <w:style w:type="paragraph" w:customStyle="1" w:styleId="2A5A0AD364E345488D61AE4D961D5CF1">
    <w:name w:val="2A5A0AD364E345488D61AE4D961D5CF1"/>
    <w:rsid w:val="00C16C6E"/>
  </w:style>
  <w:style w:type="character" w:styleId="Textodelmarcadordeposicin">
    <w:name w:val="Placeholder Text"/>
    <w:basedOn w:val="Fuentedeprrafopredeter"/>
    <w:uiPriority w:val="99"/>
    <w:semiHidden/>
    <w:rsid w:val="002B6B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35</Pages>
  <Words>8327</Words>
  <Characters>45799</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54018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145</cp:revision>
  <dcterms:created xsi:type="dcterms:W3CDTF">2022-03-28T21:24:00Z</dcterms:created>
  <dcterms:modified xsi:type="dcterms:W3CDTF">2022-05-15T10:15:00Z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