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Narrative </w:t>
        <w:br w:type="textWrapping"/>
        <w:br w:type="textWrapping"/>
        <w:t xml:space="preserve">Table 4: Log in Use Case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Field </w:t>
        <w:tab/>
        <w:tab/>
        <w:tab/>
        <w:t xml:space="preserve">Details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                 Log 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                 Authorized users can log in to the SCHOOLCARE+ system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Actors                       Super Admin, Admin, Doctor, Nurse, Staff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                    To provide a secure and efficient way for authorized users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Pre-condition            The user has a registered account and valid login credentials.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Post-condition          The user is successfully logged in and redirected to the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                 Invalid login credentials, unregistered account, inactive account 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