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a party’s winning a marginal seat on its individual candidates’ subsequent electoral outcomes in Spain’s proportional representation system. The treatment—party-level incumbency—is determined by the D’Hondt allocation, while outcomes are tracked at the individual candidate level. While incumbency advantages are well documented in majoritarian systems, evidence from proportional representation (PR) contexts remains limited, particularly regarding the decomposition of effects into distinct channels (candidate reappearance, re-election, and list-position improvement).</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Each candidate receives a position-specific running variable—the D’Hondt party margin for their list position, normalized by eligible voters—so that the analysis focuses on candidates genuinely near a seat allocation threshold. Using data on all Spanish congressional (Congreso de los Diputados) elections from 2004 to 2023, encompassing 2,412 candidate-election observations within the analysis bandwidth (of which 2,118 have observable t+1 outcomes),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incumbency advantage. Candidates whose party barely wins a marginal seat are approximately 28 percentage points more likely to reappear on a party list in the subsequent election (sharp RDD, p &lt; 0.001) and 19 percentage points more likely to win a seat (p &lt; 0.001). There is suggestive evidence that winning a marginal seat also leads to more favorable list positions. These estimates are robust to alternative bandwidths, polynomial specifications, donut-hole restrictions, placebo cutoff tests, and McCrary density tests. The near-perfect first stage (τ ≈ 0.98) confirms the design’s internal validity.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Originality</w:t>
      </w:r>
    </w:p>
    <w:p>
      <w:pPr>
        <w:spacing w:after="200" w:line="360"/>
        <w:jc w:val="both"/>
      </w:pPr>
      <w:r>
        <w:rPr>
          <w:rFonts w:ascii="Arial" w:cs="Arial" w:eastAsia="Arial" w:hAnsi="Arial"/>
          <w:sz w:val="24"/>
          <w:szCs w:val="24"/>
        </w:rPr>
        <w:t xml:space="preserve">I hereby declare that I have written this thesis independently and exclusively with the aids and support of third parties provided by the Lucerne School of Business, in compliance with the Guidelines for the Use of AI and GenAI Tools in Assessments. All sources and literature used have been fully cited. I confirm that this thesis has not been submitted in the same or similar form for examination purposes elsewhere.</w:t>
      </w:r>
    </w:p>
    <w:p>
      <w:r>
        <w:rPr>
          <w:rFonts w:ascii="Arial" w:cs="Arial" w:eastAsia="Arial" w:hAnsi="Arial"/>
          <w:sz w:val="24"/>
          <w:szCs w:val="24"/>
        </w:rPr>
        <w:t xml:space="preserve"/>
      </w:r>
    </w:p>
    <w:p>
      <w:pPr>
        <w:pStyle w:val="Heading2"/>
        <w:spacing w:after="180" w:before="360"/>
      </w:pPr>
      <w:r>
        <w:rPr>
          <w:rFonts w:ascii="Arial" w:cs="Arial" w:eastAsia="Arial" w:hAnsi="Arial"/>
          <w:b/>
          <w:bCs/>
          <w:sz w:val="28"/>
          <w:szCs w:val="28"/>
        </w:rPr>
        <w:t xml:space="preserve">Statement on AI Use</w:t>
      </w:r>
    </w:p>
    <w:p>
      <w:pPr>
        <w:spacing w:after="200" w:line="360"/>
        <w:jc w:val="both"/>
      </w:pPr>
      <w:r>
        <w:rPr>
          <w:rFonts w:ascii="Arial" w:cs="Arial" w:eastAsia="Arial" w:hAnsi="Arial"/>
          <w:sz w:val="24"/>
          <w:szCs w:val="24"/>
        </w:rPr>
        <w:t xml:space="preserve">Generative AI tools were used during the preparation of this thesis in the following capacities: (1) Claude (Anthropic) was used for code generation assistance in the Python analysis pipeline, document formatting, and iterative review of the manuscript against the grading rubric; (2) GPT-4o (OpenAI) was used for text editing and formatting support during the preliminary study phase. All conceptual content, research design, analytical decisions, and interpretation of results were developed by the author. The use of AI tools was limited to technical implementation support and did not extend to the formulation of hypotheses, selection of methodology, or interpretation of findings.</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List Position Effects – RDD Estimates</w:t>
      </w:r>
    </w:p>
    <w:p>
      <w:pPr>
        <w:spacing w:after="200" w:line="360"/>
        <w:jc w:val="both"/>
      </w:pPr>
      <w:r>
        <w:rPr>
          <w:rFonts w:ascii="Arial" w:cs="Arial" w:eastAsia="Arial" w:hAnsi="Arial"/>
          <w:sz w:val="24"/>
          <w:szCs w:val="24"/>
        </w:rPr>
        <w:t xml:space="preserve">Table 6: Heterogeneity by District Magnitude</w:t>
      </w:r>
    </w:p>
    <w:p>
      <w:pPr>
        <w:spacing w:after="200" w:line="360"/>
        <w:jc w:val="both"/>
      </w:pPr>
      <w:r>
        <w:rPr>
          <w:rFonts w:ascii="Arial" w:cs="Arial" w:eastAsia="Arial" w:hAnsi="Arial"/>
          <w:sz w:val="24"/>
          <w:szCs w:val="24"/>
        </w:rPr>
        <w:t xml:space="preserve">Table 7: McCrary Density Tests</w:t>
      </w:r>
    </w:p>
    <w:p>
      <w:pPr>
        <w:spacing w:after="200" w:line="360"/>
        <w:jc w:val="both"/>
      </w:pPr>
      <w:r>
        <w:rPr>
          <w:rFonts w:ascii="Arial" w:cs="Arial" w:eastAsia="Arial" w:hAnsi="Arial"/>
          <w:sz w:val="24"/>
          <w:szCs w:val="24"/>
        </w:rPr>
        <w:t xml:space="preserve">Table 8: Placebo Cutoff Tests</w:t>
      </w:r>
    </w:p>
    <w:p>
      <w:pPr>
        <w:spacing w:after="200" w:line="360"/>
        <w:jc w:val="both"/>
      </w:pPr>
      <w:r>
        <w:rPr>
          <w:rFonts w:ascii="Arial" w:cs="Arial" w:eastAsia="Arial" w:hAnsi="Arial"/>
          <w:sz w:val="24"/>
          <w:szCs w:val="24"/>
        </w:rPr>
        <w:t xml:space="preserve">Table 9: Donut-Hole Robustness</w:t>
      </w:r>
    </w:p>
    <w:p>
      <w:pPr>
        <w:spacing w:after="200" w:line="360"/>
        <w:jc w:val="both"/>
      </w:pPr>
      <w:r>
        <w:rPr>
          <w:rFonts w:ascii="Arial" w:cs="Arial" w:eastAsia="Arial" w:hAnsi="Arial"/>
          <w:sz w:val="24"/>
          <w:szCs w:val="24"/>
        </w:rPr>
        <w:t xml:space="preserve">Table 10: Polynomial Order Comparison</w:t>
      </w:r>
    </w:p>
    <w:p>
      <w:pPr>
        <w:spacing w:after="200" w:line="360"/>
        <w:jc w:val="both"/>
      </w:pPr>
      <w:r>
        <w:rPr>
          <w:rFonts w:ascii="Arial" w:cs="Arial" w:eastAsia="Arial" w:hAnsi="Arial"/>
          <w:sz w:val="24"/>
          <w:szCs w:val="24"/>
        </w:rPr>
        <w:t xml:space="preserve">Table 11: Covariate Balance at the Cutoff</w:t>
      </w:r>
    </w:p>
    <w:p>
      <w:pPr>
        <w:spacing w:after="200" w:line="360"/>
        <w:jc w:val="both"/>
      </w:pPr>
      <w:r>
        <w:rPr>
          <w:rFonts w:ascii="Arial" w:cs="Arial" w:eastAsia="Arial" w:hAnsi="Arial"/>
          <w:sz w:val="24"/>
          <w:szCs w:val="24"/>
        </w:rPr>
        <w:t xml:space="preserve">Table 12: Cross-Country Comparison of Incumbency Advantage Estimates</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party-level advantage in close US House races, established this approach as a credible method for causal identification.</w:t>
      </w:r>
    </w:p>
    <w:p>
      <w:pPr>
        <w:spacing w:after="200" w:line="360"/>
        <w:jc w:val="both"/>
      </w:pPr>
      <w:r>
        <w:rPr>
          <w:rFonts w:ascii="Arial" w:cs="Arial" w:eastAsia="Arial" w:hAnsi="Arial"/>
          <w:sz w:val="24"/>
          <w:szCs w:val="24"/>
        </w:rPr>
        <w:t xml:space="preserve">However, most democracies worldwide employ some form of proportional representation (PR). Whether and how incumbency advantages operate under PR remains an open question, because the institutional channels differ: voters choose between party lists rather than individual candidates, and the personal vote may play a diminished role.</w:t>
      </w:r>
    </w:p>
    <w:p>
      <w:pPr>
        <w:spacing w:after="200" w:line="360"/>
        <w:jc w:val="both"/>
      </w:pPr>
      <w:r>
        <w:rPr>
          <w:rFonts w:ascii="Arial" w:cs="Arial" w:eastAsia="Arial" w:hAnsi="Arial"/>
          <w:sz w:val="24"/>
          <w:szCs w:val="24"/>
        </w:rPr>
        <w:t xml:space="preserve">Spain’s closed-list PR system (described in Chapter 3) provides a particularly informative setting for this question. The D’Hondt seat allocation method generates quasi-experimental variation at the margin: parties that barely win versus barely lose a marginal seat are, on average, comparable in observable and unobservable characteristics, yet they differ in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spacing w:after="200" w:line="360"/>
        <w:jc w:val="both"/>
      </w:pPr>
      <w:r>
        <w:rPr>
          <w:rFonts w:ascii="Arial" w:cs="Arial" w:eastAsia="Arial" w:hAnsi="Arial"/>
          <w:sz w:val="24"/>
          <w:szCs w:val="24"/>
        </w:rPr>
        <w:t xml:space="preserve">These sub-questions correspond to three substantively distinct channels—the extensive margin (reappearance), the intensive margin (re-election), and the list-position channel—whose theoretical foundations and policy implications are developed in Section 2.4.</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going beyond a straightforward application of the Luechinger, Schelker, and Schmid (2024) methodology to a new country.</w:t>
      </w:r>
    </w:p>
    <w:p>
      <w:pPr>
        <w:spacing w:after="200" w:line="360"/>
        <w:jc w:val="both"/>
      </w:pPr>
      <w:r>
        <w:rPr>
          <w:rFonts w:ascii="Arial" w:cs="Arial" w:eastAsia="Arial" w:hAnsi="Arial"/>
          <w:sz w:val="24"/>
          <w:szCs w:val="24"/>
        </w:rPr>
        <w:t xml:space="preserve">First, Spain offers a theoretically informative test case. While Luechinger, Schelker, and Schmid (2024) demonstrated that their closeness measure yields incumbency advantages in Swiss open-list PR and Norwegian closed-list PR (Storting, 1953–1981), the Norwegian application used historical data from a period of limited party fragmentation and did not decompose the effect into extensive-margin, intensive-margin, and list-position channels. Spain’s closed-list system shuts down the personal vote channel entirely: voters choose between sealed party lists and cannot influence which individual candidates are elected. Combined with Spain’s dramatic party system fragmentation during the sample period (2004–2023), this provides a modern, multi-party test of whether party-mediated incumbency effects persist across a richer set of outcomes than previously examined.</w:t>
      </w:r>
    </w:p>
    <w:p>
      <w:pPr>
        <w:spacing w:after="200" w:line="360"/>
        <w:jc w:val="both"/>
      </w:pPr>
      <w:r>
        <w:rPr>
          <w:rFonts w:ascii="Arial" w:cs="Arial" w:eastAsia="Arial" w:hAnsi="Arial"/>
          <w:sz w:val="24"/>
          <w:szCs w:val="24"/>
        </w:rPr>
        <w:t xml:space="preserve">Second, Spain’s 50 PR provinces range from 2-seat districts (e.g., Soria) to 36–37-seat megadistricts (Madrid), providing within-country variation in district magnitude that allows a direct test of whether incumbency advantages are modulated by the competitiveness of the seat allocation environment.</w:t>
      </w:r>
    </w:p>
    <w:p>
      <w:pPr>
        <w:spacing w:after="200" w:line="360"/>
        <w:jc w:val="both"/>
      </w:pPr>
      <w:r>
        <w:rPr>
          <w:rFonts w:ascii="Arial" w:cs="Arial" w:eastAsia="Arial" w:hAnsi="Arial"/>
          <w:sz w:val="24"/>
          <w:szCs w:val="24"/>
        </w:rPr>
        <w:t xml:space="preserve">Third, this thesis extends the analysis beyond the standard runs-next/wins-next outcomes by investigating list-position effects in a closed-list setting. While Fiva and Røhr (2018) pioneered the study of list-position effects under open-list PR in Norway, Spain’s closed-list system provides a cleaner test of the party-gatekeeper mechanism: because voters cannot alter list orderings, any list-position improvement for incumbents must reflect the party organization’s deliberate decision rather than a combination of party and voter preferences.</w:t>
      </w:r>
    </w:p>
    <w:p>
      <w:pPr>
        <w:spacing w:after="200" w:line="360"/>
        <w:jc w:val="both"/>
      </w:pPr>
      <w:r>
        <w:rPr>
          <w:rFonts w:ascii="Arial" w:cs="Arial" w:eastAsia="Arial" w:hAnsi="Arial"/>
          <w:sz w:val="24"/>
          <w:szCs w:val="24"/>
        </w:rPr>
        <w:t xml:space="preserve">Fourth, by implementing a comprehensive battery of robustness checks—placebo cutoff tests, donut-hole restrictions, polynomial order sensitivity, bandwidth sensitivity, and McCrary density tests—and by tracking individual candidates across elections via a person-identifier linkage algorithm, this thesis establishes the credibility of the empirical design in a context where such validation has not been performed before.</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presented in Chapter 6, indicate a substantial and robust incumbency advantage: winning a marginal seat significantly increases both the probability of reappearing on a party list and of winning a seat in the next election. The effects are present across districts of varying magnitudes and survive an extensive battery of robustness checks.</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Erikson’s (1971) early observation that incumbent members of the US Congress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party-level advantage in close US House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Eggers and Spirling (2017) documented significant incumbency advantages in the British House of Commons, demonstrating that the phenomenon extends beyond the US context. Caughey and Sekhon (2011) raised concerns about potential sorting near the cutoff in close US elections, though subsequent work has generally validated the RDD approach with appropriate controls. Klasnja and Titiunik (2017) broadened the comparative evidence by estimating incumbency effects in Brazilian mayoral elections, finding that in some developing-democracy contexts the incumbency advantage can be negative—incumbents are actually penalized—highlighting that the direction and magnitude of incumbency effects are context-dependent rather than universal.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attenuated, especially under closed lists. Nonetheless, parties that win representation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 Importantly, Luechinger et al. apply their measure to estimate the individual incumbency advantage in three countries with different institutional features: Switzerland (open lists, D’Hondt, 1931–2015), Honduras (open lists, Hare–Niemeyer, 2009–2017), and Norway (closed lists, modified Sainte-Laguë, Storting elections 1953–1981). They find substantial individual incumbency advantages in Switzerland and Norway but not in Honduras. The Norwegian application is particularly relevant for the present study, as it demonstrates that the closeness measure and RDD framework can be applied to closed-list PR systems—the same institutional setting as Spain.</w:t>
      </w:r>
    </w:p>
    <w:p>
      <w:pPr>
        <w:spacing w:after="200" w:line="360"/>
        <w:jc w:val="both"/>
      </w:pPr>
      <w:r>
        <w:rPr>
          <w:rFonts w:ascii="Arial" w:cs="Arial" w:eastAsia="Arial" w:hAnsi="Arial"/>
          <w:sz w:val="24"/>
          <w:szCs w:val="24"/>
        </w:rPr>
        <w:t xml:space="preserve">Fiva and Røhr (2018) provide important evidence from Norwegian local elections, a setting with open-list PR where personal preference votes can alter the party-determined list ordering. Using an RDD framework at the individual candidate level, they find that incumbency significantly increases the probability of being ranked higher on the party list and of being re-elected. Crucially, most of the incumbency advantage operates through improved list positions assigned by party organizations rather than through direct voter preferences. This finding is particularly relevant for the present study: if party gatekeepers drive incumbency advantages even in open-list systems where voters can override list orderings, the effect should be at least as strong in Spain’s closed-list system where parties have complete control over candidate rankings.</w:t>
      </w:r>
    </w:p>
    <w:p>
      <w:pPr>
        <w:spacing w:after="200" w:line="360"/>
        <w:jc w:val="both"/>
      </w:pPr>
      <w:r>
        <w:rPr>
          <w:rFonts w:ascii="Arial" w:cs="Arial" w:eastAsia="Arial" w:hAnsi="Arial"/>
          <w:sz w:val="24"/>
          <w:szCs w:val="24"/>
        </w:rPr>
        <w:t xml:space="preserve">A key gap in this emerging literature concerns the decomposition of the incumbency advantage into its constituent channels. Most studies report a single reduced-form effect on vote shares or seat wins, but the total effect may mask distinct mechanisms. Distinguishing the extensive margin (whether a party’s candidates reappear at all) from the intensive margin (whether they win conditional on running) is important because the two channels have different policy implications: a large extensive-margin effect suggests that incumbency operates through party viability and organizational persistence, while a large intensive-margin effect points to direct electoral benefits such as voter loyalty or resource advantages. Furthermore, in closed-list PR systems, the party’s internal decision about list composition—specifically, where to place candidates on the list—is a theoretically distinct channel that mediates between party-level incumbency status and individual candidate outcomes (Hazan and Rahat, 2010; Galasso and Nannicini, 2011). Examining this channel requires tracking individual candidates across elections and observing changes in their list positions, which this thesis does.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and the strategic behavior of parties under D’Hondt. However, to the best of my knowledge, no prior study has applied the RDD framework with the Luechinger, Schelker, and Schmid (2024) closeness measure to estimate the incumbency advantage in Spanish congressional elections. The institutional features that make Spain a suitable case—the variation in district magnitude, closed-list system, and evolving party landscape—are detailed in Chapter 3.</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 Each is grounded in established theoretical mechanisms from the incumbency advantage literature.</w:t>
      </w:r>
    </w:p>
    <w:p>
      <w:pPr>
        <w:spacing w:after="200" w:line="360"/>
        <w:jc w:val="both"/>
      </w:pPr>
      <w:r>
        <w:rPr>
          <w:rFonts w:ascii="Arial" w:cs="Arial" w:eastAsia="Arial" w:hAnsi="Arial"/>
          <w:b/>
          <w:bCs/>
          <w:sz w:val="24"/>
          <w:szCs w:val="24"/>
        </w:rPr>
        <w:t xml:space="preserve">H1 (Extensive margin): </w:t>
      </w:r>
      <w:r>
        <w:rPr>
          <w:rFonts w:ascii="Arial" w:cs="Arial" w:eastAsia="Arial" w:hAnsi="Arial"/>
          <w:sz w:val="24"/>
          <w:szCs w:val="24"/>
        </w:rPr>
        <w:t xml:space="preserve">Candidates whose party barely wins a marginal seat are more likely to reappear on the party list in the subsequent election.</w:t>
      </w:r>
    </w:p>
    <w:p>
      <w:pPr>
        <w:spacing w:after="200" w:line="360"/>
        <w:jc w:val="both"/>
      </w:pPr>
      <w:r>
        <w:rPr>
          <w:rFonts w:ascii="Arial" w:cs="Arial" w:eastAsia="Arial" w:hAnsi="Arial"/>
          <w:sz w:val="24"/>
          <w:szCs w:val="24"/>
        </w:rPr>
        <w:t xml:space="preserve">The theoretical basis for this hypothesis draws on two established mechanisms. First, the “scare-off” or deterrence effect (Cox and Katz, 1996; Ansolabehere and Snyder, 2002): parties that hold a seat may deter competitors and signal viability, encouraging their own candidates to stand again while discouraging exit. Second, the resource channel: winning representation provides access to parliamentary budgets, staff, and media platforms (Erikson, 1971), reducing the fixed costs of contesting the next election. In PR systems with closed lists, these resources accrue primarily to the party organization rather than individual candidates, but they still shape the party’s decision to field candidates in a given province. Empirically, Luechinger, Schelker, and Schmid (2024) find a substantial incumbency advantage on the probability of being elected in the subsequent election in Swiss PR elections, suggesting that incumbency channels are operative beyond majoritarian settings. Their estimate combines both the extensive and intensive margins; the present study decomposes them separately.</w:t>
      </w:r>
    </w:p>
    <w:p>
      <w:pPr>
        <w:spacing w:after="200" w:line="360"/>
        <w:jc w:val="both"/>
      </w:pPr>
      <w:r>
        <w:rPr>
          <w:rFonts w:ascii="Arial" w:cs="Arial" w:eastAsia="Arial" w:hAnsi="Arial"/>
          <w:b/>
          <w:bCs/>
          <w:sz w:val="24"/>
          <w:szCs w:val="24"/>
        </w:rPr>
        <w:t xml:space="preserve">H2 (Intensive margin): </w:t>
      </w:r>
      <w:r>
        <w:rPr>
          <w:rFonts w:ascii="Arial" w:cs="Arial" w:eastAsia="Arial" w:hAnsi="Arial"/>
          <w:sz w:val="24"/>
          <w:szCs w:val="24"/>
        </w:rPr>
        <w:t xml:space="preserve">Candidates whose party barely wins a marginal seat are more likely to win a seat in the subsequent election.</w:t>
      </w:r>
    </w:p>
    <w:p>
      <w:pPr>
        <w:spacing w:after="200" w:line="360"/>
        <w:jc w:val="both"/>
      </w:pPr>
      <w:r>
        <w:rPr>
          <w:rFonts w:ascii="Arial" w:cs="Arial" w:eastAsia="Arial" w:hAnsi="Arial"/>
          <w:sz w:val="24"/>
          <w:szCs w:val="24"/>
        </w:rPr>
        <w:t xml:space="preserve">Beyond simply running again, the incumbency advantage literature identifies several channels through which holding office improves subsequent electoral performance. Gelman and King (1990) formalize the “quality advantage”: incumbent parties benefit from demonstrated competence and policy delivery. Lee (2008) argues that close-election RDD captures the combined effect of all incumbency channels—name recognition, constituency service, media exposure, pork-barrel spending—without needing to decompose them individually. In a closed-list PR system, the intensive-margin effect should reflect party-level rather than candidate-level advantages: voters reward or punish the party’s record, and the D’Hondt mechanism translates aggregate vote gains into additional seats.</w:t>
      </w:r>
    </w:p>
    <w:p>
      <w:pPr>
        <w:spacing w:after="200" w:line="360"/>
        <w:jc w:val="both"/>
      </w:pPr>
      <w:r>
        <w:rPr>
          <w:rFonts w:ascii="Arial" w:cs="Arial" w:eastAsia="Arial" w:hAnsi="Arial"/>
          <w:b/>
          <w:bCs/>
          <w:sz w:val="24"/>
          <w:szCs w:val="24"/>
        </w:rPr>
        <w:t xml:space="preserve">H3 (List-position channel):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This hypothesis probes a mechanism specific to closed-list PR systems and draws on the selectorate theory of candidate selection (Hazan and Rahat, 2010). In closed-list systems, party gatekeepers—rather than voters—determine list rankings. Theoretical models of intra-party competition predict that parties reward candidates who have demonstrated electability and accumulated legislative experience with more prominent list positions (Galasso and Nannicini, 2011). If incumbency experience serves as a signal of candidate quality to party selectors, then marginal-seat winners should receive better list placements in the next election. This hypothesis is testable only among candidates who reappear on a party list, making it conditional on the extensive margin. Fiva and Røhr (2018) examined list-position effects in Norway’s open-list system and found that party organizations—not voter preference votes—account for most of the incumbency advantage in list placement. Spain’s closed-list system provides a pure test of this party-gatekeeper channel, free from the confounding influence of personal preference votes.</w:t>
      </w:r>
    </w:p>
    <w:p>
      <w:pPr>
        <w:spacing w:after="200" w:line="360"/>
        <w:jc w:val="both"/>
      </w:pPr>
      <w:r>
        <w:rPr>
          <w:rFonts w:ascii="Arial" w:cs="Arial" w:eastAsia="Arial" w:hAnsi="Arial"/>
          <w:b/>
          <w:bCs/>
          <w:sz w:val="24"/>
          <w:szCs w:val="24"/>
        </w:rPr>
        <w:t xml:space="preserve">H4 (District magnitude heterogeneity): </w:t>
      </w:r>
      <w:r>
        <w:rPr>
          <w:rFonts w:ascii="Arial" w:cs="Arial" w:eastAsia="Arial" w:hAnsi="Arial"/>
          <w:sz w:val="24"/>
          <w:szCs w:val="24"/>
        </w:rPr>
        <w:t xml:space="preserve">The incumbency advantage varies with district magnitude, with stronger effects expected in low-magnitude districts.</w:t>
      </w:r>
    </w:p>
    <w:p>
      <w:pPr>
        <w:spacing w:after="200" w:line="360"/>
        <w:jc w:val="both"/>
      </w:pPr>
      <w:r>
        <w:rPr>
          <w:rFonts w:ascii="Arial" w:cs="Arial" w:eastAsia="Arial" w:hAnsi="Arial"/>
          <w:sz w:val="24"/>
          <w:szCs w:val="24"/>
        </w:rPr>
        <w:t xml:space="preserve">The theoretical prediction follows from the mechanical properties of proportional seat allocation. Taagepera and Shugart (1989) show that as district magnitude decreases, the effective threshold for winning a seat increases, making each seat more valuable and competition for the marginal seat more intense. In small-magnitude districts (2–4 seats), each seat represents a large share of the province’s representation, amplifying the organizational and visibility returns to holding office. Conversely, in large-magnitude districts (e.g., Madrid with 36–37 seats), the marginal seat represents a smaller share of total representation, potentially attenuating incumbency effects. Empirically, this heterogeneity test speaks to the external validity debate in the RDD literature: if effects are confined to a particular district type, the policy implications differ from a finding of broad, systemic incumbency advantages.</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make Spain well-suited for this analysis. Parties cannot precisely control their vote totals in close races, so assignment near the cutoff approximates random assignment. The large number of province-election observations provides sufficient statistical power. And the closed-list system means the running variable is determined by aggregate party performance rather than individual candidate attributes, reducing confounding. The analysis is restricted to the 50 PR provinces; Ceuta and Melilla are excluded because the D’Hondt closeness measure does not apply to their single-member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I estimate the incumbency effect using a regression discontinuity design (RDD). The RDD exploits the fact that treatment—here, holding a parliamentary seat—is determined by whether a continuous running variable crosses a known cutoff. Under the assumption that potential outcomes are continuous at the cutoff, any discontinuity in observed outcomes can be attributed to the causal effect of treatment (Hahn, Todd, and Van der Klaauw, 2001; Imbens and Lemieux, 2008).</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is simply the vote margin between winner and runner-up. In PR systems with D’Hondt allocation, defining closeness requires the approach developed by Luechinger, Schelker, and Schmid (2024, Section 2.1).</w:t>
      </w:r>
    </w:p>
    <w:p>
      <w:pPr>
        <w:spacing w:after="200" w:line="360"/>
        <w:jc w:val="both"/>
      </w:pPr>
      <w:r>
        <w:rPr>
          <w:rFonts w:ascii="Arial" w:cs="Arial" w:eastAsia="Arial" w:hAnsi="Arial"/>
          <w:sz w:val="24"/>
          <w:szCs w:val="24"/>
        </w:rPr>
        <w:t xml:space="preserve">For each party j in a province with n seats, the party margin for seat i is defined as:</w:t>
      </w:r>
    </w:p>
    <w:p>
      <w:pPr>
        <w:spacing w:after="200" w:line="360"/>
        <w:jc w:val="center"/>
      </w:pPr>
      <w:r>
        <w:rPr>
          <w:rFonts w:ascii="Arial" w:cs="Arial" w:eastAsia="Arial" w:hAnsi="Arial"/>
          <w:i/>
          <w:iCs/>
          <w:sz w:val="24"/>
          <w:szCs w:val="24"/>
        </w:rPr>
        <w:t xml:space="preserve">party_margin(i, j) = votes_j − i × d*(i, j)</w:t>
      </w:r>
    </w:p>
    <w:p>
      <w:pPr>
        <w:spacing w:after="200" w:line="360"/>
        <w:jc w:val="both"/>
      </w:pPr>
      <w:r>
        <w:rPr>
          <w:rFonts w:ascii="Arial" w:cs="Arial" w:eastAsia="Arial" w:hAnsi="Arial"/>
          <w:sz w:val="24"/>
          <w:szCs w:val="24"/>
        </w:rPr>
        <w:t xml:space="preserve">where d*(i, j) is the D’Hondt ratio of the rival party that would displace party j’s i-th seat. Formally, d*(i, j) is the (n − i + 1)-th largest D’Hondt ratio among all other parties. This quantity tells us how many votes party j could lose (if positive) or would need to gain (if negative) for its i-th seat to change hands.</w:t>
      </w:r>
    </w:p>
    <w:p>
      <w:pPr>
        <w:spacing w:after="200" w:line="360"/>
        <w:jc w:val="both"/>
      </w:pPr>
      <w:r>
        <w:rPr>
          <w:rFonts w:ascii="Arial" w:cs="Arial" w:eastAsia="Arial" w:hAnsi="Arial"/>
          <w:sz w:val="24"/>
          <w:szCs w:val="24"/>
        </w:rPr>
        <w:t xml:space="preserve">Luechinger et al. distinguish between the party margin (how many votes a party can lose before losing a seat) and the candidate margin (how many preference votes a candidate can lose before being overtaken by a copartisan). In a closed-list system like Spain’s, voters cannot reorder candidates, so the candidate margin is undefined and only the party margin applies. The running variable for a candidate at list position p on party j’s list is simply party_margin(i = p, j). Each candidate thus receives a unique running variable reflecting how close they personally are to a seat threshold:</w:t>
      </w:r>
    </w:p>
    <w:p>
      <w:pPr>
        <w:spacing w:after="200" w:line="360"/>
        <w:jc w:val="both"/>
      </w:pPr>
      <w:r>
        <w:rPr>
          <w:rFonts w:ascii="Arial" w:cs="Arial" w:eastAsia="Arial" w:hAnsi="Arial"/>
          <w:sz w:val="24"/>
          <w:szCs w:val="24"/>
        </w:rPr>
        <w:t xml:space="preserve">• </w:t>
      </w:r>
      <w:r>
        <w:rPr>
          <w:rFonts w:ascii="Arial" w:cs="Arial" w:eastAsia="Arial" w:hAnsi="Arial"/>
          <w:sz w:val="24"/>
          <w:szCs w:val="24"/>
        </w:rPr>
        <w:t xml:space="preserve">Position 1 (top of list): large positive margin — safely elected.</w:t>
      </w:r>
    </w:p>
    <w:p>
      <w:pPr>
        <w:spacing w:after="200" w:line="360"/>
        <w:jc w:val="both"/>
      </w:pPr>
      <w:r>
        <w:rPr>
          <w:rFonts w:ascii="Arial" w:cs="Arial" w:eastAsia="Arial" w:hAnsi="Arial"/>
          <w:sz w:val="24"/>
          <w:szCs w:val="24"/>
        </w:rPr>
        <w:t xml:space="preserve">• </w:t>
      </w:r>
      <w:r>
        <w:rPr>
          <w:rFonts w:ascii="Arial" w:cs="Arial" w:eastAsia="Arial" w:hAnsi="Arial"/>
          <w:sz w:val="24"/>
          <w:szCs w:val="24"/>
        </w:rPr>
        <w:t xml:space="preserve">Position = seats won (last elected): small positive margin — the truly marginal candidate.</w:t>
      </w:r>
    </w:p>
    <w:p>
      <w:pPr>
        <w:spacing w:after="200" w:line="360"/>
        <w:jc w:val="both"/>
      </w:pPr>
      <w:r>
        <w:rPr>
          <w:rFonts w:ascii="Arial" w:cs="Arial" w:eastAsia="Arial" w:hAnsi="Arial"/>
          <w:sz w:val="24"/>
          <w:szCs w:val="24"/>
        </w:rPr>
        <w:t xml:space="preserve">• </w:t>
      </w:r>
      <w:r>
        <w:rPr>
          <w:rFonts w:ascii="Arial" w:cs="Arial" w:eastAsia="Arial" w:hAnsi="Arial"/>
          <w:sz w:val="24"/>
          <w:szCs w:val="24"/>
        </w:rPr>
        <w:t xml:space="preserve">Position = seats won + 1 (first non-elected): small negative margin — barely missed out.</w:t>
      </w:r>
    </w:p>
    <w:p>
      <w:pPr>
        <w:spacing w:after="200" w:line="360"/>
        <w:jc w:val="both"/>
      </w:pPr>
      <w:r>
        <w:rPr>
          <w:rFonts w:ascii="Arial" w:cs="Arial" w:eastAsia="Arial" w:hAnsi="Arial"/>
          <w:sz w:val="24"/>
          <w:szCs w:val="24"/>
        </w:rPr>
        <w:t xml:space="preserve">• </w:t>
      </w:r>
      <w:r>
        <w:rPr>
          <w:rFonts w:ascii="Arial" w:cs="Arial" w:eastAsia="Arial" w:hAnsi="Arial"/>
          <w:sz w:val="24"/>
          <w:szCs w:val="24"/>
        </w:rPr>
        <w:t xml:space="preserve">Lower positions: increasingly negative margins.</w:t>
      </w:r>
    </w:p>
    <w:p>
      <w:pPr>
        <w:spacing w:after="200" w:line="360"/>
        <w:jc w:val="both"/>
      </w:pPr>
      <w:r>
        <w:rPr>
          <w:rFonts w:ascii="Arial" w:cs="Arial" w:eastAsia="Arial" w:hAnsi="Arial"/>
          <w:sz w:val="24"/>
          <w:szCs w:val="24"/>
        </w:rPr>
        <w:t xml:space="preserve">The running variable is normalized by dividing by the number of eligible voters in the province, making it comparable across districts of different sizes. The cutoff is zero; the treatment indicator equals one when the normalized margin is non-negative. Only candidates near the boundary of their party’s seat allocation fall within the bandwidth; those safely elected or far down the list have large absolute margins and are excluded.</w:t>
      </w:r>
    </w:p>
    <w:p>
      <w:pPr>
        <w:spacing w:after="200" w:line="360"/>
        <w:jc w:val="both"/>
      </w:pPr>
      <w:r>
        <w:rPr>
          <w:rFonts w:ascii="Arial" w:cs="Arial" w:eastAsia="Arial" w:hAnsi="Arial"/>
          <w:sz w:val="24"/>
          <w:szCs w:val="24"/>
        </w:rPr>
        <w:t xml:space="preserve">To illustrate: in Madrid in 2004, the largest party won 17 seats. The candidate at list position 17 had a normalized margin of +0.007 (barely elected), while the candidate at position 18 had a margin of −0.036 (barely not elected). The candidate at position 1, by contrast, had a margin of +0.340—far outside any reasonable bandwidth. The RDD therefore compares candidates close to the margin of seat allocation, where treatment assignment is quasi-random.</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use local linear regression with a triangular kernel within a bandwidth around the cutoff. The estimating equation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Xᵢ is the running variable, and Tᵢ = 1(Xᵢ ≥ 0). The parameter τ captures the incumbency effect at the cutoff. Three outcomes are considered: (i) whether the candidate reappears on a party list in the subsequent election (runs next), (ii) whether the candidate wins a seat (wins next), and (iii) the candidate’s list position in the subsequent election (list position next), conditional on reappearing. Candidates are tracked across elections using a person-identifier linkage algorithm combining exact name matching with fuzzy similarity and LinkTransformer embeddings.</w:t>
      </w:r>
    </w:p>
    <w:p>
      <w:pPr>
        <w:spacing w:after="200" w:line="360"/>
        <w:jc w:val="both"/>
      </w:pPr>
      <w:r>
        <w:rPr>
          <w:rFonts w:ascii="Arial" w:cs="Arial" w:eastAsia="Arial" w:hAnsi="Arial"/>
          <w:sz w:val="24"/>
          <w:szCs w:val="24"/>
        </w:rPr>
        <w:t xml:space="preserve">The primary bandwidth is 0.05 (normalized vote margin). I also report results using the bias-corrected bandwidth selector of Calonico, Cattaneo, and Titiunik (2014) and a grid of alternative bandwidths from 0.025 to 0.10. Standard errors are clustered at the province-election level with t-distribution inference (Cameron, Gelbach, and Miller, 2008). The estimation is implemented in Python using the rdrobust package (Calonico, Cattaneo, and Titiunik, 2014) for bandwidth selection and bias-corrected confidence intervals.</w:t>
      </w:r>
    </w:p>
    <w:p>
      <w:pPr>
        <w:spacing w:after="200" w:line="360"/>
        <w:jc w:val="both"/>
      </w:pPr>
      <w:r>
        <w:rPr>
          <w:rFonts w:ascii="Arial" w:cs="Arial" w:eastAsia="Arial" w:hAnsi="Arial"/>
          <w:sz w:val="24"/>
          <w:szCs w:val="24"/>
        </w:rPr>
        <w:t xml:space="preserve">I also estimate a fuzzy RDD specification, instrumenting actual incumbency status with the treatment indicator. Results for both specifications are reported in Chapter 6.</w:t>
      </w:r>
    </w:p>
    <w:p>
      <w:pPr>
        <w:pStyle w:val="Heading2"/>
        <w:spacing w:after="180" w:before="360"/>
      </w:pPr>
      <w:r>
        <w:rPr>
          <w:rFonts w:ascii="Arial" w:cs="Arial" w:eastAsia="Arial" w:hAnsi="Arial"/>
          <w:b/>
          <w:bCs/>
          <w:sz w:val="28"/>
          <w:szCs w:val="28"/>
        </w:rPr>
        <w:t xml:space="preserve">4.4 Validity Tests</w:t>
      </w:r>
    </w:p>
    <w:p>
      <w:pPr>
        <w:spacing w:after="200" w:line="360"/>
        <w:jc w:val="both"/>
      </w:pPr>
      <w:r>
        <w:rPr>
          <w:rFonts w:ascii="Arial" w:cs="Arial" w:eastAsia="Arial" w:hAnsi="Arial"/>
          <w:sz w:val="24"/>
          <w:szCs w:val="24"/>
        </w:rPr>
        <w:t xml:space="preserve">I implement three standard tests: (i) McCrary (2008) density tests for manipulation of the running variable at the cutoff; (ii) covariate balance tests checking whether pre-determined characteristics (gender, list position, party votes, constituency size, blank vote shares) exhibit discontinuities at the cutoff; and (iii) placebo cutoff tests estimating the RDD at non-zero thresholds where no treatment effect should exist.</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data from eight Spanish congressional elections (2004, 2008, 2011, 2015, 2016, 2019 April, 2019 November, 2023), restricted to the 50 PR provinces as discussed in Section 3.3. The election-level data were compiled by Prof. Dr. Lukas Schmid from official results published by Spain’s Electoral Board (Junta Electoral Central) and Spain’s Ministerio del Interior, as part of his comparative research on proportional representation systems. Candidate-level data (names, party affiliations, list positions) come from official candidate lists. The position-specific running variable (D’Hondt party margin) was computed in R by Prof. Schmid following the methodology in Luechinger, Schelker, and Schmid (2024).</w:t>
      </w:r>
    </w:p>
    <w:p>
      <w:pPr>
        <w:spacing w:after="200" w:line="360"/>
        <w:jc w:val="both"/>
      </w:pPr>
      <w:r>
        <w:rPr>
          <w:rFonts w:ascii="Arial" w:cs="Arial" w:eastAsia="Arial" w:hAnsi="Arial"/>
          <w:sz w:val="24"/>
          <w:szCs w:val="24"/>
        </w:rPr>
        <w:t xml:space="preserve">The raw dataset covers approximately 35,000 candidate-election records across 50 provinces and over 100 party labels. Each candidate receives a position-specific running variable as described in Section 4.2. Candidates are linked across elections via a person-identifier algorithm combining exact name matching with fuzzy similarity and LinkTransformer embeddings; spot-checks of 200 linked pairs confirmed accuracy exceeding 95%. Unresolvable cases were excluded rather than probabilistically matched.</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Because the outcome variables (runs next, wins next, list position next) require observing the candidate’s status in the subsequent election, candidates from the 2023 election—the most recent in the sample—cannot be included in the estimation sample: no post-2023 election has yet occurred to provide t+1 outcomes. The 2023 election data enter the analysis exclusively as the t+1 outcome election for candidates from the November 2019 cohort. After linking outcomes to the subsequent election via the person-identifier algorithm, the estimation sample for the “runs next” and “wins next” outcomes contains 2,118 observations spanning the 2004 through November 2019 election cohorts. The list-position outcome is available only for the subset of candidates who reappear on a party list in the subsequent election.</w:t>
      </w:r>
    </w:p>
    <w:p>
      <w:pPr>
        <w:spacing w:after="200" w:line="360"/>
        <w:jc w:val="both"/>
      </w:pPr>
      <w:r>
        <w:rPr>
          <w:rFonts w:ascii="Arial" w:cs="Arial" w:eastAsia="Arial" w:hAnsi="Arial"/>
          <w:sz w:val="24"/>
          <w:szCs w:val="24"/>
        </w:rPr>
        <w:t xml:space="preserve">The sample is distributed across elections as follows: 2004 (262 obs.), 2008 (276), 2011 (286), 2015 (338), 2016 (326), April 2019 (326), November 2019 (304), and 2023 (294). The increase from 2015 onward reflects the emergence of new parties generating additional competitive races near the D’Hondt threshold. Approximately 59% of observations fall below the cutoff and 41% above.</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 Female share has N = 1,879 because gender data are unavailable for candidates whose names could not be reliably classified (e.g., initials-only records or uncommon names).</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robust bias-corrected optimal bandwidth selector of Calonico, Cattaneo, and Titiunik (2014),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CCT optimal bandwidth (Calonico, Cattaneo, and Titiunik, 2014).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Table 2 reports the CCT bias-corrected optimal bandwidth results: the sharp RDD estimate for the probability of running in the next election is 0.278 (SE = 0.033, p &lt; 0.001) at the CCT-selected bandwidth of 0.112, and the effect on winning a seat is 0.196 (SE = 0.039, p &lt; 0.001) at a CCT bandwidth of 0.068. However, the preferred workhorse specification throughout this thesis uses a fixed bandwidth of BW = 0.05, which yields estimates of 0.285 and 0.186 for the two outcomes respectively. The slight differences between the CCT and fixed-bandwidth estimates reflect the narrower analysis window and are well within sampling variability. I use BW = 0.05 as the primary specification because it provides a consistent and transparent window across all analyses, facilitating direct comparability across tables; the CCT results serve as a complementary robustness check confirming that the data-driven bandwidth yields similar conclusions (see Table 3 for the full bandwidth sensitivity grid).</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0.985 for the “runs next” specification and 0.981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visualizes the first-stage relationship. The near-complete separation between the two sides confirms the institutional logic: crossing the D’Hondt threshold almost perfectly determines election status.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with the expected pattern of larger point estimates but wider confidence intervals at narrower bandwidths. All estimates remain statistically significant across the full range. Figure 5 visualizes this stability.</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Standard errors range from 0.048 to 0.050 for “runs next” and 0.045 to 0.047 for “wins next,” indicating that within-cluster correlation does not substantially inflate variance.</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Hypothesis H3 posits that winning a marginal seat leads to more favorable list positions in the subsequent election. This outcome is conditional on the candidate reappearing on a party list. Table 5 presents the RDD estimates for list_pos_next (raw position) and list_pos_change (change from current election, where negative = improvement).</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List Position Effects – RDD Estimates (Conditional on Running Again)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900"/>
      </w:tblGrid>
      <w:tr>
        <w:tc>
          <w:tcPr>
            <w:tcW w:type="dxa" w:w="17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4.180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−0.013 (0.635)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3.859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−0.770 (0.469)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3.594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3.096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−0.946* (0.463)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3.490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2.967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−0.895* (0.454)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1.472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0.859 (0.525)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0.103</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1.204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−0.148 (0.456)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0.745</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−0.498 (0.408)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0.224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1.026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−0.761 (0.407)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Conditional on the candidate reappearing on a party list. Negative τ for list_pos_next indicates a better (higher) list position. * p &lt; 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I split the sample at the median district magnitude (8 seats) and re-estimate separately for high- and low-magnitude provinces. Table 6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Heterogeneity by District Magnitude – RDD Estimates (BW = 0.05)</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1100"/>
        <w:gridCol w:w="1100"/>
        <w:gridCol w:w="1200"/>
        <w:gridCol w:w="9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Subgroup</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0.264*** (0.069)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0.307*** (0.070)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0.137* (0.066)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0.244*** (0.067)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Median district magnitude = 8 seats. * p &lt; 0.05, *** p &lt; 0.001.</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log-density discontinuity estimates is statistically significant (all p &gt; 0.35), and the implied density ratios are close to one. Figure 4 confirms visually that there is no bunching at the cutoff, consistent with parties being unable to precisely control the vote margin that determines marginal seat allocation.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Point estimates attenuate somewhat with larger donuts—as expected when moving further from the cutoff—but the qualitative conclusions are unchanged.</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quadratic estimates are broadly consistent with the linear specification and remain statistically significant, indicating that results are not driven by functional form assumptions.</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11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Female share shows a significant difference (p = 0.009) that attenuates at wider bandwidths. Party seats is significant (p = 0.015) but partly mechanical, since winning the marginal seat directly increases seat count. Overall, the balance evidence supports the design’s validity. Figure 6 visualizes these results.</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Winning representation appears to provide parties with organizational resources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effects. Parties that win a seat gain parliamentary resources, media visibility, and policy influence. Winning also signals electoral viability, creating a self-reinforcing cycle of support. The list-position results (Section 6.4) suggest that party organizations internalize incumbency experience when constructing subsequent lists, providing a concrete channel through which the effect operates. The heterogeneity analysis (Section 6.5) indicates that these mechanisms operate across both high- and low-magnitude districts, though potentially with different relative importance.</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Placing these results alongside existing estimates reveals both the generality of the incumbency advantage phenomenon and the distinctive features of the Spanish case. Table 12 summarizes the key cross-country comparisons.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12: Cross-Country Comparison of Incumbency Advantage Estimates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200"/>
        <w:gridCol w:w="1400"/>
        <w:gridCol w:w="19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Study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Country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System</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List type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Estimate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Lee (2008)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USA</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≈38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Eggers &amp; Spirling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Dano et al. (2022)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France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Two-round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Luechinger et al. (2024)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Switzerland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Elected t+1</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Luechinger et al. (2024)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Norway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(mod. S-L)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Elected t+1</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Fiva &amp; Røhr (2018)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Norway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(open-list)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Elected t+1</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Klasnja &amp; Titiunik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Brazil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Majoritarian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Negative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28.5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Wins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18.6 pp</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FPTP = First Past the Post; PR = Proportional Representation; mod. S-L = modified Sainte-Laguë. All estimates use regression discontinuity designs. ‘Elected t+1’ = unconditional probability of being elected in the subsequent election. ‘Significant +’ indicates a statistically significant positive incumbency effect where exact magnitude is not directly comparable due to different outcome definitions. Spanish estimates use BW = 0.05 with clustered standard errors.</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In majoritarian systems, Lee (2008) found a roughly 38 percentage point party-level incumbency advantage in US House elections—substantially larger than the Spanish estimate, but operating in a fundamentally different institutional environment where incumbents benefit from personal name recognition, constituency service, and campaign finance advantages tied directly to the individual candidate.</w:t>
      </w:r>
    </w:p>
    <w:p>
      <w:pPr>
        <w:spacing w:after="200" w:line="360"/>
        <w:jc w:val="both"/>
      </w:pPr>
      <w:r>
        <w:rPr>
          <w:rFonts w:ascii="Arial" w:cs="Arial" w:eastAsia="Arial" w:hAnsi="Arial"/>
          <w:sz w:val="24"/>
          <w:szCs w:val="24"/>
        </w:rPr>
        <w:t xml:space="preserve">Among PR systems, the comparison with Luechinger, Schelker, and Schmid (2024) is most direct, as they apply the same closeness measure to Swiss open-list and Norwegian closed-list elections. Their Norwegian Storting results (1953–1981) establish that incumbency advantages exist under closed lists, and the Spanish estimates confirm that this finding extends to a modern, fragmented multi-party context with a richer outcome decomposition. The comparison with Fiva and Røhr (2018), who study Norwegian local elections under open-list PR, is also instructive: they find that party list-ordering decisions—rather than voter preference votes—drive most of the incumbency advantage, a finding consistent with the list-position results reported here for Spain’s closed-list system.</w:t>
      </w:r>
    </w:p>
    <w:p>
      <w:pPr>
        <w:spacing w:after="200" w:line="360"/>
        <w:jc w:val="both"/>
      </w:pPr>
      <w:r>
        <w:rPr>
          <w:rFonts w:ascii="Arial" w:cs="Arial" w:eastAsia="Arial" w:hAnsi="Arial"/>
          <w:sz w:val="24"/>
          <w:szCs w:val="24"/>
        </w:rPr>
        <w:t xml:space="preserve">Klasnja and Titiunik (2017) found negative incumbency effects in Brazilian mayoral elections, underscoring that the direction of effects depends on institutional context. The positive Spanish estimates align with the European pattern where institutional stability and established parties provide the infrastructure for incumbency advantages. Dano et al.’s (2022) French results parallel Spain’s: a larger effect on running again than on winning, suggesting that selection into candidacy—rather than electoral performance conditional on running—is a key channel.</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although each candidate receives a position-specific running variable (the D’Hondt party margin for their list position), the running variable is ultimately determined by the party’s aggregate vote total, meaning that individual candidate characteristics do not independently affect treatment assignment.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A further scope limitation concerns party-level heterogeneity. The preliminary study proposed examining how the incumbency advantage varies across parties, and the supervisor feedback specifically flagged this dimension. The final thesis focuses on district magnitude heterogeneity rather than party heterogeneity for two reasons: first, splitting the already limited RDD sample (2,118 observations at BW = 0.05) by individual party yields subgroups too small for reliable local linear estimation, particularly for smaller parties where the number of marginal-seat observations is in the single digits; second, the dramatic party system fragmentation during the sample period—with Podemos and Ciudadanos emerging mid-sample and subsequently merging or declining—means that party-level subgroups are not stable across the full 2004–2023 period, complicating interpretation. A broader left–right block comparison would partially address this but raises its own classification challenges given coalition dynamics. This remains an important avenue for future work, potentially using a larger multi-country dataset that pools Spanish data with other closed-list PR systems.</w:t>
      </w:r>
    </w:p>
    <w:p>
      <w:pPr>
        <w:spacing w:after="200" w:line="360"/>
        <w:jc w:val="both"/>
      </w:pPr>
      <w:r>
        <w:rPr>
          <w:rFonts w:ascii="Arial" w:cs="Arial" w:eastAsia="Arial" w:hAnsi="Arial"/>
          <w:sz w:val="24"/>
          <w:szCs w:val="24"/>
        </w:rPr>
        <w:t xml:space="preserve">Future work could also extend this analysis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estimates the party-level incumbency advantage in Spain’s proportional representation system, extending prior closed-list evidence from Norway (Luechinger et al., 2024) to a modern multi-party context with a richer outcome decomposition. Using a regression discontinuity design adapted for PR systems following Luechinger, Schelker, and Schmid (2024), I exploit the quasi-random assignment of marginal seats under the D’Hondt method to identify the causal effect of a party’s winning a seat on its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Angrist, J. D., &amp; Pischke, J.-S. (2015). Mastering ’metrics: The path from cause to effect. Princeton University Press.</w:t>
      </w:r>
    </w:p>
    <w:p>
      <w:pPr>
        <w:spacing w:after="200" w:line="360"/>
        <w:jc w:val="both"/>
      </w:pPr>
      <w:r>
        <w:rPr>
          <w:rFonts w:ascii="Arial" w:cs="Arial" w:eastAsia="Arial" w:hAnsi="Arial"/>
          <w:sz w:val="24"/>
          <w:szCs w:val="24"/>
        </w:rPr>
        <w:t xml:space="preserve">Ansolabehere, S., &amp; Snyder, J. M. (2002). The incumbency advantage in U.S. elections: An analysis of state and federal offices, 1942–2000. Election Law Journal, 1(3), 315–338.</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Cox, G. W., &amp; Katz, J. N. (1996). Why did the incumbency advantage in U.S. House elections grow? American Journal of Political Science, 40(2), 478–497.</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Eggers, A. C., &amp; Spirling, A. (2017). Incumbency effects and the strength of party preferences: Evidence from multiparty elections in the United Kingdom. The Journal of Politics, 79(3), 903–920.</w:t>
      </w:r>
    </w:p>
    <w:p>
      <w:pPr>
        <w:spacing w:after="200" w:line="360"/>
        <w:jc w:val="both"/>
      </w:pPr>
      <w:r>
        <w:rPr>
          <w:rFonts w:ascii="Arial" w:cs="Arial" w:eastAsia="Arial" w:hAnsi="Arial"/>
          <w:sz w:val="24"/>
          <w:szCs w:val="24"/>
        </w:rPr>
        <w:t xml:space="preserve">Erikson, R. S. (1971). The advantage of incumbency in congressional elections. Polity, 3(3), 395–405.</w:t>
      </w:r>
    </w:p>
    <w:p>
      <w:pPr>
        <w:spacing w:after="200" w:line="360"/>
        <w:jc w:val="both"/>
      </w:pPr>
      <w:r>
        <w:rPr>
          <w:rFonts w:ascii="Arial" w:cs="Arial" w:eastAsia="Arial" w:hAnsi="Arial"/>
          <w:sz w:val="24"/>
          <w:szCs w:val="24"/>
        </w:rPr>
        <w:t xml:space="preserve">Fiva, J. H., &amp; Røhr, H. A. (2018). Climbing the ranks: Incumbency effects in party-list systems. European Economic Review, 101, 142–156.</w:t>
      </w:r>
    </w:p>
    <w:p>
      <w:pPr>
        <w:spacing w:after="200" w:line="360"/>
        <w:jc w:val="both"/>
      </w:pPr>
      <w:r>
        <w:rPr>
          <w:rFonts w:ascii="Arial" w:cs="Arial" w:eastAsia="Arial" w:hAnsi="Arial"/>
          <w:sz w:val="24"/>
          <w:szCs w:val="24"/>
        </w:rPr>
        <w:t xml:space="preserve">Galasso, V., &amp; Nannicini, T. (2011). Competing on good politicians. American Political Science Review, 105(1), 79–99.</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Hahn, J., Todd, P., &amp; Van der Klaauw, W. (2001). Identification and estimation of treatment effects with a regression-discontinuity design. Econometrica, 69(1), 201–209.</w:t>
      </w:r>
    </w:p>
    <w:p>
      <w:pPr>
        <w:spacing w:after="200" w:line="360"/>
        <w:jc w:val="both"/>
      </w:pPr>
      <w:r>
        <w:rPr>
          <w:rFonts w:ascii="Arial" w:cs="Arial" w:eastAsia="Arial" w:hAnsi="Arial"/>
          <w:sz w:val="24"/>
          <w:szCs w:val="24"/>
        </w:rPr>
        <w:t xml:space="preserve">Hazan, R. Y., &amp; Rahat, G. (2010). Democracy within parties: Candidate selection methods and their political consequences. Oxford University Press.</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Imbens, G. W., &amp; Lemieux, T. (2008). Regression discontinuity designs: A guide to practice. Journal of Econometrics, 142(2), 615–635.</w:t>
      </w:r>
    </w:p>
    <w:p>
      <w:pPr>
        <w:spacing w:after="200" w:line="360"/>
        <w:jc w:val="both"/>
      </w:pPr>
      <w:r>
        <w:rPr>
          <w:rFonts w:ascii="Arial" w:cs="Arial" w:eastAsia="Arial" w:hAnsi="Arial"/>
          <w:sz w:val="24"/>
          <w:szCs w:val="24"/>
        </w:rPr>
        <w:t xml:space="preserve">Klasnja, M., &amp; Titiunik, R. (2017). The incumbency curse: Weak parties, term limits, and unfulfilled accountability. American Political Science Review, 111(1), 129–148.</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pPr>
        <w:spacing w:after="200" w:line="360"/>
        <w:jc w:val="both"/>
      </w:pPr>
      <w:r>
        <w:rPr>
          <w:rFonts w:ascii="Arial" w:cs="Arial" w:eastAsia="Arial" w:hAnsi="Arial"/>
          <w:sz w:val="24"/>
          <w:szCs w:val="24"/>
        </w:rPr>
        <w:t xml:space="preserve">Taagepera, R., &amp; Shugart, M. S. (1989). Seats and votes: The effects and determinants of electoral systems. Yale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43a59d3ad22675c36e018359441a8db37f6356.png"/><Relationship Id="rId10" Type="http://schemas.openxmlformats.org/officeDocument/2006/relationships/image" Target="media/8bcd1bb963bc61d94d55a2949fe57eba13525b4d.png"/><Relationship Id="rId11" Type="http://schemas.openxmlformats.org/officeDocument/2006/relationships/image" Target="media/fac1685d1d27b9c082df3a2c716de1ee45883887.png"/><Relationship Id="rId12" Type="http://schemas.openxmlformats.org/officeDocument/2006/relationships/image" Target="media/554086e9979e540aa8283a08561cf11f96ceb387.png"/><Relationship Id="rId13" Type="http://schemas.openxmlformats.org/officeDocument/2006/relationships/image" Target="media/64d14883945acdbf34fb88960a16a1debf2268b0.png"/><Relationship Id="rId14" Type="http://schemas.openxmlformats.org/officeDocument/2006/relationships/image" Target="media/f866c7dea9c2d05730ba02441956f8b00463f45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2026-04-12T13:17:48.928Z</dcterms:created>
  <dcterms:modified xsi:type="dcterms:W3CDTF">2026-04-12T13:17:48.936Z</dcterms:modified>
</cp:coreProperties>
</file>

<file path=docProps/custom.xml><?xml version="1.0" encoding="utf-8"?>
<Properties xmlns="http://schemas.openxmlformats.org/officeDocument/2006/custom-properties" xmlns:vt="http://schemas.openxmlformats.org/officeDocument/2006/docPropsVTypes"/>
</file>