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within the analysis bandwidth (of which 2,118 have observable t+1 outcomes),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GPT-4o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spacing w:after="200" w:line="360"/>
        <w:jc w:val="both"/>
      </w:pPr>
      <w:r>
        <w:rPr>
          <w:rFonts w:ascii="Arial" w:cs="Arial" w:eastAsia="Arial" w:hAnsi="Arial"/>
          <w:sz w:val="24"/>
          <w:szCs w:val="24"/>
        </w:rPr>
        <w:t xml:space="preserve">Each outcome in this design captures a substantively distinct dimension of the incumbency advantage. The extensive margin—whether candidates reappear on a party list—reflects the party organization’s decision to retain experienced candidates versus cycling in newcomers, a process with direct implications for legislative professionalization and policy continuity. If incumbency mechanically increases retention, legislatures become more experienced but potentially less responsive to voter preferences for renewal. The intensive margin—whether candidates win conditional on running—captures the electoral return to party-level incumbency and speaks to whether holding office genuinely improves a party’s competitive position or merely reflects selection effects. Finally, list position in closed-list PR systems is the single most important determinant of an individual candidate’s election probability, since voters cannot alter the ordering. Studying how incumbency affects list placement reveals whether parties use their gatekeeper power to reward experience, creating self-reinforcing career advantages for incumbents.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(2015, Chapter 4)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spacing w:after="200" w:line="360"/>
        <w:jc w:val="both"/>
      </w:pPr>
      <w:r>
        <w:rPr>
          <w:rFonts w:ascii="Arial" w:cs="Arial" w:eastAsia="Arial" w:hAnsi="Arial"/>
          <w:sz w:val="24"/>
          <w:szCs w:val="24"/>
        </w:rPr>
        <w:t xml:space="preserve">The RDD is implemented as a local polynomial regression. In local polynomial estimation of order p, one fits a polynomial of degree p separately on each side of the cutoff, using only observations within the bandwidth h. The estimator minimizes a weighted least-squares criterion where kernel weights decrease with distance from the cutoff, ensuring that the estimate is driven primarily by observations close to the threshold. The local linear estimator (p = 1) is the standard choice in RDD applications because it has desirable boundary bias properties: unlike the Nadaraya-Watson (local constant) estimator, it does not suffer from boundary bias at the cutoff (Fan and Gijbels, 1996). The local linear estimator is also rate-optimal, achieving the minimax optimal rate of convergence for nonparametric regression at boundary points.</w:t>
      </w:r>
    </w:p>
    <w:p>
      <w:pPr>
        <w:spacing w:after="200" w:line="360"/>
        <w:jc w:val="both"/>
      </w:pPr>
      <w:r>
        <w:rPr>
          <w:rFonts w:ascii="Arial" w:cs="Arial" w:eastAsia="Arial" w:hAnsi="Arial"/>
          <w:sz w:val="24"/>
          <w:szCs w:val="24"/>
        </w:rPr>
        <w:t xml:space="preserve">A central challenge in RDD estimation is bandwidth selection. Too narrow a bandwidth yields imprecise estimates due to insufficient observations; too wide a bandwidth introduces bias from observations far from the cutoff. Imbens and Kalyanaraman (2012) proposed a plug-in bandwidth selector that minimizes the asymptotic mean squared error (MSE) of the local linear estimator. Calonico, Cattaneo, and Titiunik (2014) extended this framework by developing a robust bias-corrected inference procedure: rather than simply choosing the MSE-optimal bandwidth and ignoring the resulting bias, their approach estimates and subtracts the leading bias term, then constructs confidence intervals that account for the additional uncertainty introduced by bias estimation. This yields confidence intervals with correct empirical coverage even when the bandwidth is relatively wide. The implementation is available in the rdrobust package for R, Stata, and Python; I use the Python implementation throughout this thesis.</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spacing w:after="200" w:line="360"/>
        <w:jc w:val="both"/>
      </w:pPr>
      <w:r>
        <w:rPr>
          <w:rFonts w:ascii="Arial" w:cs="Arial" w:eastAsia="Arial" w:hAnsi="Arial"/>
          <w:sz w:val="24"/>
          <w:szCs w:val="24"/>
        </w:rPr>
        <w:t xml:space="preserve">The sample is distributed across elections as follows: 2004 (262 obs.), 2008 (276), 2011 (286), 2015 (338), 2016 (326), April 2019 (326), November 2019 (304), and 2023 (294). The increase in observations from 2015 onward reflects Spain’s party system fragmentation, as new parties (Podemos, Ciudadanos, Vox) generated additional competitive party-province races near the D’Hondt threshold. The sample spans all 50 PR provinces, with the largest contributions from high-magnitude provinces (Madrid, Barcelona, Valencia) where multiple parties compete for marginal seats. Approximately 59% of observations fall below the cutoff (parties that narrowly missed the marginal seat) and 41% above (parties that narrowly won it), reflecting the asymmetric density of competitive races.</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5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well above conventional significance levels).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0.015),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All estimates use regression discontinuity designs.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Røhr (2018) estimated incumbency effects in Norwegian local elections under open-list PR and found that incumbents receive significantly better list positions and higher re-election rates. Their key insight is that the party’s list-ordering decision—rather than voter preference votes—accounts for the bulk of the incumbency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Fan, J., &amp; Gijbels, I. (1996). Local Polynomial Modelling and Its Applications. Chapman and Hall.</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2026-03-21T06:25:59.132Z</dcterms:created>
  <dcterms:modified xsi:type="dcterms:W3CDTF">2026-03-21T06:25:59.143Z</dcterms:modified>
</cp:coreProperties>
</file>

<file path=docProps/custom.xml><?xml version="1.0" encoding="utf-8"?>
<Properties xmlns="http://schemas.openxmlformats.org/officeDocument/2006/custom-properties" xmlns:vt="http://schemas.openxmlformats.org/officeDocument/2006/docPropsVTypes"/>
</file>