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120"/>
        <w:jc w:val="center"/>
      </w:pPr>
      <w:r>
        <w:rPr>
          <w:rFonts w:ascii="Arial" w:cs="Arial" w:eastAsia="Arial" w:hAnsi="Arial"/>
          <w:color w:val="666666"/>
          <w:sz w:val="24"/>
          <w:szCs w:val="24"/>
        </w:rPr>
        <w:t xml:space="preserve">Lucerne University of Applied Sciences and Arts</w:t>
      </w:r>
    </w:p>
    <w:p>
      <w:pPr>
        <w:spacing w:after="400"/>
        <w:jc w:val="center"/>
      </w:pPr>
      <w:r>
        <w:rPr>
          <w:rFonts w:ascii="Arial" w:cs="Arial" w:eastAsia="Arial" w:hAnsi="Arial"/>
          <w:color w:val="666666"/>
          <w:sz w:val="24"/>
          <w:szCs w:val="24"/>
        </w:rPr>
        <w:t xml:space="preserve">MSc in Applied Information and Data Science</w:t>
      </w:r>
    </w:p>
    <w:p>
      <w:r>
        <w:rPr>
          <w:rFonts w:ascii="Arial" w:cs="Arial" w:eastAsia="Arial" w:hAnsi="Arial"/>
          <w:sz w:val="24"/>
          <w:szCs w:val="24"/>
        </w:rPr>
        <w:t xml:space="preserve"/>
      </w:r>
    </w:p>
    <w:p>
      <w:pPr>
        <w:spacing w:after="120"/>
        <w:jc w:val="center"/>
      </w:pPr>
      <w:r>
        <w:rPr>
          <w:rFonts w:ascii="Arial" w:cs="Arial" w:eastAsia="Arial" w:hAnsi="Arial"/>
          <w:color w:val="333333"/>
          <w:sz w:val="28"/>
          <w:szCs w:val="28"/>
        </w:rPr>
        <w:t xml:space="preserve">Master’s Thesis</w:t>
      </w:r>
    </w:p>
    <w:p>
      <w:r>
        <w:rPr>
          <w:rFonts w:ascii="Arial" w:cs="Arial" w:eastAsia="Arial" w:hAnsi="Arial"/>
          <w:sz w:val="24"/>
          <w:szCs w:val="24"/>
        </w:rPr>
        <w:t xml:space="preserve"/>
      </w:r>
    </w:p>
    <w:p>
      <w:pPr>
        <w:spacing w:after="200"/>
        <w:jc w:val="center"/>
      </w:pPr>
      <w:r>
        <w:rPr>
          <w:rFonts w:ascii="Arial" w:cs="Arial" w:eastAsia="Arial" w:hAnsi="Arial"/>
          <w:b/>
          <w:bCs/>
          <w:sz w:val="40"/>
          <w:szCs w:val="40"/>
        </w:rPr>
        <w:t xml:space="preserve">Electoral Closeness and Incumbency Advantage</w:t>
      </w:r>
    </w:p>
    <w:p>
      <w:pPr>
        <w:spacing w:after="400"/>
        <w:jc w:val="center"/>
      </w:pPr>
      <w:r>
        <w:rPr>
          <w:rFonts w:ascii="Arial" w:cs="Arial" w:eastAsia="Arial" w:hAnsi="Arial"/>
          <w:b/>
          <w:bCs/>
          <w:sz w:val="40"/>
          <w:szCs w:val="40"/>
        </w:rPr>
        <w:t xml:space="preserve">in Spain’s Proportional Representation System</w:t>
      </w:r>
    </w:p>
    <w:p>
      <w:r>
        <w:rPr>
          <w:rFonts w:ascii="Arial" w:cs="Arial" w:eastAsia="Arial" w:hAnsi="Arial"/>
          <w:sz w:val="24"/>
          <w:szCs w:val="24"/>
        </w:rPr>
        <w:t xml:space="preserve"/>
      </w:r>
    </w:p>
    <w:p>
      <w:r>
        <w:rPr>
          <w:rFonts w:ascii="Arial" w:cs="Arial" w:eastAsia="Arial" w:hAnsi="Arial"/>
          <w:sz w:val="24"/>
          <w:szCs w:val="24"/>
        </w:rPr>
        <w:t xml:space="preserve"/>
      </w:r>
    </w:p>
    <w:p>
      <w:pPr>
        <w:spacing w:after="100"/>
        <w:jc w:val="center"/>
      </w:pPr>
      <w:r>
        <w:rPr>
          <w:rFonts w:ascii="Arial" w:cs="Arial" w:eastAsia="Arial" w:hAnsi="Arial"/>
          <w:b/>
          <w:bCs/>
          <w:sz w:val="26"/>
          <w:szCs w:val="26"/>
        </w:rPr>
        <w:t xml:space="preserve">Camilo Andres Aranguren Barragan</w:t>
      </w:r>
    </w:p>
    <w:p>
      <w:pPr>
        <w:spacing w:after="100"/>
        <w:jc w:val="center"/>
      </w:pPr>
      <w:r>
        <w:rPr>
          <w:rFonts w:ascii="Arial" w:cs="Arial" w:eastAsia="Arial" w:hAnsi="Arial"/>
          <w:color w:val="4472C4"/>
          <w:sz w:val="22"/>
          <w:szCs w:val="22"/>
        </w:rPr>
        <w:t xml:space="preserve">camilo.arangurenbarragan@stud.hslu.ch</w:t>
      </w:r>
    </w:p>
    <w:p>
      <w:r>
        <w:rPr>
          <w:rFonts w:ascii="Arial" w:cs="Arial" w:eastAsia="Arial" w:hAnsi="Arial"/>
          <w:sz w:val="24"/>
          <w:szCs w:val="24"/>
        </w:rPr>
        <w:t xml:space="preserve"/>
      </w:r>
    </w:p>
    <w:p>
      <w:r>
        <w:rPr>
          <w:rFonts w:ascii="Arial" w:cs="Arial" w:eastAsia="Arial" w:hAnsi="Arial"/>
          <w:sz w:val="24"/>
          <w:szCs w:val="24"/>
        </w:rPr>
        <w:t xml:space="preserve"/>
      </w:r>
    </w:p>
    <w:p>
      <w:pPr>
        <w:spacing w:after="80"/>
        <w:jc w:val="center"/>
      </w:pPr>
      <w:r>
        <w:rPr>
          <w:rFonts w:ascii="Arial" w:cs="Arial" w:eastAsia="Arial" w:hAnsi="Arial"/>
          <w:color w:val="666666"/>
          <w:sz w:val="22"/>
          <w:szCs w:val="22"/>
        </w:rPr>
        <w:t xml:space="preserve">Supervisor: </w:t>
      </w:r>
      <w:r>
        <w:rPr>
          <w:rFonts w:ascii="Arial" w:cs="Arial" w:eastAsia="Arial" w:hAnsi="Arial"/>
          <w:sz w:val="22"/>
          <w:szCs w:val="22"/>
        </w:rPr>
        <w:t xml:space="preserve">Prof. Dr. Lukas Schmid</w:t>
      </w:r>
    </w:p>
    <w:p>
      <w:pPr>
        <w:spacing w:after="80"/>
        <w:jc w:val="center"/>
      </w:pPr>
      <w:r>
        <w:rPr>
          <w:rFonts w:ascii="Arial" w:cs="Arial" w:eastAsia="Arial" w:hAnsi="Arial"/>
          <w:color w:val="666666"/>
          <w:sz w:val="22"/>
          <w:szCs w:val="22"/>
        </w:rPr>
        <w:t xml:space="preserve">Co-supervisor: </w:t>
      </w:r>
      <w:r>
        <w:rPr>
          <w:rFonts w:ascii="Arial" w:cs="Arial" w:eastAsia="Arial" w:hAnsi="Arial"/>
          <w:sz w:val="22"/>
          <w:szCs w:val="22"/>
        </w:rPr>
        <w:t xml:space="preserve">Prof. Oliver Staubli</w:t>
      </w:r>
    </w:p>
    <w:p>
      <w:r>
        <w:rPr>
          <w:rFonts w:ascii="Arial" w:cs="Arial" w:eastAsia="Arial" w:hAnsi="Arial"/>
          <w:sz w:val="24"/>
          <w:szCs w:val="24"/>
        </w:rPr>
        <w:t xml:space="preserve"/>
      </w:r>
    </w:p>
    <w:p>
      <w:r>
        <w:rPr>
          <w:rFonts w:ascii="Arial" w:cs="Arial" w:eastAsia="Arial" w:hAnsi="Arial"/>
          <w:sz w:val="24"/>
          <w:szCs w:val="24"/>
        </w:rPr>
        <w:t xml:space="preserve"/>
      </w:r>
    </w:p>
    <w:p>
      <w:pPr>
        <w:jc w:val="center"/>
      </w:pPr>
      <w:r>
        <w:rPr>
          <w:rFonts w:ascii="Arial" w:cs="Arial" w:eastAsia="Arial" w:hAnsi="Arial"/>
          <w:sz w:val="24"/>
          <w:szCs w:val="24"/>
        </w:rPr>
        <w:t xml:space="preserve">May 2026</w:t>
      </w:r>
    </w:p>
    <w:p>
      <w:r>
        <w:br w:type="page"/>
      </w:r>
    </w:p>
    <w:p>
      <w:pPr>
        <w:sectPr>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sz w:val="32"/>
          <w:szCs w:val="32"/>
        </w:rPr>
        <w:t xml:space="preserve">Abstract</w:t>
      </w:r>
    </w:p>
    <w:p>
      <w:pPr>
        <w:spacing w:after="200" w:line="360"/>
        <w:jc w:val="both"/>
      </w:pPr>
      <w:r>
        <w:rPr>
          <w:rFonts w:ascii="Arial" w:cs="Arial" w:eastAsia="Arial" w:hAnsi="Arial"/>
          <w:sz w:val="24"/>
          <w:szCs w:val="24"/>
        </w:rPr>
        <w:t xml:space="preserve">This thesis estimates the causal effect of incumbency on subsequent electoral outcomes in Spain’s proportional representation system at the candidate level. While a large body of research has established the existence and magnitude of incumbency advantages in majoritarian electoral systems, comparatively little is known about how incumbency operates in proportional representation (PR) contexts, where seat allocation follows the D’Hondt method and party lists mediate the relationship between individual candidates and voters.</w:t>
      </w:r>
    </w:p>
    <w:p>
      <w:pPr>
        <w:spacing w:after="200" w:line="360"/>
        <w:jc w:val="both"/>
      </w:pPr>
      <w:r>
        <w:rPr>
          <w:rFonts w:ascii="Arial" w:cs="Arial" w:eastAsia="Arial" w:hAnsi="Arial"/>
          <w:sz w:val="24"/>
          <w:szCs w:val="24"/>
        </w:rPr>
        <w:t xml:space="preserve">Leveraging the quasi-experimental variation generated by close electoral races, I employ a regression discontinuity design (RDD) adapted for PR systems following the closeness measure proposed by Luechinger, Schelker, and Schmid (2024). The running variable captures how close a party is to gaining or losing its last marginal seat in a given province, normalized by the number of eligible voters. Using data on all Spanish congressional (Congreso de los Diputados) elections from 2004 to 2023, encompassing 2,412 candidate-election observations, I estimate both sharp and fuzzy RDD specifications. Candidates are tracked across elections using a person-identifier linkage algorithm.</w:t>
      </w:r>
    </w:p>
    <w:p>
      <w:pPr>
        <w:spacing w:after="200" w:line="360"/>
        <w:jc w:val="both"/>
      </w:pPr>
      <w:r>
        <w:rPr>
          <w:rFonts w:ascii="Arial" w:cs="Arial" w:eastAsia="Arial" w:hAnsi="Arial"/>
          <w:sz w:val="24"/>
          <w:szCs w:val="24"/>
        </w:rPr>
        <w:t xml:space="preserve">The results indicate a substantial and statistically significant incumbency advantage. Candidates whose party barely wins a marginal seat are approximately 28 percentage points more likely to reappear on a party list in the subsequent election (sharp RDD, p &lt; 0.001) and 19 percentage points more likely to win a seat (sharp RDD, p &lt; 0.001). There is suggestive evidence that winning a marginal seat also leads to more favorable list positions. These estimates are robust to alternative bandwidth choices, polynomial specifications, donut-hole restrictions, and different standard error clustering strategies. Placebo cutoff tests confirm no spurious effects at non-cutoff thresholds, and McCrary density tests reveal no evidence of strategic manipulation around the cutoff. The near-perfect first-stage relationship (τ ≈ 0.98) yields fuzzy RDD estimates that are virtually identical to sharp estimates, confirming the design’s internal validity. Heterogeneity analysis shows that the incumbency advantage is present across districts of varying magnitudes.</w:t>
      </w:r>
    </w:p>
    <w:p>
      <w:pPr>
        <w:spacing w:after="200" w:line="360"/>
        <w:jc w:val="both"/>
      </w:pPr>
      <w:r>
        <w:rPr>
          <w:rFonts w:ascii="Arial" w:cs="Arial" w:eastAsia="Arial" w:hAnsi="Arial"/>
          <w:sz w:val="24"/>
          <w:szCs w:val="24"/>
        </w:rPr>
        <w:t xml:space="preserve">These findings contribute to a growing literature on incumbency effects beyond majoritarian settings. They suggest that even in PR systems—where the personal vote is often considered less important—winning a marginal seat confers meaningful advantages for future electoral performance, operating through both candidate reappearance and list-position channels.</w:t>
      </w:r>
    </w:p>
    <w:p>
      <w:r>
        <w:rPr>
          <w:rFonts w:ascii="Arial" w:cs="Arial" w:eastAsia="Arial" w:hAnsi="Arial"/>
          <w:sz w:val="24"/>
          <w:szCs w:val="24"/>
        </w:rPr>
        <w:t xml:space="preserve"/>
      </w:r>
    </w:p>
    <w:p>
      <w:pPr>
        <w:spacing w:after="200" w:line="360"/>
        <w:jc w:val="both"/>
      </w:pPr>
      <w:r>
        <w:rPr>
          <w:rFonts w:ascii="Arial" w:cs="Arial" w:eastAsia="Arial" w:hAnsi="Arial"/>
          <w:b/>
          <w:bCs/>
          <w:sz w:val="24"/>
          <w:szCs w:val="24"/>
        </w:rPr>
        <w:t xml:space="preserve">Keywords: </w:t>
      </w:r>
      <w:r>
        <w:rPr>
          <w:rFonts w:ascii="Arial" w:cs="Arial" w:eastAsia="Arial" w:hAnsi="Arial"/>
          <w:i/>
          <w:iCs/>
          <w:sz w:val="24"/>
          <w:szCs w:val="24"/>
        </w:rPr>
        <w:t xml:space="preserve">incumbency advantage, regression discontinuity design, proportional representation, Spain, D’Hondt method, electoral closeness</w:t>
      </w:r>
    </w:p>
    <w:p>
      <w:r>
        <w:br w:type="page"/>
      </w:r>
    </w:p>
    <w:p>
      <w:pPr>
        <w:pStyle w:val="Heading1"/>
        <w:spacing w:after="240" w:before="480"/>
      </w:pPr>
      <w:r>
        <w:rPr>
          <w:rFonts w:ascii="Arial" w:cs="Arial" w:eastAsia="Arial" w:hAnsi="Arial"/>
          <w:b/>
          <w:bCs/>
          <w:sz w:val="32"/>
          <w:szCs w:val="32"/>
        </w:rPr>
        <w:t xml:space="preserve">Declaration of Originality</w:t>
      </w:r>
    </w:p>
    <w:p>
      <w:pPr>
        <w:spacing w:after="200" w:line="360"/>
        <w:jc w:val="both"/>
      </w:pPr>
      <w:r>
        <w:rPr>
          <w:rFonts w:ascii="Arial" w:cs="Arial" w:eastAsia="Arial" w:hAnsi="Arial"/>
          <w:sz w:val="24"/>
          <w:szCs w:val="24"/>
        </w:rPr>
        <w:t xml:space="preserve">I hereby declare that I have written this thesis independently and exclusively with the aids and support of third parties provided by the Lucerne School of Business, in compliance with the Guidelines for the Use of AI and GenAI Tools in Assessments. All sources and literature used have been fully cited. I confirm that this thesis has not been submitted in the same or similar form for examination purposes elsewhere.</w:t>
      </w:r>
    </w:p>
    <w:p>
      <w:r>
        <w:rPr>
          <w:rFonts w:ascii="Arial" w:cs="Arial" w:eastAsia="Arial" w:hAnsi="Arial"/>
          <w:sz w:val="24"/>
          <w:szCs w:val="24"/>
        </w:rPr>
        <w:t xml:space="preserve"/>
      </w:r>
    </w:p>
    <w:p>
      <w:pPr>
        <w:pStyle w:val="Heading2"/>
        <w:spacing w:after="180" w:before="360"/>
      </w:pPr>
      <w:r>
        <w:rPr>
          <w:rFonts w:ascii="Arial" w:cs="Arial" w:eastAsia="Arial" w:hAnsi="Arial"/>
          <w:b/>
          <w:bCs/>
          <w:sz w:val="28"/>
          <w:szCs w:val="28"/>
        </w:rPr>
        <w:t xml:space="preserve">Statement on AI Use</w:t>
      </w:r>
    </w:p>
    <w:p>
      <w:pPr>
        <w:spacing w:after="200" w:line="360"/>
        <w:jc w:val="both"/>
      </w:pPr>
      <w:r>
        <w:rPr>
          <w:rFonts w:ascii="Arial" w:cs="Arial" w:eastAsia="Arial" w:hAnsi="Arial"/>
          <w:sz w:val="24"/>
          <w:szCs w:val="24"/>
        </w:rPr>
        <w:t xml:space="preserve">Generative AI tools were used during the preparation of this thesis in the following capacities: (1) Claude (Anthropic) was used for code generation assistance in the Python analysis pipeline, document formatting, and iterative review of the manuscript against the grading rubric; (2) GPT-5 (OpenAI) was used for text editing and formatting support during the preliminary study phase. All conceptual content, research design, analytical decisions, and interpretation of results were developed by the author. The use of AI tools was limited to technical implementation support and did not extend to the formulation of hypotheses, selection of methodology, or interpretation of findings.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Place, Date: ____________________________</w:t>
      </w:r>
    </w:p>
    <w:p>
      <w:r>
        <w:rPr>
          <w:rFonts w:ascii="Arial" w:cs="Arial" w:eastAsia="Arial" w:hAnsi="Arial"/>
          <w:sz w:val="24"/>
          <w:szCs w:val="24"/>
        </w:rPr>
        <w:t xml:space="preserve"/>
      </w:r>
    </w:p>
    <w:p>
      <w:r>
        <w:rPr>
          <w:rFonts w:ascii="Arial" w:cs="Arial" w:eastAsia="Arial" w:hAnsi="Arial"/>
          <w:sz w:val="24"/>
          <w:szCs w:val="24"/>
        </w:rPr>
        <w:t xml:space="preserve">Signature:    ____________________________</w:t>
      </w:r>
    </w:p>
    <w:p>
      <w:r>
        <w:br w:type="page"/>
      </w:r>
    </w:p>
    <w:p>
      <w:pPr>
        <w:pStyle w:val="Heading1"/>
        <w:spacing w:after="240" w:before="48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Arial" w:cs="Arial" w:eastAsia="Arial" w:hAnsi="Arial"/>
          <w:b/>
          <w:bCs/>
          <w:sz w:val="32"/>
          <w:szCs w:val="32"/>
        </w:rPr>
        <w:t xml:space="preserve">List of Tables</w:t>
      </w:r>
    </w:p>
    <w:p>
      <w:pPr>
        <w:spacing w:after="200" w:line="360"/>
        <w:jc w:val="both"/>
      </w:pPr>
      <w:r>
        <w:rPr>
          <w:rFonts w:ascii="Arial" w:cs="Arial" w:eastAsia="Arial" w:hAnsi="Arial"/>
          <w:sz w:val="24"/>
          <w:szCs w:val="24"/>
        </w:rPr>
        <w:t xml:space="preserve">Table 1: Summary Statistics by Treatment Status</w:t>
      </w:r>
    </w:p>
    <w:p>
      <w:pPr>
        <w:spacing w:after="200" w:line="360"/>
        <w:jc w:val="both"/>
      </w:pPr>
      <w:r>
        <w:rPr>
          <w:rFonts w:ascii="Arial" w:cs="Arial" w:eastAsia="Arial" w:hAnsi="Arial"/>
          <w:sz w:val="24"/>
          <w:szCs w:val="24"/>
        </w:rPr>
        <w:t xml:space="preserve">Table 2: Main RDD Estimates – Sharp and Fuzzy Specifications</w:t>
      </w:r>
    </w:p>
    <w:p>
      <w:pPr>
        <w:spacing w:after="200" w:line="360"/>
        <w:jc w:val="both"/>
      </w:pPr>
      <w:r>
        <w:rPr>
          <w:rFonts w:ascii="Arial" w:cs="Arial" w:eastAsia="Arial" w:hAnsi="Arial"/>
          <w:sz w:val="24"/>
          <w:szCs w:val="24"/>
        </w:rPr>
        <w:t xml:space="preserve">Table 3: Bandwidth Sensitivity Analysis</w:t>
      </w:r>
    </w:p>
    <w:p>
      <w:pPr>
        <w:spacing w:after="200" w:line="360"/>
        <w:jc w:val="both"/>
      </w:pPr>
      <w:r>
        <w:rPr>
          <w:rFonts w:ascii="Arial" w:cs="Arial" w:eastAsia="Arial" w:hAnsi="Arial"/>
          <w:sz w:val="24"/>
          <w:szCs w:val="24"/>
        </w:rPr>
        <w:t xml:space="preserve">Table 4: Standard Error Robustness</w:t>
      </w:r>
    </w:p>
    <w:p>
      <w:pPr>
        <w:spacing w:after="200" w:line="360"/>
        <w:jc w:val="both"/>
      </w:pPr>
      <w:r>
        <w:rPr>
          <w:rFonts w:ascii="Arial" w:cs="Arial" w:eastAsia="Arial" w:hAnsi="Arial"/>
          <w:sz w:val="24"/>
          <w:szCs w:val="24"/>
        </w:rPr>
        <w:t xml:space="preserve">Table 5: McCrary Density Tests</w:t>
      </w:r>
    </w:p>
    <w:p>
      <w:pPr>
        <w:spacing w:after="200" w:line="360"/>
        <w:jc w:val="both"/>
      </w:pPr>
      <w:r>
        <w:rPr>
          <w:rFonts w:ascii="Arial" w:cs="Arial" w:eastAsia="Arial" w:hAnsi="Arial"/>
          <w:sz w:val="24"/>
          <w:szCs w:val="24"/>
        </w:rPr>
        <w:t xml:space="preserve">Table 6: Placebo Cutoff Tests</w:t>
      </w:r>
    </w:p>
    <w:p>
      <w:pPr>
        <w:spacing w:after="200" w:line="360"/>
        <w:jc w:val="both"/>
      </w:pPr>
      <w:r>
        <w:rPr>
          <w:rFonts w:ascii="Arial" w:cs="Arial" w:eastAsia="Arial" w:hAnsi="Arial"/>
          <w:sz w:val="24"/>
          <w:szCs w:val="24"/>
        </w:rPr>
        <w:t xml:space="preserve">Table 7: Donut-Hole Robustness</w:t>
      </w:r>
    </w:p>
    <w:p>
      <w:pPr>
        <w:spacing w:after="200" w:line="360"/>
        <w:jc w:val="both"/>
      </w:pPr>
      <w:r>
        <w:rPr>
          <w:rFonts w:ascii="Arial" w:cs="Arial" w:eastAsia="Arial" w:hAnsi="Arial"/>
          <w:sz w:val="24"/>
          <w:szCs w:val="24"/>
        </w:rPr>
        <w:t xml:space="preserve">Table 8: Polynomial Order Comparison</w:t>
      </w:r>
    </w:p>
    <w:p>
      <w:pPr>
        <w:spacing w:after="200" w:line="360"/>
        <w:jc w:val="both"/>
      </w:pPr>
      <w:r>
        <w:rPr>
          <w:rFonts w:ascii="Arial" w:cs="Arial" w:eastAsia="Arial" w:hAnsi="Arial"/>
          <w:sz w:val="24"/>
          <w:szCs w:val="24"/>
        </w:rPr>
        <w:t xml:space="preserve">Table 9: Covariate Balance at the Cutoff</w:t>
      </w:r>
    </w:p>
    <w:p>
      <w:pPr>
        <w:spacing w:after="200" w:line="360"/>
        <w:jc w:val="both"/>
      </w:pPr>
      <w:r>
        <w:rPr>
          <w:rFonts w:ascii="Arial" w:cs="Arial" w:eastAsia="Arial" w:hAnsi="Arial"/>
          <w:sz w:val="24"/>
          <w:szCs w:val="24"/>
        </w:rPr>
        <w:t xml:space="preserve">Table 10: List Position Effects – RDD Estimates</w:t>
      </w:r>
    </w:p>
    <w:p>
      <w:pPr>
        <w:spacing w:after="200" w:line="360"/>
        <w:jc w:val="both"/>
      </w:pPr>
      <w:r>
        <w:rPr>
          <w:rFonts w:ascii="Arial" w:cs="Arial" w:eastAsia="Arial" w:hAnsi="Arial"/>
          <w:sz w:val="24"/>
          <w:szCs w:val="24"/>
        </w:rPr>
        <w:t xml:space="preserve">Table 11: Heterogeneity by District Magnitude</w:t>
      </w:r>
    </w:p>
    <w:p>
      <w:pPr>
        <w:spacing w:after="200" w:line="360"/>
        <w:jc w:val="both"/>
      </w:pPr>
      <w:r>
        <w:rPr>
          <w:rFonts w:ascii="Arial" w:cs="Arial" w:eastAsia="Arial" w:hAnsi="Arial"/>
          <w:sz w:val="24"/>
          <w:szCs w:val="24"/>
        </w:rPr>
        <w:t xml:space="preserve">Table 12: Cross-Country Comparison of Incumbency Advantage Estimates</w:t>
      </w:r>
    </w:p>
    <w:p>
      <w:r>
        <w:rPr>
          <w:rFonts w:ascii="Arial" w:cs="Arial" w:eastAsia="Arial" w:hAnsi="Arial"/>
          <w:sz w:val="24"/>
          <w:szCs w:val="24"/>
        </w:rPr>
        <w:t xml:space="preserve"/>
      </w:r>
    </w:p>
    <w:p>
      <w:pPr>
        <w:pStyle w:val="Heading1"/>
        <w:spacing w:after="240" w:before="480"/>
      </w:pPr>
      <w:r>
        <w:rPr>
          <w:rFonts w:ascii="Arial" w:cs="Arial" w:eastAsia="Arial" w:hAnsi="Arial"/>
          <w:b/>
          <w:bCs/>
          <w:sz w:val="32"/>
          <w:szCs w:val="32"/>
        </w:rPr>
        <w:t xml:space="preserve">List of Figures</w:t>
      </w:r>
    </w:p>
    <w:p>
      <w:pPr>
        <w:spacing w:after="200" w:line="360"/>
        <w:jc w:val="both"/>
      </w:pPr>
      <w:r>
        <w:rPr>
          <w:rFonts w:ascii="Arial" w:cs="Arial" w:eastAsia="Arial" w:hAnsi="Arial"/>
          <w:sz w:val="24"/>
          <w:szCs w:val="24"/>
        </w:rPr>
        <w:t xml:space="preserve">Figure 1: Incumbency Effect on Running in Next Election (RDD Scatter)</w:t>
      </w:r>
    </w:p>
    <w:p>
      <w:pPr>
        <w:spacing w:after="200" w:line="360"/>
        <w:jc w:val="both"/>
      </w:pPr>
      <w:r>
        <w:rPr>
          <w:rFonts w:ascii="Arial" w:cs="Arial" w:eastAsia="Arial" w:hAnsi="Arial"/>
          <w:sz w:val="24"/>
          <w:szCs w:val="24"/>
        </w:rPr>
        <w:t xml:space="preserve">Figure 2: Incumbency Effect on Winning Seat in Next Election (RDD Scatter)</w:t>
      </w:r>
    </w:p>
    <w:p>
      <w:pPr>
        <w:spacing w:after="200" w:line="360"/>
        <w:jc w:val="both"/>
      </w:pPr>
      <w:r>
        <w:rPr>
          <w:rFonts w:ascii="Arial" w:cs="Arial" w:eastAsia="Arial" w:hAnsi="Arial"/>
          <w:sz w:val="24"/>
          <w:szCs w:val="24"/>
        </w:rPr>
        <w:t xml:space="preserve">Figure 3: First Stage – Election Status at the Cutoff</w:t>
      </w:r>
    </w:p>
    <w:p>
      <w:pPr>
        <w:spacing w:after="200" w:line="360"/>
        <w:jc w:val="both"/>
      </w:pPr>
      <w:r>
        <w:rPr>
          <w:rFonts w:ascii="Arial" w:cs="Arial" w:eastAsia="Arial" w:hAnsi="Arial"/>
          <w:sz w:val="24"/>
          <w:szCs w:val="24"/>
        </w:rPr>
        <w:t xml:space="preserve">Figure 4: McCrary Density Test – Running Variable Distribution</w:t>
      </w:r>
    </w:p>
    <w:p>
      <w:pPr>
        <w:spacing w:after="200" w:line="360"/>
        <w:jc w:val="both"/>
      </w:pPr>
      <w:r>
        <w:rPr>
          <w:rFonts w:ascii="Arial" w:cs="Arial" w:eastAsia="Arial" w:hAnsi="Arial"/>
          <w:sz w:val="24"/>
          <w:szCs w:val="24"/>
        </w:rPr>
        <w:t xml:space="preserve">Figure 5: Bandwidth Sensitivity Analysis with 95% Confidence Intervals</w:t>
      </w:r>
    </w:p>
    <w:p>
      <w:pPr>
        <w:spacing w:after="200" w:line="360"/>
        <w:jc w:val="both"/>
      </w:pPr>
      <w:r>
        <w:rPr>
          <w:rFonts w:ascii="Arial" w:cs="Arial" w:eastAsia="Arial" w:hAnsi="Arial"/>
          <w:sz w:val="24"/>
          <w:szCs w:val="24"/>
        </w:rPr>
        <w:t xml:space="preserve">Figure 6: Covariate Balance at the Cutoff</w:t>
      </w:r>
    </w:p>
    <w:p>
      <w:r>
        <w:br w:type="page"/>
      </w:r>
    </w:p>
    <w:p>
      <w:pPr>
        <w:pStyle w:val="Heading1"/>
        <w:spacing w:after="240" w:before="480"/>
      </w:pPr>
      <w:r>
        <w:rPr>
          <w:rFonts w:ascii="Arial" w:cs="Arial" w:eastAsia="Arial" w:hAnsi="Arial"/>
          <w:b/>
          <w:bCs/>
          <w:sz w:val="32"/>
          <w:szCs w:val="32"/>
        </w:rPr>
        <w:t xml:space="preserve">1. Introduction</w:t>
      </w:r>
    </w:p>
    <w:p>
      <w:pPr>
        <w:pStyle w:val="Heading2"/>
        <w:spacing w:after="180" w:before="360"/>
      </w:pPr>
      <w:r>
        <w:rPr>
          <w:rFonts w:ascii="Arial" w:cs="Arial" w:eastAsia="Arial" w:hAnsi="Arial"/>
          <w:b/>
          <w:bCs/>
          <w:sz w:val="28"/>
          <w:szCs w:val="28"/>
        </w:rPr>
        <w:t xml:space="preserve">1.1 Motivation</w:t>
      </w:r>
    </w:p>
    <w:p>
      <w:pPr>
        <w:spacing w:after="200" w:line="360"/>
        <w:jc w:val="both"/>
      </w:pPr>
      <w:r>
        <w:rPr>
          <w:rFonts w:ascii="Arial" w:cs="Arial" w:eastAsia="Arial" w:hAnsi="Arial"/>
          <w:sz w:val="24"/>
          <w:szCs w:val="24"/>
        </w:rPr>
        <w:t xml:space="preserve">The incumbency advantage—the electoral benefit enjoyed by parties or candidates who currently hold office—is one of the most studied phenomena in political science. Understanding whether and how incumbency confers advantages is crucial for evaluating democratic accountability, political competition, and representation. If incumbents enjoy significant advantages simply by virtue of holding office, this has implications for political turnover, policy responsiveness, and the health of democratic systems.</w:t>
      </w:r>
    </w:p>
    <w:p>
      <w:pPr>
        <w:spacing w:after="200" w:line="360"/>
        <w:jc w:val="both"/>
      </w:pPr>
      <w:r>
        <w:rPr>
          <w:rFonts w:ascii="Arial" w:cs="Arial" w:eastAsia="Arial" w:hAnsi="Arial"/>
          <w:sz w:val="24"/>
          <w:szCs w:val="24"/>
        </w:rPr>
        <w:t xml:space="preserve">A rich empirical literature has documented incumbency effects in majoritarian, single-member district systems, particularly in the United States and the United Kingdom. The regression discontinuity design (RDD), which exploits the quasi-random assignment of incumbency status in close elections, has become the standard identification strategy. Seminal contributions by Lee (2008), who found a roughly 38 percentage point advantage for Democratic candidates winning close US House races, established this approach as a credible method for causal identification.</w:t>
      </w:r>
    </w:p>
    <w:p>
      <w:pPr>
        <w:spacing w:after="200" w:line="360"/>
        <w:jc w:val="both"/>
      </w:pPr>
      <w:r>
        <w:rPr>
          <w:rFonts w:ascii="Arial" w:cs="Arial" w:eastAsia="Arial" w:hAnsi="Arial"/>
          <w:sz w:val="24"/>
          <w:szCs w:val="24"/>
        </w:rPr>
        <w:t xml:space="preserve">However, the vast majority of democracies worldwide employ some form of proportional representation (PR), where seats are allocated to parties in proportion to their vote shares. In these systems, the mechanisms underlying incumbency advantage may differ substantially from majoritarian contexts. Under PR, voters typically choose between party lists rather than individual candidates, the personal vote may play a diminished role, and the institutional channels through which incumbency operates—such as name recognition, constituency service, and media visibility—may be filtered through party organizations.</w:t>
      </w:r>
    </w:p>
    <w:p>
      <w:pPr>
        <w:spacing w:after="200" w:line="360"/>
        <w:jc w:val="both"/>
      </w:pPr>
      <w:r>
        <w:rPr>
          <w:rFonts w:ascii="Arial" w:cs="Arial" w:eastAsia="Arial" w:hAnsi="Arial"/>
          <w:sz w:val="24"/>
          <w:szCs w:val="24"/>
        </w:rPr>
        <w:t xml:space="preserve">Spain provides an ideal setting for studying incumbency effects in a PR system. The country uses a closed-list PR system with the D’Hondt method for seat allocation in its lower chamber (Congreso de los Diputados). Of the 52 electoral constituencies, 50 multi-member provinces use D’Hondt proportional allocation, while Ceuta and Melilla are single-member plurality districts. This institutional design generates quasi-experimental variation at the margin of seat allocation: parties that barely win versus barely lose a marginal seat in a given province are, on average, comparable in terms of observable and unobservable characteristics, yet they differ in their incumbency status.</w:t>
      </w:r>
    </w:p>
    <w:p>
      <w:pPr>
        <w:pStyle w:val="Heading2"/>
        <w:spacing w:after="180" w:before="360"/>
      </w:pPr>
      <w:r>
        <w:rPr>
          <w:rFonts w:ascii="Arial" w:cs="Arial" w:eastAsia="Arial" w:hAnsi="Arial"/>
          <w:b/>
          <w:bCs/>
          <w:sz w:val="28"/>
          <w:szCs w:val="28"/>
        </w:rPr>
        <w:t xml:space="preserve">1.2 Research Questions</w:t>
      </w:r>
    </w:p>
    <w:p>
      <w:pPr>
        <w:spacing w:after="200" w:line="360"/>
        <w:jc w:val="both"/>
      </w:pPr>
      <w:r>
        <w:rPr>
          <w:rFonts w:ascii="Arial" w:cs="Arial" w:eastAsia="Arial" w:hAnsi="Arial"/>
          <w:sz w:val="24"/>
          <w:szCs w:val="24"/>
        </w:rPr>
        <w:t xml:space="preserve">This thesis addresses the following main research question:</w:t>
      </w:r>
    </w:p>
    <w:p>
      <w:pPr>
        <w:spacing w:after="200" w:line="360"/>
        <w:jc w:val="both"/>
      </w:pPr>
      <w:r>
        <w:rPr>
          <w:rFonts w:ascii="Arial" w:cs="Arial" w:eastAsia="Arial" w:hAnsi="Arial"/>
          <w:b/>
          <w:bCs/>
          <w:sz w:val="24"/>
          <w:szCs w:val="24"/>
        </w:rPr>
        <w:t xml:space="preserve">Main RQ: </w:t>
      </w:r>
      <w:r>
        <w:rPr>
          <w:rFonts w:ascii="Arial" w:cs="Arial" w:eastAsia="Arial" w:hAnsi="Arial"/>
          <w:sz w:val="24"/>
          <w:szCs w:val="24"/>
        </w:rPr>
        <w:t xml:space="preserve">How does narrowly winning a parliamentary seat affect a candidate’s future electoral prospects in Spain’s proportional representation system?</w:t>
      </w:r>
    </w:p>
    <w:p>
      <w:pPr>
        <w:spacing w:after="200" w:line="360"/>
        <w:jc w:val="both"/>
      </w:pPr>
      <w:r>
        <w:rPr>
          <w:rFonts w:ascii="Arial" w:cs="Arial" w:eastAsia="Arial" w:hAnsi="Arial"/>
          <w:sz w:val="24"/>
          <w:szCs w:val="24"/>
        </w:rPr>
        <w:t xml:space="preserve">This question is decomposed into four sub-questions:</w:t>
      </w:r>
    </w:p>
    <w:p>
      <w:pPr>
        <w:spacing w:after="200" w:line="360"/>
        <w:jc w:val="both"/>
      </w:pPr>
      <w:r>
        <w:rPr>
          <w:rFonts w:ascii="Arial" w:cs="Arial" w:eastAsia="Arial" w:hAnsi="Arial"/>
          <w:b/>
          <w:bCs/>
          <w:sz w:val="24"/>
          <w:szCs w:val="24"/>
        </w:rPr>
        <w:t xml:space="preserve">SQ1: </w:t>
      </w:r>
      <w:r>
        <w:rPr>
          <w:rFonts w:ascii="Arial" w:cs="Arial" w:eastAsia="Arial" w:hAnsi="Arial"/>
          <w:sz w:val="24"/>
          <w:szCs w:val="24"/>
        </w:rPr>
        <w:t xml:space="preserve">How can electoral closeness be accurately measured at the candidate level in Spain’s closed-list PR system?</w:t>
      </w:r>
    </w:p>
    <w:p>
      <w:pPr>
        <w:spacing w:after="200" w:line="360"/>
        <w:jc w:val="both"/>
      </w:pPr>
      <w:r>
        <w:rPr>
          <w:rFonts w:ascii="Arial" w:cs="Arial" w:eastAsia="Arial" w:hAnsi="Arial"/>
          <w:b/>
          <w:bCs/>
          <w:sz w:val="24"/>
          <w:szCs w:val="24"/>
        </w:rPr>
        <w:t xml:space="preserve">SQ2: </w:t>
      </w:r>
      <w:r>
        <w:rPr>
          <w:rFonts w:ascii="Arial" w:cs="Arial" w:eastAsia="Arial" w:hAnsi="Arial"/>
          <w:sz w:val="24"/>
          <w:szCs w:val="24"/>
        </w:rPr>
        <w:t xml:space="preserve">Does narrowly winning a seat causally increase the probability of running again and/or being elected in the next election cycle (the incumbency advantage)?</w:t>
      </w:r>
    </w:p>
    <w:p>
      <w:pPr>
        <w:spacing w:after="200" w:line="360"/>
        <w:jc w:val="both"/>
      </w:pPr>
      <w:r>
        <w:rPr>
          <w:rFonts w:ascii="Arial" w:cs="Arial" w:eastAsia="Arial" w:hAnsi="Arial"/>
          <w:b/>
          <w:bCs/>
          <w:sz w:val="24"/>
          <w:szCs w:val="24"/>
        </w:rPr>
        <w:t xml:space="preserve">SQ3: </w:t>
      </w:r>
      <w:r>
        <w:rPr>
          <w:rFonts w:ascii="Arial" w:cs="Arial" w:eastAsia="Arial" w:hAnsi="Arial"/>
          <w:sz w:val="24"/>
          <w:szCs w:val="24"/>
        </w:rPr>
        <w:t xml:space="preserve">How does the incumbency advantage differ across electoral districts of varying sizes (district magnitudes)?</w:t>
      </w:r>
    </w:p>
    <w:p>
      <w:pPr>
        <w:spacing w:after="200" w:line="360"/>
        <w:jc w:val="both"/>
      </w:pPr>
      <w:r>
        <w:rPr>
          <w:rFonts w:ascii="Arial" w:cs="Arial" w:eastAsia="Arial" w:hAnsi="Arial"/>
          <w:b/>
          <w:bCs/>
          <w:sz w:val="24"/>
          <w:szCs w:val="24"/>
        </w:rPr>
        <w:t xml:space="preserve">SQ4: </w:t>
      </w:r>
      <w:r>
        <w:rPr>
          <w:rFonts w:ascii="Arial" w:cs="Arial" w:eastAsia="Arial" w:hAnsi="Arial"/>
          <w:sz w:val="24"/>
          <w:szCs w:val="24"/>
        </w:rPr>
        <w:t xml:space="preserve">To what extent does incumbency affect a candidate’s future position on party lists?</w:t>
      </w:r>
    </w:p>
    <w:p>
      <w:pPr>
        <w:pStyle w:val="Heading2"/>
        <w:spacing w:after="180" w:before="360"/>
      </w:pPr>
      <w:r>
        <w:rPr>
          <w:rFonts w:ascii="Arial" w:cs="Arial" w:eastAsia="Arial" w:hAnsi="Arial"/>
          <w:b/>
          <w:bCs/>
          <w:sz w:val="28"/>
          <w:szCs w:val="28"/>
        </w:rPr>
        <w:t xml:space="preserve">1.3 Contribution</w:t>
      </w:r>
    </w:p>
    <w:p>
      <w:pPr>
        <w:spacing w:after="200" w:line="360"/>
        <w:jc w:val="both"/>
      </w:pPr>
      <w:r>
        <w:rPr>
          <w:rFonts w:ascii="Arial" w:cs="Arial" w:eastAsia="Arial" w:hAnsi="Arial"/>
          <w:sz w:val="24"/>
          <w:szCs w:val="24"/>
        </w:rPr>
        <w:t xml:space="preserve">This thesis makes several contributions to the literature, going beyond a straightforward application of the Luechinger, Schelker, and Schmid (2024) methodology to a new country.</w:t>
      </w:r>
    </w:p>
    <w:p>
      <w:pPr>
        <w:spacing w:after="200" w:line="360"/>
        <w:jc w:val="both"/>
      </w:pPr>
      <w:r>
        <w:rPr>
          <w:rFonts w:ascii="Arial" w:cs="Arial" w:eastAsia="Arial" w:hAnsi="Arial"/>
          <w:sz w:val="24"/>
          <w:szCs w:val="24"/>
        </w:rPr>
        <w:t xml:space="preserve">First, Spain offers a theoretically informative test case that differs from the countries for which incumbency advantages under PR have been estimated in important ways. Luechinger, Schelker, and Schmid (2024) study Switzerland’s open-list PR system with panachage, where voters can freely modify party lists and cast personal preference votes; any incumbency effect there could operate through the personal vote channel. Spain’s closed-list system shuts down this channel entirely: voters choose between sealed party lists and cannot influence which individual candidates are elected. If an incumbency advantage persists even when voters have no ability to reward or punish individual incumbents, it must operate through party-level mechanisms—organizational resources, demonstrated viability, and gatekeeper decisions about list composition—rather than through the personal vote. Spain therefore provides a clean test of whether party-mediated incumbency effects exist independently of candidate-centered electoral incentives.</w:t>
      </w:r>
    </w:p>
    <w:p>
      <w:pPr>
        <w:spacing w:after="200" w:line="360"/>
        <w:jc w:val="both"/>
      </w:pPr>
      <w:r>
        <w:rPr>
          <w:rFonts w:ascii="Arial" w:cs="Arial" w:eastAsia="Arial" w:hAnsi="Arial"/>
          <w:sz w:val="24"/>
          <w:szCs w:val="24"/>
        </w:rPr>
        <w:t xml:space="preserve">Second, Spain’s institutional features generate analytical variation not available in other studied contexts. The 50 PR provinces range from 2-seat districts (e.g., Soria) to 37-seat megadistricts (Madrid), providing within-country variation in district magnitude that allows a direct test of whether incumbency advantages are modulated by the competitiveness of the seat allocation environment. Furthermore, Spain’s party system underwent dramatic fragmentation during the sample period (2004–2023), with the emergence of Podemos and Ciudadanos breaking the traditional PSOE–PP duopoly. This provides a dynamic multi-party setting absent from the Swiss and Norwegian contexts studied previously.</w:t>
      </w:r>
    </w:p>
    <w:p>
      <w:pPr>
        <w:spacing w:after="200" w:line="360"/>
        <w:jc w:val="both"/>
      </w:pPr>
      <w:r>
        <w:rPr>
          <w:rFonts w:ascii="Arial" w:cs="Arial" w:eastAsia="Arial" w:hAnsi="Arial"/>
          <w:sz w:val="24"/>
          <w:szCs w:val="24"/>
        </w:rPr>
        <w:t xml:space="preserve">Third, this thesis extends the analysis beyond the standard runs-next/wins-next outcomes by investigating list-position effects—a question unique to closed-list PR systems and one that directly probes the party-gatekeeper mechanism. If parties reward marginal-seat winners with more favorable list positions in subsequent elections, this reveals a concrete organizational channel through which incumbency perpetuates itself.</w:t>
      </w:r>
    </w:p>
    <w:p>
      <w:pPr>
        <w:spacing w:after="200" w:line="360"/>
        <w:jc w:val="both"/>
      </w:pPr>
      <w:r>
        <w:rPr>
          <w:rFonts w:ascii="Arial" w:cs="Arial" w:eastAsia="Arial" w:hAnsi="Arial"/>
          <w:sz w:val="24"/>
          <w:szCs w:val="24"/>
        </w:rPr>
        <w:t xml:space="preserve">Fourth, by implementing a comprehensive battery of robustness checks—placebo cutoff tests, donut-hole restrictions, polynomial order sensitivity, bandwidth sensitivity, and McCrary density tests—and by tracking individual candidates across elections via a person-identifier linkage algorithm, this thesis establishes the credibility of the empirical design in a context where such validation has not been performed before.</w:t>
      </w:r>
    </w:p>
    <w:p>
      <w:pPr>
        <w:pStyle w:val="Heading2"/>
        <w:spacing w:after="180" w:before="360"/>
      </w:pPr>
      <w:r>
        <w:rPr>
          <w:rFonts w:ascii="Arial" w:cs="Arial" w:eastAsia="Arial" w:hAnsi="Arial"/>
          <w:b/>
          <w:bCs/>
          <w:sz w:val="28"/>
          <w:szCs w:val="28"/>
        </w:rPr>
        <w:t xml:space="preserve">1.4 Preview of Results</w:t>
      </w:r>
    </w:p>
    <w:p>
      <w:pPr>
        <w:spacing w:after="200" w:line="360"/>
        <w:jc w:val="both"/>
      </w:pPr>
      <w:r>
        <w:rPr>
          <w:rFonts w:ascii="Arial" w:cs="Arial" w:eastAsia="Arial" w:hAnsi="Arial"/>
          <w:sz w:val="24"/>
          <w:szCs w:val="24"/>
        </w:rPr>
        <w:t xml:space="preserve">The main findings indicate a substantial incumbency advantage in Spain’s PR system. Candidates whose party barely wins a marginal seat are approximately 28 percentage points more likely to reappear on a party list in the next election and 19 percentage points more likely to win a seat. There is suggestive evidence that winning a marginal seat also leads to more favorable list positions, and the effect is present across districts of varying magnitudes. These effects are highly statistically significant and robust across multiple specifications. The near-perfect first-stage relationship confirms that winning the marginal seat almost perfectly determines incumbency status, validating the research design.</w:t>
      </w:r>
    </w:p>
    <w:p>
      <w:pPr>
        <w:pStyle w:val="Heading2"/>
        <w:spacing w:after="180" w:before="360"/>
      </w:pPr>
      <w:r>
        <w:rPr>
          <w:rFonts w:ascii="Arial" w:cs="Arial" w:eastAsia="Arial" w:hAnsi="Arial"/>
          <w:b/>
          <w:bCs/>
          <w:sz w:val="28"/>
          <w:szCs w:val="28"/>
        </w:rPr>
        <w:t xml:space="preserve">1.5 Structure</w:t>
      </w:r>
    </w:p>
    <w:p>
      <w:pPr>
        <w:spacing w:after="200" w:line="360"/>
        <w:jc w:val="both"/>
      </w:pPr>
      <w:r>
        <w:rPr>
          <w:rFonts w:ascii="Arial" w:cs="Arial" w:eastAsia="Arial" w:hAnsi="Arial"/>
          <w:sz w:val="24"/>
          <w:szCs w:val="24"/>
        </w:rPr>
        <w:t xml:space="preserve">The remainder of this thesis is organized as follows. Chapter 2 reviews the relevant literature on incumbency advantage. Chapter 3 describes Spain’s electoral system and the institutional context. Chapter 4 presents the methodological framework, including the RDD identification strategy and the closeness measure for PR systems. Chapter 5 describes the data. Chapter 6 presents the main results. Chapter 7 provides extensive robustness checks. Chapter 8 discusses the findings, and Chapter 9 concludes.</w:t>
      </w:r>
    </w:p>
    <w:p>
      <w:r>
        <w:br w:type="page"/>
      </w:r>
    </w:p>
    <w:p>
      <w:pPr>
        <w:pStyle w:val="Heading1"/>
        <w:spacing w:after="240" w:before="480"/>
      </w:pPr>
      <w:r>
        <w:rPr>
          <w:rFonts w:ascii="Arial" w:cs="Arial" w:eastAsia="Arial" w:hAnsi="Arial"/>
          <w:b/>
          <w:bCs/>
          <w:sz w:val="32"/>
          <w:szCs w:val="32"/>
        </w:rPr>
        <w:t xml:space="preserve">2. Literature Review</w:t>
      </w:r>
    </w:p>
    <w:p>
      <w:pPr>
        <w:pStyle w:val="Heading2"/>
        <w:spacing w:after="180" w:before="360"/>
      </w:pPr>
      <w:r>
        <w:rPr>
          <w:rFonts w:ascii="Arial" w:cs="Arial" w:eastAsia="Arial" w:hAnsi="Arial"/>
          <w:b/>
          <w:bCs/>
          <w:sz w:val="28"/>
          <w:szCs w:val="28"/>
        </w:rPr>
        <w:t xml:space="preserve">2.1 Incumbency Advantage in Majoritarian Systems</w:t>
      </w:r>
    </w:p>
    <w:p>
      <w:pPr>
        <w:spacing w:after="200" w:line="360"/>
        <w:jc w:val="both"/>
      </w:pPr>
      <w:r>
        <w:rPr>
          <w:rFonts w:ascii="Arial" w:cs="Arial" w:eastAsia="Arial" w:hAnsi="Arial"/>
          <w:sz w:val="24"/>
          <w:szCs w:val="24"/>
        </w:rPr>
        <w:t xml:space="preserve">The study of incumbency advantage has a long tradition in political science, dating back to Erikson’s (1971) early observation that incumbent members of the US Congress tend to win re-election at rates far exceeding what would be expected by chance. Gelman and King (1990) formalized the concept of the “incumbency advantage” as the average causal effect of a party holding a seat on its vote share in subsequent elections. Subsequent work by Lee (2008) revolutionized the field by applying a regression discontinuity design to US House elections, exploiting the quasi-random assignment of party control in close races to identify causal effects. Lee’s estimate of a roughly 38 percentage point advantage for the winning party in close US elections demonstrated the power of the RDD approach and established it as the gold standard for measuring incumbency effects.</w:t>
      </w:r>
    </w:p>
    <w:p>
      <w:pPr>
        <w:spacing w:after="200" w:line="360"/>
        <w:jc w:val="both"/>
      </w:pPr>
      <w:r>
        <w:rPr>
          <w:rFonts w:ascii="Arial" w:cs="Arial" w:eastAsia="Arial" w:hAnsi="Arial"/>
          <w:sz w:val="24"/>
          <w:szCs w:val="24"/>
        </w:rPr>
        <w:t xml:space="preserve">Following Lee (2008), numerous studies have applied the RDD framework to majoritarian elections in various countries. Eggers and Spirling (2017) documented significant incumbency advantages in the British House of Commons, demonstrating that the phenomenon extends beyond the US context. Caughey and Sekhon (2011) raised concerns about potential sorting near the cutoff in close US elections, though subsequent work has generally validated the RDD approach with appropriate controls. Klasnja and Titiunik (2017) broadened the comparative evidence by estimating incumbency effects in Brazilian mayoral elections, finding that in some developing-democracy contexts the incumbency advantage can be negative—incumbents are actually penalized—highlighting that the direction and magnitude of incumbency effects are context-dependent rather than universal. The literature has explored various mechanisms through which incumbency confers advantages, including name recognition, campaign finance advantages, constituency service, pork-barrel spending, and media coverage.</w:t>
      </w:r>
    </w:p>
    <w:p>
      <w:pPr>
        <w:pStyle w:val="Heading2"/>
        <w:spacing w:after="180" w:before="360"/>
      </w:pPr>
      <w:r>
        <w:rPr>
          <w:rFonts w:ascii="Arial" w:cs="Arial" w:eastAsia="Arial" w:hAnsi="Arial"/>
          <w:b/>
          <w:bCs/>
          <w:sz w:val="28"/>
          <w:szCs w:val="28"/>
        </w:rPr>
        <w:t xml:space="preserve">2.2 Incumbency Effects in Proportional Representation</w:t>
      </w:r>
    </w:p>
    <w:p>
      <w:pPr>
        <w:spacing w:after="200" w:line="360"/>
        <w:jc w:val="both"/>
      </w:pPr>
      <w:r>
        <w:rPr>
          <w:rFonts w:ascii="Arial" w:cs="Arial" w:eastAsia="Arial" w:hAnsi="Arial"/>
          <w:sz w:val="24"/>
          <w:szCs w:val="24"/>
        </w:rPr>
        <w:t xml:space="preserve">Before reviewing the PR-specific literature, it is worth articulating why the three outcomes examined in this thesis—reappearance on a party list, re-election, and list-position improvement—are substantively interesting. The first outcome, reappearance (the extensive margin), captures whether winning a marginal seat affects whether the party fields the candidate again at all; this matters because democratic competition depends on viable alternatives, and if winning a seat makes parties more likely to persist in a province, it could entrench existing parties and reduce contestability. The second outcome, re-election (the intensive margin), measures whether the electoral boost translates into actual seat gains, with direct implications for political turnover and accountability: a large intensive-margin effect implies that marginal incumbents are systematically re-elected, reducing the responsiveness of representation to changing voter preferences. The third outcome, list position, is uniquely important in closed-list PR systems because it reveals the internal party decision-making process; if parties systematically promote marginal-seat winners to safer list positions, this constitutes a concrete organizational mechanism through which incumbency self-perpetuates, independent of any voter-level channel.</w:t>
      </w:r>
    </w:p>
    <w:p>
      <w:pPr>
        <w:spacing w:after="200" w:line="360"/>
        <w:jc w:val="both"/>
      </w:pPr>
      <w:r>
        <w:rPr>
          <w:rFonts w:ascii="Arial" w:cs="Arial" w:eastAsia="Arial" w:hAnsi="Arial"/>
          <w:sz w:val="24"/>
          <w:szCs w:val="24"/>
        </w:rPr>
        <w:t xml:space="preserve">Extending the incumbency advantage literature to PR systems presents unique challenges. Unlike majoritarian systems where a single candidate wins or loses a district, PR systems allocate multiple seats per constituency according to party vote shares. The personal vote mechanism is often attenuated in PR systems, especially those with closed party lists where voters cannot choose among individual candidates within a party. Nonetheless, parties that win representation in a district may benefit from increased visibility, stronger organizational presence, and demonstrated electoral viability.</w:t>
      </w:r>
    </w:p>
    <w:p>
      <w:pPr>
        <w:spacing w:after="200" w:line="360"/>
        <w:jc w:val="both"/>
      </w:pPr>
      <w:r>
        <w:rPr>
          <w:rFonts w:ascii="Arial" w:cs="Arial" w:eastAsia="Arial" w:hAnsi="Arial"/>
          <w:sz w:val="24"/>
          <w:szCs w:val="24"/>
        </w:rPr>
        <w:t xml:space="preserve">Dano, Ferlenga, Galasso, Le Pennec, and Pons (2022) studied coordination and incumbency advantage in multi-party systems using French elections and an RDD approach. Their work highlights that in multi-party settings, incumbency can affect not only direct electoral performance but also the strategic behavior of competing parties. The findings suggest that incumbency effects operate through both direct channels (voter loyalty, name recognition) and indirect channels (strategic entry and exit of competitors).</w:t>
      </w:r>
    </w:p>
    <w:p>
      <w:pPr>
        <w:spacing w:after="200" w:line="360"/>
        <w:jc w:val="both"/>
      </w:pPr>
      <w:r>
        <w:rPr>
          <w:rFonts w:ascii="Arial" w:cs="Arial" w:eastAsia="Arial" w:hAnsi="Arial"/>
          <w:sz w:val="24"/>
          <w:szCs w:val="24"/>
        </w:rPr>
        <w:t xml:space="preserve">Luechinger, Schelker, and Schmid (2024) made a key methodological contribution by developing a measure of electoral closeness suitable for proportional representation systems. In majoritarian systems, closeness is simply the vote margin between the winner and the runner-up. In PR systems with D’Hondt or similar divisor methods, closeness must be defined relative to the marginal seat allocation. Their measure identifies how many additional votes a party would need to gain (or could afford to lose) to win (or lose) one additional seat, normalized by the number of eligible voters. This measure provides the running variable for an RDD framework adapted to PR contexts.</w:t>
      </w:r>
    </w:p>
    <w:p>
      <w:pPr>
        <w:spacing w:after="200" w:line="360"/>
        <w:jc w:val="both"/>
      </w:pPr>
      <w:r>
        <w:rPr>
          <w:rFonts w:ascii="Arial" w:cs="Arial" w:eastAsia="Arial" w:hAnsi="Arial"/>
          <w:sz w:val="24"/>
          <w:szCs w:val="24"/>
        </w:rPr>
        <w:t xml:space="preserve">Fiva and Røhr (2018) provide important evidence from Norwegian local elections, a setting with open-list PR where personal preference votes can alter the party-determined list ordering. Using an RDD framework at the individual candidate level, they find that incumbency significantly increases the probability of being ranked higher on the party list and of being re-elected. Crucially, most of the incumbency advantage operates through improved list positions assigned by party organizations rather than through direct voter preferences. This finding is particularly relevant for the present study: if party gatekeepers drive incumbency advantages even in open-list systems where voters can override list orderings, the effect should be at least as strong in Spain’s closed-list system where parties have complete control over candidate rankings.</w:t>
      </w:r>
    </w:p>
    <w:p>
      <w:pPr>
        <w:spacing w:after="200" w:line="360"/>
        <w:jc w:val="both"/>
      </w:pPr>
      <w:r>
        <w:rPr>
          <w:rFonts w:ascii="Arial" w:cs="Arial" w:eastAsia="Arial" w:hAnsi="Arial"/>
          <w:sz w:val="24"/>
          <w:szCs w:val="24"/>
        </w:rPr>
        <w:t xml:space="preserve">A key gap in this emerging literature concerns the decomposition of the incumbency advantage into its constituent channels. Most studies report a single reduced-form effect on vote shares or seat wins, but the total effect may mask distinct mechanisms. Distinguishing the extensive margin (whether a party’s candidates reappear at all) from the intensive margin (whether they win conditional on running) is important because the two channels have different policy implications: a large extensive-margin effect suggests that incumbency operates through party viability and organizational persistence, while a large intensive-margin effect points to direct electoral benefits such as voter loyalty or resource advantages. Furthermore, in closed-list PR systems, the party’s internal decision about list composition—specifically, where to place candidates on the list—is a theoretically distinct channel that mediates between party-level incumbency status and individual candidate outcomes (Hazan and Rahat, 2010; Galasso and Nannicini, 2011). Examining this channel requires tracking individual candidates across elections and observing changes in their list positions, which this thesis does.</w:t>
      </w:r>
    </w:p>
    <w:p>
      <w:pPr>
        <w:pStyle w:val="Heading2"/>
        <w:spacing w:after="180" w:before="360"/>
      </w:pPr>
      <w:r>
        <w:rPr>
          <w:rFonts w:ascii="Arial" w:cs="Arial" w:eastAsia="Arial" w:hAnsi="Arial"/>
          <w:b/>
          <w:bCs/>
          <w:sz w:val="28"/>
          <w:szCs w:val="28"/>
        </w:rPr>
        <w:t xml:space="preserve">2.3 The Spanish Context in the Literature</w:t>
      </w:r>
    </w:p>
    <w:p>
      <w:pPr>
        <w:spacing w:after="200" w:line="360"/>
        <w:jc w:val="both"/>
      </w:pPr>
      <w:r>
        <w:rPr>
          <w:rFonts w:ascii="Arial" w:cs="Arial" w:eastAsia="Arial" w:hAnsi="Arial"/>
          <w:sz w:val="24"/>
          <w:szCs w:val="24"/>
        </w:rPr>
        <w:t xml:space="preserve">Spain’s electoral system has been studied from various angles, including the effects of district magnitude on proportionality, the relationship between electoral rules and party system fragmentation, and the strategic behavior of parties under the D’Hondt method. However, to the best of my knowledge, no prior study has applied the RDD framework with the Luechinger, Schelker, and Schmid (2024) closeness measure to estimate the incumbency advantage in Spanish congressional elections. This thesis fills that gap.</w:t>
      </w:r>
    </w:p>
    <w:p>
      <w:pPr>
        <w:spacing w:after="200" w:line="360"/>
        <w:jc w:val="both"/>
      </w:pPr>
      <w:r>
        <w:rPr>
          <w:rFonts w:ascii="Arial" w:cs="Arial" w:eastAsia="Arial" w:hAnsi="Arial"/>
          <w:sz w:val="24"/>
          <w:szCs w:val="24"/>
        </w:rPr>
        <w:t xml:space="preserve">Spain is a particularly interesting case for several reasons. First, the 50 PR provinces vary substantially in district magnitude, from small provinces electing two or three members to large multi-member districts such as Madrid and Barcelona, providing variation in the competitiveness and proportionality of seat allocation. Second, Spain uses a closed-list system where voters cannot express preferences for individual candidates, meaning that any incumbency effect operates primarily through the party rather than individual candidate channels. Third, the Spanish party system has undergone significant transformation during the period studied (2004–2023), including the rise of new parties such as Podemos and Ciudadanos, providing a dynamic political context.</w:t>
      </w:r>
    </w:p>
    <w:p>
      <w:pPr>
        <w:pStyle w:val="Heading2"/>
        <w:spacing w:after="180" w:before="360"/>
      </w:pPr>
      <w:r>
        <w:rPr>
          <w:rFonts w:ascii="Arial" w:cs="Arial" w:eastAsia="Arial" w:hAnsi="Arial"/>
          <w:b/>
          <w:bCs/>
          <w:sz w:val="28"/>
          <w:szCs w:val="28"/>
        </w:rPr>
        <w:t xml:space="preserve">2.4 Hypotheses</w:t>
      </w:r>
    </w:p>
    <w:p>
      <w:pPr>
        <w:spacing w:after="200" w:line="360"/>
        <w:jc w:val="both"/>
      </w:pPr>
      <w:r>
        <w:rPr>
          <w:rFonts w:ascii="Arial" w:cs="Arial" w:eastAsia="Arial" w:hAnsi="Arial"/>
          <w:sz w:val="24"/>
          <w:szCs w:val="24"/>
        </w:rPr>
        <w:t xml:space="preserve">Drawing on the theoretical and empirical literature reviewed above, this thesis tests the following hypotheses. Each is grounded in established theoretical mechanisms from the incumbency advantage literature.</w:t>
      </w:r>
    </w:p>
    <w:p>
      <w:pPr>
        <w:spacing w:after="200" w:line="360"/>
        <w:jc w:val="both"/>
      </w:pPr>
      <w:r>
        <w:rPr>
          <w:rFonts w:ascii="Arial" w:cs="Arial" w:eastAsia="Arial" w:hAnsi="Arial"/>
          <w:b/>
          <w:bCs/>
          <w:sz w:val="24"/>
          <w:szCs w:val="24"/>
        </w:rPr>
        <w:t xml:space="preserve">H1 (Extensive margin): </w:t>
      </w:r>
      <w:r>
        <w:rPr>
          <w:rFonts w:ascii="Arial" w:cs="Arial" w:eastAsia="Arial" w:hAnsi="Arial"/>
          <w:sz w:val="24"/>
          <w:szCs w:val="24"/>
        </w:rPr>
        <w:t xml:space="preserve">Candidates whose party barely wins a marginal seat are more likely to reappear on the party list in the subsequent election.</w:t>
      </w:r>
    </w:p>
    <w:p>
      <w:pPr>
        <w:spacing w:after="200" w:line="360"/>
        <w:jc w:val="both"/>
      </w:pPr>
      <w:r>
        <w:rPr>
          <w:rFonts w:ascii="Arial" w:cs="Arial" w:eastAsia="Arial" w:hAnsi="Arial"/>
          <w:sz w:val="24"/>
          <w:szCs w:val="24"/>
        </w:rPr>
        <w:t xml:space="preserve">The theoretical basis for this hypothesis draws on two established mechanisms. First, the “scare-off” or deterrence effect (Cox and Katz, 1996; Ansolabehere and Snyder, 2002): parties that hold a seat may deter competitors and signal viability, encouraging their own candidates to stand again while discouraging exit. Second, the resource channel: winning representation provides access to parliamentary budgets, staff, and media platforms (Erikson, 1971), reducing the fixed costs of contesting the next election. In PR systems with closed lists, these resources accrue primarily to the party organization rather than individual candidates, but they still shape the party’s decision to field candidates in a given province. Empirically, Luechinger, Schelker, and Schmid (2024) find a large extensive-margin effect in Swiss PR elections, suggesting that this channel is operative beyond majoritarian settings.</w:t>
      </w:r>
    </w:p>
    <w:p>
      <w:pPr>
        <w:spacing w:after="200" w:line="360"/>
        <w:jc w:val="both"/>
      </w:pPr>
      <w:r>
        <w:rPr>
          <w:rFonts w:ascii="Arial" w:cs="Arial" w:eastAsia="Arial" w:hAnsi="Arial"/>
          <w:b/>
          <w:bCs/>
          <w:sz w:val="24"/>
          <w:szCs w:val="24"/>
        </w:rPr>
        <w:t xml:space="preserve">H2 (Intensive margin): </w:t>
      </w:r>
      <w:r>
        <w:rPr>
          <w:rFonts w:ascii="Arial" w:cs="Arial" w:eastAsia="Arial" w:hAnsi="Arial"/>
          <w:sz w:val="24"/>
          <w:szCs w:val="24"/>
        </w:rPr>
        <w:t xml:space="preserve">Candidates whose party barely wins a marginal seat are more likely to win a seat in the subsequent election.</w:t>
      </w:r>
    </w:p>
    <w:p>
      <w:pPr>
        <w:spacing w:after="200" w:line="360"/>
        <w:jc w:val="both"/>
      </w:pPr>
      <w:r>
        <w:rPr>
          <w:rFonts w:ascii="Arial" w:cs="Arial" w:eastAsia="Arial" w:hAnsi="Arial"/>
          <w:sz w:val="24"/>
          <w:szCs w:val="24"/>
        </w:rPr>
        <w:t xml:space="preserve">Beyond simply running again, the incumbency advantage literature identifies several channels through which holding office improves subsequent electoral performance. Gelman and King (1990) formalize the “quality advantage”: incumbent parties benefit from demonstrated competence and policy delivery. Lee (2008) argues that close-election RDD captures the combined effect of all incumbency channels—name recognition, constituency service, media exposure, pork-barrel spending—without needing to decompose them individually. In a closed-list PR system, the intensive-margin effect should reflect party-level rather than candidate-level advantages: voters reward or punish the party’s record, and the D’Hondt mechanism translates aggregate vote gains into additional seats.</w:t>
      </w:r>
    </w:p>
    <w:p>
      <w:pPr>
        <w:spacing w:after="200" w:line="360"/>
        <w:jc w:val="both"/>
      </w:pPr>
      <w:r>
        <w:rPr>
          <w:rFonts w:ascii="Arial" w:cs="Arial" w:eastAsia="Arial" w:hAnsi="Arial"/>
          <w:b/>
          <w:bCs/>
          <w:sz w:val="24"/>
          <w:szCs w:val="24"/>
        </w:rPr>
        <w:t xml:space="preserve">H3 (List-position channel): </w:t>
      </w:r>
      <w:r>
        <w:rPr>
          <w:rFonts w:ascii="Arial" w:cs="Arial" w:eastAsia="Arial" w:hAnsi="Arial"/>
          <w:sz w:val="24"/>
          <w:szCs w:val="24"/>
        </w:rPr>
        <w:t xml:space="preserve">Candidates whose party barely wins a marginal seat receive more favorable (higher) list positions in subsequent elections.</w:t>
      </w:r>
    </w:p>
    <w:p>
      <w:pPr>
        <w:spacing w:after="200" w:line="360"/>
        <w:jc w:val="both"/>
      </w:pPr>
      <w:r>
        <w:rPr>
          <w:rFonts w:ascii="Arial" w:cs="Arial" w:eastAsia="Arial" w:hAnsi="Arial"/>
          <w:sz w:val="24"/>
          <w:szCs w:val="24"/>
        </w:rPr>
        <w:t xml:space="preserve">This hypothesis probes a mechanism specific to closed-list PR systems and draws on the selectorate theory of candidate selection (Hazan and Rahat, 2010). In closed-list systems, party gatekeepers—rather than voters—determine list rankings. Theoretical models of intra-party competition predict that parties reward candidates who have demonstrated electability and accumulated legislative experience with more prominent list positions (Galasso and Nannicini, 2011). If incumbency experience serves as a signal of candidate quality to party selectors, then marginal-seat winners should receive better list placements in the next election. This hypothesis is testable only among candidates who reappear on a party list, making it conditional on the extensive margin. The list-position channel has not been examined in previous RDD studies of incumbency under PR, making it a novel contribution of this thesis.</w:t>
      </w:r>
    </w:p>
    <w:p>
      <w:pPr>
        <w:spacing w:after="200" w:line="360"/>
        <w:jc w:val="both"/>
      </w:pPr>
      <w:r>
        <w:rPr>
          <w:rFonts w:ascii="Arial" w:cs="Arial" w:eastAsia="Arial" w:hAnsi="Arial"/>
          <w:b/>
          <w:bCs/>
          <w:sz w:val="24"/>
          <w:szCs w:val="24"/>
        </w:rPr>
        <w:t xml:space="preserve">H4 (District magnitude heterogeneity): </w:t>
      </w:r>
      <w:r>
        <w:rPr>
          <w:rFonts w:ascii="Arial" w:cs="Arial" w:eastAsia="Arial" w:hAnsi="Arial"/>
          <w:sz w:val="24"/>
          <w:szCs w:val="24"/>
        </w:rPr>
        <w:t xml:space="preserve">The incumbency advantage varies with district magnitude, with stronger effects expected in low-magnitude districts.</w:t>
      </w:r>
    </w:p>
    <w:p>
      <w:pPr>
        <w:spacing w:after="200" w:line="360"/>
        <w:jc w:val="both"/>
      </w:pPr>
      <w:r>
        <w:rPr>
          <w:rFonts w:ascii="Arial" w:cs="Arial" w:eastAsia="Arial" w:hAnsi="Arial"/>
          <w:sz w:val="24"/>
          <w:szCs w:val="24"/>
        </w:rPr>
        <w:t xml:space="preserve">The theoretical prediction follows from the mechanical properties of proportional seat allocation. Taagepera and Shugart (1989) show that as district magnitude decreases, the effective threshold for winning a seat increases, making each seat more valuable and competition for the marginal seat more intense. In small-magnitude districts (2–4 seats), each seat represents a large share of the province’s representation, amplifying the organizational and visibility returns to holding office. Conversely, in large-magnitude districts (e.g., Madrid with 36–37 seats), the marginal seat represents a smaller share of total representation, potentially attenuating incumbency effects. Empirically, this heterogeneity test speaks to the external validity debate in the RDD literature: if effects are confined to a particular district type, the policy implications differ from a finding of broad, systemic incumbency advantages.</w:t>
      </w:r>
    </w:p>
    <w:p>
      <w:r>
        <w:br w:type="page"/>
      </w:r>
    </w:p>
    <w:p>
      <w:pPr>
        <w:pStyle w:val="Heading1"/>
        <w:spacing w:after="240" w:before="480"/>
      </w:pPr>
      <w:r>
        <w:rPr>
          <w:rFonts w:ascii="Arial" w:cs="Arial" w:eastAsia="Arial" w:hAnsi="Arial"/>
          <w:b/>
          <w:bCs/>
          <w:sz w:val="32"/>
          <w:szCs w:val="32"/>
        </w:rPr>
        <w:t xml:space="preserve">3. Institutional Background</w:t>
      </w:r>
    </w:p>
    <w:p>
      <w:pPr>
        <w:pStyle w:val="Heading2"/>
        <w:spacing w:after="180" w:before="360"/>
      </w:pPr>
      <w:r>
        <w:rPr>
          <w:rFonts w:ascii="Arial" w:cs="Arial" w:eastAsia="Arial" w:hAnsi="Arial"/>
          <w:b/>
          <w:bCs/>
          <w:sz w:val="28"/>
          <w:szCs w:val="28"/>
        </w:rPr>
        <w:t xml:space="preserve">3.1 The Spanish Congress of Deputies</w:t>
      </w:r>
    </w:p>
    <w:p>
      <w:pPr>
        <w:spacing w:after="200" w:line="360"/>
        <w:jc w:val="both"/>
      </w:pPr>
      <w:r>
        <w:rPr>
          <w:rFonts w:ascii="Arial" w:cs="Arial" w:eastAsia="Arial" w:hAnsi="Arial"/>
          <w:sz w:val="24"/>
          <w:szCs w:val="24"/>
        </w:rPr>
        <w:t xml:space="preserve">The Congreso de los Diputados (Congress of Deputies) is the lower house of Spain’s bicameral legislature, the Cortes Generales. It consists of 350 members. Of these, 348 are elected from 50 multi-member provincial constituencies using a closed-list proportional representation system with the D’Hondt method. The remaining two members represent the autonomous cities of Ceuta and Melilla, each elected in a single-member district by plurality vote. Elections are held at least every four years, though early elections can be called by the Prime Minister or triggered by political circumstances.</w:t>
      </w:r>
    </w:p>
    <w:p>
      <w:pPr>
        <w:spacing w:after="200" w:line="360"/>
        <w:jc w:val="both"/>
      </w:pPr>
      <w:r>
        <w:rPr>
          <w:rFonts w:ascii="Arial" w:cs="Arial" w:eastAsia="Arial" w:hAnsi="Arial"/>
          <w:sz w:val="24"/>
          <w:szCs w:val="24"/>
        </w:rPr>
        <w:t xml:space="preserve">Each of the 50 provinces is allocated a minimum of two seats, with the remaining seats distributed among provinces in proportion to their population. Ceuta and Melilla each receive one seat. This allocation results in significant variation in district magnitude: from the single-member districts of Ceuta and Melilla to Madrid, which elects the most representatives (typically 36–37). The average district magnitude across the 50 PR provinces is approximately 7.0 seats.</w:t>
      </w:r>
    </w:p>
    <w:p>
      <w:pPr>
        <w:pStyle w:val="Heading2"/>
        <w:spacing w:after="180" w:before="360"/>
      </w:pPr>
      <w:r>
        <w:rPr>
          <w:rFonts w:ascii="Arial" w:cs="Arial" w:eastAsia="Arial" w:hAnsi="Arial"/>
          <w:b/>
          <w:bCs/>
          <w:sz w:val="28"/>
          <w:szCs w:val="28"/>
        </w:rPr>
        <w:t xml:space="preserve">3.2 The D’Hondt Method</w:t>
      </w:r>
    </w:p>
    <w:p>
      <w:pPr>
        <w:spacing w:after="200" w:line="360"/>
        <w:jc w:val="both"/>
      </w:pPr>
      <w:r>
        <w:rPr>
          <w:rFonts w:ascii="Arial" w:cs="Arial" w:eastAsia="Arial" w:hAnsi="Arial"/>
          <w:sz w:val="24"/>
          <w:szCs w:val="24"/>
        </w:rPr>
        <w:t xml:space="preserve">Within each of the 50 multi-member provinces, seats are allocated to parties using the D’Hondt method (also known as the Jefferson method), a highest-averages method of proportional representation. Parties that receive at least 3% of valid votes in a province are eligible for seat allocation. However, this legal threshold is only binding in the largest constituencies such as Madrid and Barcelona; in smaller provinces with few seats, the effective threshold for winning a seat is substantially higher due to the mechanical properties of the allocation formula. The method works by iteratively dividing each party’s total vote count by successive integers (1, 2, 3, ...) and allocating seats to the highest quotients until all seats in the province are filled.</w:t>
      </w:r>
    </w:p>
    <w:p>
      <w:pPr>
        <w:spacing w:after="200" w:line="360"/>
        <w:jc w:val="both"/>
      </w:pPr>
      <w:r>
        <w:rPr>
          <w:rFonts w:ascii="Arial" w:cs="Arial" w:eastAsia="Arial" w:hAnsi="Arial"/>
          <w:sz w:val="24"/>
          <w:szCs w:val="24"/>
        </w:rPr>
        <w:t xml:space="preserve">The D’Hondt method tends to slightly favor larger parties compared to other proportional methods, and this tendency is amplified in small-magnitude districts. This feature of Spain’s electoral system has been widely discussed in the literature as contributing to the country’s historically two-party-dominant system, although the emergence of new parties in the 2010s partially altered this dynamic.</w:t>
      </w:r>
    </w:p>
    <w:p>
      <w:pPr>
        <w:pStyle w:val="Heading2"/>
        <w:spacing w:after="180" w:before="360"/>
      </w:pPr>
      <w:r>
        <w:rPr>
          <w:rFonts w:ascii="Arial" w:cs="Arial" w:eastAsia="Arial" w:hAnsi="Arial"/>
          <w:b/>
          <w:bCs/>
          <w:sz w:val="28"/>
          <w:szCs w:val="28"/>
        </w:rPr>
        <w:t xml:space="preserve">3.3 Implications for Identification</w:t>
      </w:r>
    </w:p>
    <w:p>
      <w:pPr>
        <w:spacing w:after="200" w:line="360"/>
        <w:jc w:val="both"/>
      </w:pPr>
      <w:r>
        <w:rPr>
          <w:rFonts w:ascii="Arial" w:cs="Arial" w:eastAsia="Arial" w:hAnsi="Arial"/>
          <w:sz w:val="24"/>
          <w:szCs w:val="24"/>
        </w:rPr>
        <w:t xml:space="preserve">The D’Hondt allocation mechanism is central to the identification strategy employed in this thesis. At the margin of seat allocation, small differences in vote shares can determine whether a party wins or loses a seat. A party that barely passes the threshold for a marginal seat under D’Hondt is, in expectation, similar to a party that barely fails to reach this threshold. This quasi-random assignment around the marginal seat threshold provides the basis for the regression discontinuity design.</w:t>
      </w:r>
    </w:p>
    <w:p>
      <w:pPr>
        <w:spacing w:after="200" w:line="360"/>
        <w:jc w:val="both"/>
      </w:pPr>
      <w:r>
        <w:rPr>
          <w:rFonts w:ascii="Arial" w:cs="Arial" w:eastAsia="Arial" w:hAnsi="Arial"/>
          <w:sz w:val="24"/>
          <w:szCs w:val="24"/>
        </w:rPr>
        <w:t xml:space="preserve">Several features of the Spanish system make it well-suited for this analysis. First, parties cannot precisely control their vote totals, especially in close races, meaning that assignment near the cutoff approximates random assignment. Second, the large number of province-election observations across multiple elections provides sufficient statistical power. Third, the closed-list system means that individual candidate characteristics are less likely to confound the incumbency effects being estimated, as the running variable is determined by the party’s aggregate performance rather than individual candidate attributes. The analysis is restricted to the 50 multi-member PR provinces; the single-member plurality districts of Ceuta and Melilla are excluded because the D’Hondt closeness measure is not applicable to plurality elections.</w:t>
      </w:r>
    </w:p>
    <w:p>
      <w:r>
        <w:br w:type="page"/>
      </w:r>
    </w:p>
    <w:p>
      <w:pPr>
        <w:pStyle w:val="Heading1"/>
        <w:spacing w:after="240" w:before="480"/>
      </w:pPr>
      <w:r>
        <w:rPr>
          <w:rFonts w:ascii="Arial" w:cs="Arial" w:eastAsia="Arial" w:hAnsi="Arial"/>
          <w:b/>
          <w:bCs/>
          <w:sz w:val="32"/>
          <w:szCs w:val="32"/>
        </w:rPr>
        <w:t xml:space="preserve">4. Methodology</w:t>
      </w:r>
    </w:p>
    <w:p>
      <w:pPr>
        <w:pStyle w:val="Heading2"/>
        <w:spacing w:after="180" w:before="360"/>
      </w:pPr>
      <w:r>
        <w:rPr>
          <w:rFonts w:ascii="Arial" w:cs="Arial" w:eastAsia="Arial" w:hAnsi="Arial"/>
          <w:b/>
          <w:bCs/>
          <w:sz w:val="28"/>
          <w:szCs w:val="28"/>
        </w:rPr>
        <w:t xml:space="preserve">4.1 Regression Discontinuity Design</w:t>
      </w:r>
    </w:p>
    <w:p>
      <w:pPr>
        <w:spacing w:after="200" w:line="360"/>
        <w:jc w:val="both"/>
      </w:pPr>
      <w:r>
        <w:rPr>
          <w:rFonts w:ascii="Arial" w:cs="Arial" w:eastAsia="Arial" w:hAnsi="Arial"/>
          <w:sz w:val="24"/>
          <w:szCs w:val="24"/>
        </w:rPr>
        <w:t xml:space="preserve">The regression discontinuity design (RDD) exploits discontinuities in treatment assignment that arise when a treatment is determined by whether an observed variable—the running variable—crosses a known threshold. In the sharp RDD, treatment status is a deterministic function of the running variable: units above the cutoff receive treatment, while those below do not. The fuzzy RDD relaxes this assumption, allowing treatment to be a probabilistic function of crossing the threshold.</w:t>
      </w:r>
    </w:p>
    <w:p>
      <w:pPr>
        <w:spacing w:after="200" w:line="360"/>
        <w:jc w:val="both"/>
      </w:pPr>
      <w:r>
        <w:rPr>
          <w:rFonts w:ascii="Arial" w:cs="Arial" w:eastAsia="Arial" w:hAnsi="Arial"/>
          <w:sz w:val="24"/>
          <w:szCs w:val="24"/>
        </w:rPr>
        <w:t xml:space="preserve">The key identifying assumption of the RDD is that the conditional expectation of potential outcomes is continuous at the cutoff (Hahn, Todd, and Van der Klaauw, 2001). Under this assumption, any discontinuity in the observed outcome at the cutoff can be attributed to the causal effect of treatment. The local average treatment effect (LATE) is identified by comparing outcomes of units just above and just below the cutoff, within an appropriately chosen bandwidth. Angrist and Pischke (2015, Chapter 4) provide an accessible treatment of the RDD framework and its relationship to instrumental variables estimation, and Imbens and Lemieux (2008) offer practical guidance on implementation choices including bandwidth selection, kernel weighting, and specification testing.</w:t>
      </w:r>
    </w:p>
    <w:p>
      <w:pPr>
        <w:pStyle w:val="Heading2"/>
        <w:spacing w:after="180" w:before="360"/>
      </w:pPr>
      <w:r>
        <w:rPr>
          <w:rFonts w:ascii="Arial" w:cs="Arial" w:eastAsia="Arial" w:hAnsi="Arial"/>
          <w:b/>
          <w:bCs/>
          <w:sz w:val="28"/>
          <w:szCs w:val="28"/>
        </w:rPr>
        <w:t xml:space="preserve">4.2 Closeness Measure for PR Systems</w:t>
      </w:r>
    </w:p>
    <w:p>
      <w:pPr>
        <w:spacing w:after="200" w:line="360"/>
        <w:jc w:val="both"/>
      </w:pPr>
      <w:r>
        <w:rPr>
          <w:rFonts w:ascii="Arial" w:cs="Arial" w:eastAsia="Arial" w:hAnsi="Arial"/>
          <w:sz w:val="24"/>
          <w:szCs w:val="24"/>
        </w:rPr>
        <w:t xml:space="preserve">In majoritarian systems, the running variable for an incumbency RDD is simply the vote margin between the winner and the runner-up. In proportional representation systems with D’Hondt allocation, defining closeness requires a more sophisticated approach.</w:t>
      </w:r>
    </w:p>
    <w:p>
      <w:pPr>
        <w:spacing w:after="200" w:line="360"/>
        <w:jc w:val="both"/>
      </w:pPr>
      <w:r>
        <w:rPr>
          <w:rFonts w:ascii="Arial" w:cs="Arial" w:eastAsia="Arial" w:hAnsi="Arial"/>
          <w:sz w:val="24"/>
          <w:szCs w:val="24"/>
        </w:rPr>
        <w:t xml:space="preserve">Following Luechinger, Schelker, and Schmid (2024), I define the running variable as the minimal vote change needed for a party to gain or lose one additional seat in a given province, normalized by the number of eligible voters. Specifically, for each party-province-election observation, I compute the minimum number of votes that would need to be added (if the party barely lost a seat) or subtracted (if the party barely won a seat) to change the D’Hondt allocation by exactly one seat. This vote margin is then divided by the number of eligible voters in the province to produce a standardized measure that is comparable across provinces of different sizes.</w:t>
      </w:r>
    </w:p>
    <w:p>
      <w:pPr>
        <w:spacing w:after="200" w:line="360"/>
        <w:jc w:val="both"/>
      </w:pPr>
      <w:r>
        <w:rPr>
          <w:rFonts w:ascii="Arial" w:cs="Arial" w:eastAsia="Arial" w:hAnsi="Arial"/>
          <w:sz w:val="24"/>
          <w:szCs w:val="24"/>
        </w:rPr>
        <w:t xml:space="preserve">The resulting running variable takes positive values for parties that won the marginal seat and negative values for parties that lost it. The cutoff is at zero, and the treatment indicator equals one for observations with a non-negative running variable (i.e., parties that won the marginal seat).</w:t>
      </w:r>
    </w:p>
    <w:p>
      <w:pPr>
        <w:pStyle w:val="Heading2"/>
        <w:spacing w:after="180" w:before="360"/>
      </w:pPr>
      <w:r>
        <w:rPr>
          <w:rFonts w:ascii="Arial" w:cs="Arial" w:eastAsia="Arial" w:hAnsi="Arial"/>
          <w:b/>
          <w:bCs/>
          <w:sz w:val="28"/>
          <w:szCs w:val="28"/>
        </w:rPr>
        <w:t xml:space="preserve">4.3 Estimation</w:t>
      </w:r>
    </w:p>
    <w:p>
      <w:pPr>
        <w:spacing w:after="200" w:line="360"/>
        <w:jc w:val="both"/>
      </w:pPr>
      <w:r>
        <w:rPr>
          <w:rFonts w:ascii="Arial" w:cs="Arial" w:eastAsia="Arial" w:hAnsi="Arial"/>
          <w:sz w:val="24"/>
          <w:szCs w:val="24"/>
        </w:rPr>
        <w:t xml:space="preserve">I estimate the incumbency effect using local linear regression within a bandwidth around the cutoff. The estimating equation for the sharp RDD is:</w:t>
      </w:r>
    </w:p>
    <w:p>
      <w:pPr>
        <w:spacing w:after="200" w:line="360"/>
        <w:jc w:val="center"/>
      </w:pPr>
      <w:r>
        <w:rPr>
          <w:rFonts w:ascii="Arial" w:cs="Arial" w:eastAsia="Arial" w:hAnsi="Arial"/>
          <w:i/>
          <w:iCs/>
          <w:sz w:val="24"/>
          <w:szCs w:val="24"/>
        </w:rPr>
        <w:t xml:space="preserve">Yᵢ = α + βXᵢ + τTᵢ + γ(Tᵢ × Xᵢ) + εᵢ</w:t>
      </w:r>
    </w:p>
    <w:p>
      <w:pPr>
        <w:spacing w:after="200" w:line="360"/>
        <w:jc w:val="both"/>
      </w:pPr>
      <w:r>
        <w:rPr>
          <w:rFonts w:ascii="Arial" w:cs="Arial" w:eastAsia="Arial" w:hAnsi="Arial"/>
          <w:sz w:val="24"/>
          <w:szCs w:val="24"/>
        </w:rPr>
        <w:t xml:space="preserve">where Yᵢ is the outcome of interest, Xᵢ is the running variable (normalized vote margin), Tᵢ = 1(Xᵢ ≥ 0) is the treatment indicator, and Tᵢ × Xᵢ allows the slope to differ on each side of the cutoff. The parameter τ captures the local average treatment effect (LATE) of incumbency at the cutoff—formally, the causal effect of a party’s winning the marginal seat on the candidate’s subsequent electoral outcomes, identified among observations arbitrarily close to the D’Hondt allocation threshold. Under the continuity assumption (Hahn, Todd, and Van der Klaauw, 2001), this parameter is identified as the limit of the conditional expectation of Y from the right minus the left of the cutoff: τ = lim(x↓0⁺) E[Y|X=x] − lim(x↓0⁻) E[Y|X=x].</w:t>
      </w:r>
    </w:p>
    <w:p>
      <w:pPr>
        <w:spacing w:after="200" w:line="360"/>
        <w:jc w:val="both"/>
      </w:pPr>
      <w:r>
        <w:rPr>
          <w:rFonts w:ascii="Arial" w:cs="Arial" w:eastAsia="Arial" w:hAnsi="Arial"/>
          <w:sz w:val="24"/>
          <w:szCs w:val="24"/>
        </w:rPr>
        <w:t xml:space="preserve">I use a triangular kernel to weight observations inversely proportional to their distance from the cutoff. The triangular kernel is the minimax-optimal choice for local linear regression in the RDD setting, as it minimizes the maximum asymptotic mean squared error (Cheng, Fan, and Marron, 1997; as discussed in Imbens and Kalyanaraman, 2012). Three primary outcomes are considered: (i) whether the candidate reappears on a party list in the subsequent election (runs next), (ii) whether the candidate wins a seat in the subsequent election (wins next), and (iii) the candidate’s list position in the subsequent election (list position next), which is observed only for candidates who do reappear and is therefore conditional on the extensive margin. Candidates are tracked across elections using a person-identifier linkage algorithm that combines exact name matching with fuzzy similarity and LinkTransformer embeddings.</w:t>
      </w:r>
    </w:p>
    <w:p>
      <w:pPr>
        <w:spacing w:after="200" w:line="360"/>
        <w:jc w:val="both"/>
      </w:pPr>
      <w:r>
        <w:rPr>
          <w:rFonts w:ascii="Arial" w:cs="Arial" w:eastAsia="Arial" w:hAnsi="Arial"/>
          <w:sz w:val="24"/>
          <w:szCs w:val="24"/>
        </w:rPr>
        <w:t xml:space="preserve">Standard errors are clustered at the province-election level to account for within-group correlation. I report inference based on the t-distribution with G − 1 degrees of freedom, where G is the number of clusters, which is the standard finite-cluster correction (see Cameron, Gelbach, and Miller, 2008, for a discussion of clustered inference). This is conservative relative to normal approximation and appropriate given the finite number of clusters.</w:t>
      </w:r>
    </w:p>
    <w:p>
      <w:pPr>
        <w:spacing w:after="200" w:line="360"/>
        <w:jc w:val="both"/>
      </w:pPr>
      <w:r>
        <w:rPr>
          <w:rFonts w:ascii="Arial" w:cs="Arial" w:eastAsia="Arial" w:hAnsi="Arial"/>
          <w:sz w:val="24"/>
          <w:szCs w:val="24"/>
        </w:rPr>
        <w:t xml:space="preserve">The primary bandwidth is set at 0.05 (i.e., parties within 5 percentage points of the D’Hondt cutoff), which serves as the workhorse specification throughout the analysis. As a complement, I report results using the data-driven bandwidth selector of Calonico, Cattaneo, and Titiunik (2014), which minimizes the asymptotic mean squared error of the local polynomial estimator while accounting for bias correction. I present robustness to a range of alternative bandwidths (0.025 to 0.10) in the sensitivity analysis.</w:t>
      </w:r>
    </w:p>
    <w:p>
      <w:pPr>
        <w:spacing w:after="200" w:line="360"/>
        <w:jc w:val="both"/>
      </w:pPr>
      <w:r>
        <w:rPr>
          <w:rFonts w:ascii="Arial" w:cs="Arial" w:eastAsia="Arial" w:hAnsi="Arial"/>
          <w:sz w:val="24"/>
          <w:szCs w:val="24"/>
        </w:rPr>
        <w:t xml:space="preserve">The estimation is implemented in Python. The closeness measure and D’Hondt allocation algorithm are computed with custom code. For bandwidth selection and bias-corrected inference, I use the rdrobust package (Calonico, Cattaneo, and Titiunik, 2014), which provides robust confidence intervals that account for the bias inherent in local polynomial estimation near boundaries. All tables and figures are generated programmatically to ensure reproducibility.</w:t>
      </w:r>
    </w:p>
    <w:p>
      <w:pPr>
        <w:pStyle w:val="Heading2"/>
        <w:spacing w:after="180" w:before="360"/>
      </w:pPr>
      <w:r>
        <w:rPr>
          <w:rFonts w:ascii="Arial" w:cs="Arial" w:eastAsia="Arial" w:hAnsi="Arial"/>
          <w:b/>
          <w:bCs/>
          <w:sz w:val="28"/>
          <w:szCs w:val="28"/>
        </w:rPr>
        <w:t xml:space="preserve">4.4 Fuzzy RDD</w:t>
      </w:r>
    </w:p>
    <w:p>
      <w:pPr>
        <w:spacing w:after="200" w:line="360"/>
        <w:jc w:val="both"/>
      </w:pPr>
      <w:r>
        <w:rPr>
          <w:rFonts w:ascii="Arial" w:cs="Arial" w:eastAsia="Arial" w:hAnsi="Arial"/>
          <w:sz w:val="24"/>
          <w:szCs w:val="24"/>
        </w:rPr>
        <w:t xml:space="preserve">While the sharp RDD treats the running variable as perfectly determining treatment (incumbency), in practice the relationship may be imperfect. The fuzzy RDD addresses this by using the running variable as an instrument for actual incumbency status. The Wald (LATE) estimator divides the reduced-form discontinuity in outcomes by the first-stage discontinuity in treatment:</w:t>
      </w:r>
    </w:p>
    <w:p>
      <w:pPr>
        <w:spacing w:after="200" w:line="360"/>
        <w:jc w:val="center"/>
      </w:pPr>
      <w:r>
        <w:rPr>
          <w:rFonts w:ascii="Arial" w:cs="Arial" w:eastAsia="Arial" w:hAnsi="Arial"/>
          <w:i/>
          <w:iCs/>
          <w:sz w:val="24"/>
          <w:szCs w:val="24"/>
        </w:rPr>
        <w:t xml:space="preserve">τᶠᵘᶻᶻʸ = τʳᵉᵈᵘᶜᵉᵈᶠᵒʳᵐ / τᶠᵢʳˢᵗˢᵗᵃᵍᵉ</w:t>
      </w:r>
    </w:p>
    <w:p>
      <w:pPr>
        <w:spacing w:after="200" w:line="360"/>
        <w:jc w:val="both"/>
      </w:pPr>
      <w:r>
        <w:rPr>
          <w:rFonts w:ascii="Arial" w:cs="Arial" w:eastAsia="Arial" w:hAnsi="Arial"/>
          <w:sz w:val="24"/>
          <w:szCs w:val="24"/>
        </w:rPr>
        <w:t xml:space="preserve">In the present context, the first-stage relationship is near-perfect (τ ≈ 0.98), meaning that crossing the cutoff almost perfectly predicts actual incumbency status. As a result, the sharp and fuzzy estimates are nearly identical, and the first-stage F-statistic far exceeds the Stock and Yogo (2005) threshold of 10, ruling out weak instrument concerns.</w:t>
      </w:r>
    </w:p>
    <w:p>
      <w:pPr>
        <w:pStyle w:val="Heading2"/>
        <w:spacing w:after="180" w:before="360"/>
      </w:pPr>
      <w:r>
        <w:rPr>
          <w:rFonts w:ascii="Arial" w:cs="Arial" w:eastAsia="Arial" w:hAnsi="Arial"/>
          <w:b/>
          <w:bCs/>
          <w:sz w:val="28"/>
          <w:szCs w:val="28"/>
        </w:rPr>
        <w:t xml:space="preserve">4.5 Validity Tests</w:t>
      </w:r>
    </w:p>
    <w:p>
      <w:pPr>
        <w:spacing w:after="200" w:line="360"/>
        <w:jc w:val="both"/>
      </w:pPr>
      <w:r>
        <w:rPr>
          <w:rFonts w:ascii="Arial" w:cs="Arial" w:eastAsia="Arial" w:hAnsi="Arial"/>
          <w:sz w:val="24"/>
          <w:szCs w:val="24"/>
        </w:rPr>
        <w:t xml:space="preserve">I implement several tests to assess the validity of the RDD design:</w:t>
      </w:r>
    </w:p>
    <w:p>
      <w:pPr>
        <w:spacing w:after="200" w:line="360"/>
        <w:jc w:val="both"/>
      </w:pPr>
      <w:r>
        <w:rPr>
          <w:rFonts w:ascii="Arial" w:cs="Arial" w:eastAsia="Arial" w:hAnsi="Arial"/>
          <w:b/>
          <w:bCs/>
          <w:sz w:val="24"/>
          <w:szCs w:val="24"/>
        </w:rPr>
        <w:t xml:space="preserve">McCrary Density Test: </w:t>
      </w:r>
      <w:r>
        <w:rPr>
          <w:rFonts w:ascii="Arial" w:cs="Arial" w:eastAsia="Arial" w:hAnsi="Arial"/>
          <w:sz w:val="24"/>
          <w:szCs w:val="24"/>
        </w:rPr>
        <w:t xml:space="preserve">I test for manipulation of the running variable by examining whether the density of observations exhibits a discontinuity at the cutoff, following McCrary (2008). If parties could precisely manipulate their vote totals to barely win marginal seats, we would expect a discontinuous jump in density at zero.</w:t>
      </w:r>
    </w:p>
    <w:p>
      <w:pPr>
        <w:spacing w:after="200" w:line="360"/>
        <w:jc w:val="both"/>
      </w:pPr>
      <w:r>
        <w:rPr>
          <w:rFonts w:ascii="Arial" w:cs="Arial" w:eastAsia="Arial" w:hAnsi="Arial"/>
          <w:b/>
          <w:bCs/>
          <w:sz w:val="24"/>
          <w:szCs w:val="24"/>
        </w:rPr>
        <w:t xml:space="preserve">Covariate Balance: </w:t>
      </w:r>
      <w:r>
        <w:rPr>
          <w:rFonts w:ascii="Arial" w:cs="Arial" w:eastAsia="Arial" w:hAnsi="Arial"/>
          <w:sz w:val="24"/>
          <w:szCs w:val="24"/>
        </w:rPr>
        <w:t xml:space="preserve">I test whether pre-determined covariates—including gender composition, list position, party votes, constituency size, and blank vote shares—are balanced around the cutoff. Significant discontinuities in these variables would suggest that assignment near the cutoff is not quasi-random.</w:t>
      </w:r>
    </w:p>
    <w:p>
      <w:pPr>
        <w:spacing w:after="200" w:line="360"/>
        <w:jc w:val="both"/>
      </w:pPr>
      <w:r>
        <w:rPr>
          <w:rFonts w:ascii="Arial" w:cs="Arial" w:eastAsia="Arial" w:hAnsi="Arial"/>
          <w:b/>
          <w:bCs/>
          <w:sz w:val="24"/>
          <w:szCs w:val="24"/>
        </w:rPr>
        <w:t xml:space="preserve">Placebo Cutoff Tests: </w:t>
      </w:r>
      <w:r>
        <w:rPr>
          <w:rFonts w:ascii="Arial" w:cs="Arial" w:eastAsia="Arial" w:hAnsi="Arial"/>
          <w:sz w:val="24"/>
          <w:szCs w:val="24"/>
        </w:rPr>
        <w:t xml:space="preserve">I estimate the RDD at placebo cutoffs (the median of each side of the distribution) where no treatment effect should exist. Finding significant effects at non-cutoff thresholds would undermine the credibility of the design.</w:t>
      </w:r>
    </w:p>
    <w:p>
      <w:r>
        <w:br w:type="page"/>
      </w:r>
    </w:p>
    <w:p>
      <w:pPr>
        <w:pStyle w:val="Heading1"/>
        <w:spacing w:after="240" w:before="480"/>
      </w:pPr>
      <w:r>
        <w:rPr>
          <w:rFonts w:ascii="Arial" w:cs="Arial" w:eastAsia="Arial" w:hAnsi="Arial"/>
          <w:b/>
          <w:bCs/>
          <w:sz w:val="32"/>
          <w:szCs w:val="32"/>
        </w:rPr>
        <w:t xml:space="preserve">5. Data</w:t>
      </w:r>
    </w:p>
    <w:p>
      <w:pPr>
        <w:pStyle w:val="Heading2"/>
        <w:spacing w:after="180" w:before="360"/>
      </w:pPr>
      <w:r>
        <w:rPr>
          <w:rFonts w:ascii="Arial" w:cs="Arial" w:eastAsia="Arial" w:hAnsi="Arial"/>
          <w:b/>
          <w:bCs/>
          <w:sz w:val="28"/>
          <w:szCs w:val="28"/>
        </w:rPr>
        <w:t xml:space="preserve">5.1 Data Sources</w:t>
      </w:r>
    </w:p>
    <w:p>
      <w:pPr>
        <w:spacing w:after="200" w:line="360"/>
        <w:jc w:val="both"/>
      </w:pPr>
      <w:r>
        <w:rPr>
          <w:rFonts w:ascii="Arial" w:cs="Arial" w:eastAsia="Arial" w:hAnsi="Arial"/>
          <w:sz w:val="24"/>
          <w:szCs w:val="24"/>
        </w:rPr>
        <w:t xml:space="preserve">The analysis draws on comprehensive data from Spanish congressional elections held between 2004 and 2023, covering eight general elections (2004, 2008, 2011, 2015, 2016, 2019 April, 2019 November, and 2023). The analysis is restricted to the 50 multi-member provinces where the D’Hondt method applies, excluding the single-member plurality districts of Ceuta and Melilla. The primary data sources include official election results from Spain’s Electoral Board (Junta Electoral Central), providing detailed vote counts by party, province, and election. Candidate-level data, including names, party affiliations, and list positions, are obtained from official candidate lists.</w:t>
      </w:r>
    </w:p>
    <w:p>
      <w:pPr>
        <w:spacing w:after="200" w:line="360"/>
        <w:jc w:val="both"/>
      </w:pPr>
      <w:r>
        <w:rPr>
          <w:rFonts w:ascii="Arial" w:cs="Arial" w:eastAsia="Arial" w:hAnsi="Arial"/>
          <w:sz w:val="24"/>
          <w:szCs w:val="24"/>
        </w:rPr>
        <w:t xml:space="preserve">The raw dataset covers approximately 35,000 candidate-election records across 8 elections, 50 PR provinces, and over 100 distinct party labels. After applying the D’Hondt allocation algorithm to compute the closeness measure for each party-province-election combination, the data are filtered to observations within the analysis bandwidth. The person-identifier linkage algorithm successfully matched candidates across consecutive election cycles with a high degree of accuracy; manual spot-checks of a random sample of 200 linked pairs confirmed a match accuracy exceeding 95%. Cases that could not be linked with confidence—due to common names, name changes, or incomplete records—were flagged and excluded from the linked sample rather than being assigned probabilistic matches, ensuring that measurement error in the outcome variables is minimized.</w:t>
      </w:r>
    </w:p>
    <w:p>
      <w:pPr>
        <w:spacing w:after="200" w:line="360"/>
        <w:jc w:val="both"/>
      </w:pPr>
      <w:r>
        <w:rPr>
          <w:rFonts w:ascii="Arial" w:cs="Arial" w:eastAsia="Arial" w:hAnsi="Arial"/>
          <w:sz w:val="24"/>
          <w:szCs w:val="24"/>
        </w:rPr>
        <w:t xml:space="preserve">The unit of analysis is the candidate-election, representing an individual candidate’s participation in a specific election. The running variable—the normalized vote margin for the marginal seat—is computed at the party-province level using the D’Hondt allocation algorithm as described in Chapter 4; all candidates on a given party list in a province share the same running variable value. Outcomes, however, are tracked at the individual candidate level using a person-identifier linkage algorithm that matches candidates across election cycles, enabling the analysis of personal reappearance, re-election, and list-position dynamics.</w:t>
      </w:r>
    </w:p>
    <w:p>
      <w:pPr>
        <w:pStyle w:val="Heading2"/>
        <w:spacing w:after="180" w:before="360"/>
      </w:pPr>
      <w:r>
        <w:rPr>
          <w:rFonts w:ascii="Arial" w:cs="Arial" w:eastAsia="Arial" w:hAnsi="Arial"/>
          <w:b/>
          <w:bCs/>
          <w:sz w:val="28"/>
          <w:szCs w:val="28"/>
        </w:rPr>
        <w:t xml:space="preserve">5.2 Sample Construction</w:t>
      </w:r>
    </w:p>
    <w:p>
      <w:pPr>
        <w:spacing w:after="200" w:line="360"/>
        <w:jc w:val="both"/>
      </w:pPr>
      <w:r>
        <w:rPr>
          <w:rFonts w:ascii="Arial" w:cs="Arial" w:eastAsia="Arial" w:hAnsi="Arial"/>
          <w:sz w:val="24"/>
          <w:szCs w:val="24"/>
        </w:rPr>
        <w:t xml:space="preserve">The full dataset comprises 2,412 candidate-election observations within the analysis window (running variable between −0.05 and +0.05). Because the outcome variables (runs next, wins next, list position next) require observing the candidate’s status in the subsequent election, candidates from the 2023 election—the most recent in the sample—cannot be included in the estimation sample: no post-2023 election has yet occurred to provide t+1 outcomes. The 2023 election data enter the analysis exclusively as the t+1 outcome election for candidates from the November 2019 cohort. After linking outcomes to the subsequent election via the person-identifier algorithm, the estimation sample for the “runs next” and “wins next” outcomes contains 2,118 observations spanning the 2004 through November 2019 election cohorts. The list-position outcome is available only for the subset of candidates who reappear on a party list in the subsequent election.</w:t>
      </w:r>
    </w:p>
    <w:p>
      <w:pPr>
        <w:pStyle w:val="Heading2"/>
        <w:spacing w:after="180" w:before="360"/>
      </w:pPr>
      <w:r>
        <w:rPr>
          <w:rFonts w:ascii="Arial" w:cs="Arial" w:eastAsia="Arial" w:hAnsi="Arial"/>
          <w:b/>
          <w:bCs/>
          <w:sz w:val="28"/>
          <w:szCs w:val="28"/>
        </w:rPr>
        <w:t xml:space="preserve">5.3 Summary Statistics</w:t>
      </w:r>
    </w:p>
    <w:p>
      <w:pPr>
        <w:spacing w:after="200" w:line="360"/>
        <w:jc w:val="both"/>
      </w:pPr>
      <w:r>
        <w:rPr>
          <w:rFonts w:ascii="Arial" w:cs="Arial" w:eastAsia="Arial" w:hAnsi="Arial"/>
          <w:sz w:val="24"/>
          <w:szCs w:val="24"/>
        </w:rPr>
        <w:t xml:space="preserve">Table 1 presents summary statistics for the key variables, disaggregated by treatment status (above vs. below the cutoff).</w:t>
      </w:r>
    </w:p>
    <w:p>
      <w:r>
        <w:rPr>
          <w:rFonts w:ascii="Arial" w:cs="Arial" w:eastAsia="Arial" w:hAnsi="Arial"/>
          <w:sz w:val="24"/>
          <w:szCs w:val="24"/>
        </w:rPr>
        <w:t xml:space="preserve"/>
      </w:r>
    </w:p>
    <w:p>
      <w:pPr>
        <w:spacing w:after="200" w:line="360"/>
        <w:jc w:val="center"/>
      </w:pPr>
      <w:r>
        <w:rPr>
          <w:rFonts w:ascii="Arial" w:cs="Arial" w:eastAsia="Arial" w:hAnsi="Arial"/>
          <w:b/>
          <w:bCs/>
          <w:sz w:val="22"/>
          <w:szCs w:val="22"/>
        </w:rPr>
        <w:t xml:space="preserve">Table 1: Summary Statistics by Treatment Status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100"/>
        <w:gridCol w:w="900"/>
        <w:gridCol w:w="900"/>
        <w:gridCol w:w="1100"/>
        <w:gridCol w:w="900"/>
      </w:tblGrid>
      <w:tr>
        <w:tc>
          <w:tcPr>
            <w:tcW w:type="dxa" w:w="18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Variable</w:t>
            </w:r>
          </w:p>
        </w:tc>
        <w:tc>
          <w:tcPr>
            <w:tcW w:type="dxa" w:w="9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N</w:t>
            </w:r>
          </w:p>
        </w:tc>
        <w:tc>
          <w:tcPr>
            <w:tcW w:type="dxa" w:w="11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Mean (All)</w:t>
            </w:r>
          </w:p>
        </w:tc>
        <w:tc>
          <w:tcPr>
            <w:tcW w:type="dxa" w:w="9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SD</w:t>
            </w:r>
          </w:p>
        </w:tc>
        <w:tc>
          <w:tcPr>
            <w:tcW w:type="dxa" w:w="9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Mean (L)</w:t>
            </w:r>
          </w:p>
        </w:tc>
        <w:tc>
          <w:tcPr>
            <w:tcW w:type="dxa" w:w="11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Mean (R)</w:t>
            </w:r>
          </w:p>
        </w:tc>
        <w:tc>
          <w:tcPr>
            <w:tcW w:type="dxa" w:w="9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Diff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Running var.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2,412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0.029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−0.030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Elected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2,412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0.477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0.004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0.994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0.990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2,118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0.408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0.492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0.310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0.597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0.287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2,118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0.379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0.402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0.346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Female share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1,879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0.404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0.491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0.413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0.387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−0.026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List position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2,412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2.492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2.458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2.335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2.783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0.448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Log party votes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2,412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10.577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2.019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9.937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11.767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1.830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Party seats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2,412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1.772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2.610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1.144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2.937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1.793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Blank vote %</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2,412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0.004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0.010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0.009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−0.000</w:t>
            </w:r>
          </w:p>
        </w:tc>
      </w:tr>
    </w:tbl>
    <w:p>
      <w:r>
        <w:rPr>
          <w:rFonts w:ascii="Arial" w:cs="Arial" w:eastAsia="Arial" w:hAnsi="Arial"/>
          <w:sz w:val="24"/>
          <w:szCs w:val="24"/>
        </w:rPr>
        <w:t xml:space="preserve"/>
      </w:r>
    </w:p>
    <w:p>
      <w:pPr>
        <w:spacing w:after="200" w:line="360"/>
        <w:jc w:val="both"/>
      </w:pPr>
      <w:r>
        <w:rPr>
          <w:rFonts w:ascii="Arial" w:cs="Arial" w:eastAsia="Arial" w:hAnsi="Arial"/>
          <w:i/>
          <w:iCs/>
          <w:sz w:val="20"/>
          <w:szCs w:val="20"/>
        </w:rPr>
        <w:t xml:space="preserve">Notes: </w:t>
      </w:r>
      <w:r>
        <w:rPr>
          <w:rFonts w:ascii="Arial" w:cs="Arial" w:eastAsia="Arial" w:hAnsi="Arial"/>
          <w:sz w:val="20"/>
          <w:szCs w:val="20"/>
        </w:rPr>
        <w:t xml:space="preserve">L = Below cutoff (lost marginal seat); R = Above cutoff (won marginal seat). Running variable is normalized by eligible voters. Bandwidth = 0.05. Diff = Mean(R) − Mean(L).</w:t>
      </w:r>
    </w:p>
    <w:p>
      <w:r>
        <w:rPr>
          <w:rFonts w:ascii="Arial" w:cs="Arial" w:eastAsia="Arial" w:hAnsi="Arial"/>
          <w:sz w:val="24"/>
          <w:szCs w:val="24"/>
        </w:rPr>
        <w:t xml:space="preserve"/>
      </w:r>
    </w:p>
    <w:p>
      <w:pPr>
        <w:spacing w:after="200" w:line="360"/>
        <w:jc w:val="both"/>
      </w:pPr>
      <w:r>
        <w:rPr>
          <w:rFonts w:ascii="Arial" w:cs="Arial" w:eastAsia="Arial" w:hAnsi="Arial"/>
          <w:sz w:val="24"/>
          <w:szCs w:val="24"/>
        </w:rPr>
        <w:t xml:space="preserve">The summary statistics reveal several expected patterns. Parties above the cutoff (treatment group) have nearly perfect election rates (99.4%), consistent with the marginal seat allocation. The raw difference in the probability of running in the next election (28.7 percentage points) and winning next (34.6 percentage points) already suggests a substantial incumbency effect, though these naive comparisons do not account for potential confounders. The covariate columns show that while some variables differ between groups (notably log party votes and party seats, which are mechanically related to winning), others such as blank vote share are well-balanced.</w:t>
      </w:r>
    </w:p>
    <w:p>
      <w:r>
        <w:br w:type="page"/>
      </w:r>
    </w:p>
    <w:p>
      <w:pPr>
        <w:pStyle w:val="Heading1"/>
        <w:spacing w:after="240" w:before="480"/>
      </w:pPr>
      <w:r>
        <w:rPr>
          <w:rFonts w:ascii="Arial" w:cs="Arial" w:eastAsia="Arial" w:hAnsi="Arial"/>
          <w:b/>
          <w:bCs/>
          <w:sz w:val="32"/>
          <w:szCs w:val="32"/>
        </w:rPr>
        <w:t xml:space="preserve">6. Results</w:t>
      </w:r>
    </w:p>
    <w:p>
      <w:pPr>
        <w:pStyle w:val="Heading2"/>
        <w:spacing w:after="180" w:before="360"/>
      </w:pPr>
      <w:r>
        <w:rPr>
          <w:rFonts w:ascii="Arial" w:cs="Arial" w:eastAsia="Arial" w:hAnsi="Arial"/>
          <w:b/>
          <w:bCs/>
          <w:sz w:val="28"/>
          <w:szCs w:val="28"/>
        </w:rPr>
        <w:t xml:space="preserve">6.1 Main Estimates</w:t>
      </w:r>
    </w:p>
    <w:p>
      <w:pPr>
        <w:spacing w:after="200" w:line="360"/>
        <w:jc w:val="both"/>
      </w:pPr>
      <w:r>
        <w:rPr>
          <w:rFonts w:ascii="Arial" w:cs="Arial" w:eastAsia="Arial" w:hAnsi="Arial"/>
          <w:sz w:val="24"/>
          <w:szCs w:val="24"/>
        </w:rPr>
        <w:t xml:space="preserve">Table 2 presents the main RDD estimates for both outcome variables under the sharp and fuzzy specifications. The bandwidth is selected by the robust bias-corrected optimal bandwidth selector of Calonico, Cattaneo, and Titiunik (2014), and standard errors are clustered at the province-election level with t-distribution inference.</w:t>
      </w:r>
    </w:p>
    <w:p>
      <w:r>
        <w:rPr>
          <w:rFonts w:ascii="Arial" w:cs="Arial" w:eastAsia="Arial" w:hAnsi="Arial"/>
          <w:sz w:val="24"/>
          <w:szCs w:val="24"/>
        </w:rPr>
        <w:t xml:space="preserve"/>
      </w:r>
    </w:p>
    <w:p>
      <w:pPr>
        <w:spacing w:after="200" w:line="360"/>
        <w:jc w:val="center"/>
      </w:pPr>
      <w:r>
        <w:rPr>
          <w:rFonts w:ascii="Arial" w:cs="Arial" w:eastAsia="Arial" w:hAnsi="Arial"/>
          <w:b/>
          <w:bCs/>
          <w:sz w:val="22"/>
          <w:szCs w:val="22"/>
        </w:rPr>
        <w:t xml:space="preserve">Table 2: Main RDD Estimates – Sharp and Fuzzy Specifications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200"/>
        <w:gridCol w:w="1200"/>
        <w:gridCol w:w="1200"/>
        <w:gridCol w:w="1200"/>
        <w:gridCol w:w="1200"/>
      </w:tblGrid>
      <w:tr>
        <w:tc>
          <w:tcPr>
            <w:tcW w:type="dxa" w:w="14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Outcome</w:t>
            </w:r>
          </w:p>
        </w:tc>
        <w:tc>
          <w:tcPr>
            <w:tcW w:type="dxa" w:w="11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BW</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Sharp τ</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Sharp SE</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Fuzzy τ</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Fuzzy SE</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1st Stage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0.278***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0.282***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0.985***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0.068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0.196***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(0.039)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0.981***</w:t>
            </w:r>
          </w:p>
        </w:tc>
      </w:tr>
    </w:tbl>
    <w:p>
      <w:r>
        <w:rPr>
          <w:rFonts w:ascii="Arial" w:cs="Arial" w:eastAsia="Arial" w:hAnsi="Arial"/>
          <w:sz w:val="24"/>
          <w:szCs w:val="24"/>
        </w:rPr>
        <w:t xml:space="preserve"/>
      </w:r>
    </w:p>
    <w:p>
      <w:pPr>
        <w:spacing w:after="200" w:line="360"/>
        <w:jc w:val="both"/>
      </w:pPr>
      <w:r>
        <w:rPr>
          <w:rFonts w:ascii="Arial" w:cs="Arial" w:eastAsia="Arial" w:hAnsi="Arial"/>
          <w:i/>
          <w:iCs/>
          <w:sz w:val="20"/>
          <w:szCs w:val="20"/>
        </w:rPr>
        <w:t xml:space="preserve">Notes: </w:t>
      </w:r>
      <w:r>
        <w:rPr>
          <w:rFonts w:ascii="Arial" w:cs="Arial" w:eastAsia="Arial" w:hAnsi="Arial"/>
          <w:sz w:val="20"/>
          <w:szCs w:val="20"/>
        </w:rPr>
        <w:t xml:space="preserve">Standard errors (province-election clustered) in parentheses. *** p&lt;0.001, ** p&lt;0.01, * p&lt;0.05. BW = CCT optimal bandwidth (Calonico, Cattaneo, and Titiunik, 2014). Sharp = intent-to-treat. Fuzzy = Wald/LATE estimator.</w:t>
      </w:r>
    </w:p>
    <w:p>
      <w:r>
        <w:rPr>
          <w:rFonts w:ascii="Arial" w:cs="Arial" w:eastAsia="Arial" w:hAnsi="Arial"/>
          <w:sz w:val="24"/>
          <w:szCs w:val="24"/>
        </w:rPr>
        <w:t xml:space="preserve"/>
      </w:r>
    </w:p>
    <w:p>
      <w:pPr>
        <w:spacing w:after="200" w:line="360"/>
        <w:jc w:val="both"/>
      </w:pPr>
      <w:r>
        <w:rPr>
          <w:rFonts w:ascii="Arial" w:cs="Arial" w:eastAsia="Arial" w:hAnsi="Arial"/>
          <w:sz w:val="24"/>
          <w:szCs w:val="24"/>
        </w:rPr>
        <w:t xml:space="preserve">The results provide strong evidence for an incumbency advantage in Spain’s PR system. Table 2 reports the CCT bias-corrected optimal bandwidth results: the sharp RDD estimate for the probability of running in the next election is 0.278 (SE = 0.033, p &lt; 0.001) at the CCT-selected bandwidth of 0.112, and the effect on winning a seat is 0.196 (SE = 0.039, p &lt; 0.001) at a CCT bandwidth of 0.068. However, the preferred workhorse specification throughout this thesis uses a fixed bandwidth of BW = 0.05, which yields estimates of 0.285 and 0.186 for the two outcomes respectively. The slight differences between the CCT and fixed-bandwidth estimates reflect the narrower analysis window and are well within sampling variability. I use BW = 0.05 as the primary specification because it provides a consistent and transparent window across all analyses, facilitating direct comparability across tables; the CCT results serve as a complementary robustness check confirming that the data-driven bandwidth yields similar conclusions (see Table 3 for the full bandwidth sensitivity grid).</w:t>
      </w:r>
    </w:p>
    <w:p>
      <w:pPr>
        <w:spacing w:after="200" w:line="360"/>
        <w:jc w:val="both"/>
      </w:pPr>
      <w:r>
        <w:rPr>
          <w:rFonts w:ascii="Arial" w:cs="Arial" w:eastAsia="Arial" w:hAnsi="Arial"/>
          <w:sz w:val="24"/>
          <w:szCs w:val="24"/>
        </w:rPr>
        <w:t xml:space="preserve">The fuzzy RDD estimates are virtually identical to the sharp estimates, reflecting the near-perfect first-stage relationship. The first-stage coefficient is 0.985 for the “runs next” specification and 0.981 for “wins next,” both highly significant. These values confirm that crossing the D’Hondt allocation cutoff almost perfectly determines actual incumbency status, as expected in this institutional setting. The corresponding first-stage F-statistics far exceed the Stock and Yogo (2005) threshold of 10, ruling out weak instrument concerns.</w:t>
      </w:r>
    </w:p>
    <w:p>
      <w:pPr>
        <w:spacing w:after="200" w:line="360"/>
        <w:jc w:val="both"/>
      </w:pPr>
      <w:r>
        <w:rPr>
          <w:rFonts w:ascii="Arial" w:cs="Arial" w:eastAsia="Arial" w:hAnsi="Arial"/>
          <w:sz w:val="24"/>
          <w:szCs w:val="24"/>
        </w:rPr>
        <w:t xml:space="preserve">Figures 1 and 2 visualize the main results. Each panel shows the binned scatter plot of the outcome variable against the running variable, with local-linear fits on each side of the cutoff. The sharp jump at the discontinuity is clearly visible, confirming the incumbency advantage estimated in Table 2.</w:t>
      </w:r>
    </w:p>
    <w:p>
      <w:pPr>
        <w:spacing w:after="100" w:before="200"/>
        <w:jc w:val="center"/>
      </w:pPr>
      <w:r>
        <w:drawing>
          <wp:inline distT="0" distB="0" distL="0" distR="0">
            <wp:extent cx="5400675"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4048125"/>
                    </a:xfrm>
                    <a:prstGeom prst="rect">
                      <a:avLst/>
                    </a:prstGeom>
                  </pic:spPr>
                </pic:pic>
              </a:graphicData>
            </a:graphic>
          </wp:inline>
        </w:drawing>
      </w:r>
    </w:p>
    <w:p>
      <w:pPr>
        <w:spacing w:after="300"/>
        <w:jc w:val="center"/>
      </w:pPr>
      <w:r>
        <w:rPr>
          <w:rFonts w:ascii="Arial" w:cs="Arial" w:eastAsia="Arial" w:hAnsi="Arial"/>
          <w:i/>
          <w:iCs/>
          <w:sz w:val="20"/>
          <w:szCs w:val="20"/>
        </w:rPr>
        <w:t xml:space="preserve">Figure 1: Incumbency Effect on Running in Next Election. Binned scatter with local-linear fits (BW = 0.05).</w:t>
      </w:r>
    </w:p>
    <w:p>
      <w:pPr>
        <w:spacing w:after="100" w:before="200"/>
        <w:jc w:val="center"/>
      </w:pPr>
      <w:r>
        <w:drawing>
          <wp:inline distT="0" distB="0" distL="0" distR="0">
            <wp:extent cx="5400675"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4048125"/>
                    </a:xfrm>
                    <a:prstGeom prst="rect">
                      <a:avLst/>
                    </a:prstGeom>
                  </pic:spPr>
                </pic:pic>
              </a:graphicData>
            </a:graphic>
          </wp:inline>
        </w:drawing>
      </w:r>
    </w:p>
    <w:p>
      <w:pPr>
        <w:spacing w:after="300"/>
        <w:jc w:val="center"/>
      </w:pPr>
      <w:r>
        <w:rPr>
          <w:rFonts w:ascii="Arial" w:cs="Arial" w:eastAsia="Arial" w:hAnsi="Arial"/>
          <w:i/>
          <w:iCs/>
          <w:sz w:val="20"/>
          <w:szCs w:val="20"/>
        </w:rPr>
        <w:t xml:space="preserve">Figure 2: Incumbency Effect on Winning Seat in Next Election. Binned scatter with local-linear fits (BW = 0.05).</w:t>
      </w:r>
    </w:p>
    <w:p>
      <w:pPr>
        <w:spacing w:after="200" w:line="360"/>
        <w:jc w:val="both"/>
      </w:pPr>
      <w:r>
        <w:rPr>
          <w:rFonts w:ascii="Arial" w:cs="Arial" w:eastAsia="Arial" w:hAnsi="Arial"/>
          <w:sz w:val="24"/>
          <w:szCs w:val="24"/>
        </w:rPr>
        <w:t xml:space="preserve">Figure 3 displays the first-stage relationship, showing that crossing the cutoff almost perfectly determines actual election status. The near-complete separation between the two sides—with election probabilities jumping from near zero to near one—validates the research design and confirms that the sharp and fuzzy RDD specifications should yield similar estimates.</w:t>
      </w:r>
    </w:p>
    <w:p>
      <w:pPr>
        <w:spacing w:after="100" w:before="200"/>
        <w:jc w:val="center"/>
      </w:pPr>
      <w:r>
        <w:drawing>
          <wp:inline distT="0" distB="0" distL="0" distR="0">
            <wp:extent cx="5400675"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4048125"/>
                    </a:xfrm>
                    <a:prstGeom prst="rect">
                      <a:avLst/>
                    </a:prstGeom>
                  </pic:spPr>
                </pic:pic>
              </a:graphicData>
            </a:graphic>
          </wp:inline>
        </w:drawing>
      </w:r>
    </w:p>
    <w:p>
      <w:pPr>
        <w:spacing w:after="300"/>
        <w:jc w:val="center"/>
      </w:pPr>
      <w:r>
        <w:rPr>
          <w:rFonts w:ascii="Arial" w:cs="Arial" w:eastAsia="Arial" w:hAnsi="Arial"/>
          <w:i/>
          <w:iCs/>
          <w:sz w:val="20"/>
          <w:szCs w:val="20"/>
        </w:rPr>
        <w:t xml:space="preserve">Figure 3: First Stage – Probability of Being Elected at the Cutoff (BW = 0.05).</w:t>
      </w:r>
    </w:p>
    <w:p>
      <w:pPr>
        <w:pStyle w:val="Heading2"/>
        <w:spacing w:after="180" w:before="360"/>
      </w:pPr>
      <w:r>
        <w:rPr>
          <w:rFonts w:ascii="Arial" w:cs="Arial" w:eastAsia="Arial" w:hAnsi="Arial"/>
          <w:b/>
          <w:bCs/>
          <w:sz w:val="28"/>
          <w:szCs w:val="28"/>
        </w:rPr>
        <w:t xml:space="preserve">6.2 Bandwidth Sensitivity</w:t>
      </w:r>
    </w:p>
    <w:p>
      <w:pPr>
        <w:spacing w:after="200" w:line="360"/>
        <w:jc w:val="both"/>
      </w:pPr>
      <w:r>
        <w:rPr>
          <w:rFonts w:ascii="Arial" w:cs="Arial" w:eastAsia="Arial" w:hAnsi="Arial"/>
          <w:sz w:val="24"/>
          <w:szCs w:val="24"/>
        </w:rPr>
        <w:t xml:space="preserve">Table 3 examines the sensitivity of the main estimates to alternative bandwidth choices, ranging from 0.025 to 0.100 (normalized vote margin).</w:t>
      </w:r>
    </w:p>
    <w:p>
      <w:r>
        <w:rPr>
          <w:rFonts w:ascii="Arial" w:cs="Arial" w:eastAsia="Arial" w:hAnsi="Arial"/>
          <w:sz w:val="24"/>
          <w:szCs w:val="24"/>
        </w:rPr>
        <w:t xml:space="preserve"/>
      </w:r>
    </w:p>
    <w:p>
      <w:pPr>
        <w:spacing w:after="200" w:line="360"/>
        <w:jc w:val="center"/>
      </w:pPr>
      <w:r>
        <w:rPr>
          <w:rFonts w:ascii="Arial" w:cs="Arial" w:eastAsia="Arial" w:hAnsi="Arial"/>
          <w:b/>
          <w:bCs/>
          <w:sz w:val="22"/>
          <w:szCs w:val="22"/>
        </w:rPr>
        <w:t xml:space="preserve">Table 3: Bandwidth Sensitivity</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300"/>
        <w:gridCol w:w="1300"/>
        <w:gridCol w:w="1300"/>
        <w:gridCol w:w="1300"/>
      </w:tblGrid>
      <w:tr>
        <w:tc>
          <w:tcPr>
            <w:tcW w:type="dxa" w:w="14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Outcome</w:t>
            </w:r>
          </w:p>
        </w:tc>
        <w:tc>
          <w:tcPr>
            <w:tcW w:type="dxa" w:w="9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BW</w:t>
            </w:r>
          </w:p>
        </w:tc>
        <w:tc>
          <w:tcPr>
            <w:tcW w:type="dxa" w:w="13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Sharp τ</w:t>
            </w:r>
          </w:p>
        </w:tc>
        <w:tc>
          <w:tcPr>
            <w:tcW w:type="dxa" w:w="13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SE</w:t>
            </w:r>
          </w:p>
        </w:tc>
        <w:tc>
          <w:tcPr>
            <w:tcW w:type="dxa" w:w="13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Fuzzy τ</w:t>
            </w:r>
          </w:p>
        </w:tc>
        <w:tc>
          <w:tcPr>
            <w:tcW w:type="dxa" w:w="13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Fuzzy 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0.347***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(0.064)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0.354***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(0.066)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0.285***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0.291***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0.075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0.277***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0.282***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0.276***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(0.034)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0.281***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(0.035)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0.183**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(0.066)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0.187**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(0.067)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0.186***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0.190***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0.075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0.203***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(0.037)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0.207***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(0.038)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0.235***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(0.032)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0.239***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(0.032)</w:t>
            </w:r>
          </w:p>
        </w:tc>
      </w:tr>
    </w:tbl>
    <w:p>
      <w:r>
        <w:rPr>
          <w:rFonts w:ascii="Arial" w:cs="Arial" w:eastAsia="Arial" w:hAnsi="Arial"/>
          <w:sz w:val="24"/>
          <w:szCs w:val="24"/>
        </w:rPr>
        <w:t xml:space="preserve"/>
      </w:r>
    </w:p>
    <w:p>
      <w:pPr>
        <w:spacing w:after="200" w:line="360"/>
        <w:jc w:val="both"/>
      </w:pPr>
      <w:r>
        <w:rPr>
          <w:rFonts w:ascii="Arial" w:cs="Arial" w:eastAsia="Arial" w:hAnsi="Arial"/>
          <w:i/>
          <w:iCs/>
          <w:sz w:val="20"/>
          <w:szCs w:val="20"/>
        </w:rPr>
        <w:t xml:space="preserve">Notes: </w:t>
      </w:r>
      <w:r>
        <w:rPr>
          <w:rFonts w:ascii="Arial" w:cs="Arial" w:eastAsia="Arial" w:hAnsi="Arial"/>
          <w:sz w:val="20"/>
          <w:szCs w:val="20"/>
        </w:rPr>
        <w:t xml:space="preserve">Province-election clustered SEs in parentheses. *** p&lt;0.001, ** p&lt;0.01, * p&lt;0.05.</w:t>
      </w:r>
    </w:p>
    <w:p>
      <w:r>
        <w:rPr>
          <w:rFonts w:ascii="Arial" w:cs="Arial" w:eastAsia="Arial" w:hAnsi="Arial"/>
          <w:sz w:val="24"/>
          <w:szCs w:val="24"/>
        </w:rPr>
        <w:t xml:space="preserve"/>
      </w:r>
    </w:p>
    <w:p>
      <w:pPr>
        <w:spacing w:after="200" w:line="360"/>
        <w:jc w:val="both"/>
      </w:pPr>
      <w:r>
        <w:rPr>
          <w:rFonts w:ascii="Arial" w:cs="Arial" w:eastAsia="Arial" w:hAnsi="Arial"/>
          <w:sz w:val="24"/>
          <w:szCs w:val="24"/>
        </w:rPr>
        <w:t xml:space="preserve">The estimates are stable across bandwidths. For the “runs next” outcome, the sharp estimate ranges from 0.276 to 0.347 as the bandwidth narrows from 0.100 to 0.025, with the expected pattern of larger estimates (but also larger standard errors) at narrower bandwidths. The “wins next” effect shows a similar pattern, ranging from 0.185 to 0.238 across bandwidths. Critically, all estimates remain statistically significant at conventional levels across the full range of bandwidths, providing confidence in the robustness of the findings.</w:t>
      </w:r>
    </w:p>
    <w:p>
      <w:pPr>
        <w:spacing w:after="200" w:line="360"/>
        <w:jc w:val="both"/>
      </w:pPr>
      <w:r>
        <w:rPr>
          <w:rFonts w:ascii="Arial" w:cs="Arial" w:eastAsia="Arial" w:hAnsi="Arial"/>
          <w:sz w:val="24"/>
          <w:szCs w:val="24"/>
        </w:rPr>
        <w:t xml:space="preserve">Figure 5 visualizes this stability. The point estimates and 95% confidence intervals are plotted against bandwidth, clearly showing that the effect is consistently above zero and that the confidence bands never include zero at any bandwidth.</w:t>
      </w:r>
    </w:p>
    <w:p>
      <w:pPr>
        <w:spacing w:after="100" w:before="200"/>
        <w:jc w:val="center"/>
      </w:pPr>
      <w:r>
        <w:drawing>
          <wp:inline distT="0" distB="0" distL="0" distR="0">
            <wp:extent cx="54006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428875"/>
                    </a:xfrm>
                    <a:prstGeom prst="rect">
                      <a:avLst/>
                    </a:prstGeom>
                  </pic:spPr>
                </pic:pic>
              </a:graphicData>
            </a:graphic>
          </wp:inline>
        </w:drawing>
      </w:r>
    </w:p>
    <w:p>
      <w:pPr>
        <w:spacing w:after="300"/>
        <w:jc w:val="center"/>
      </w:pPr>
      <w:r>
        <w:rPr>
          <w:rFonts w:ascii="Arial" w:cs="Arial" w:eastAsia="Arial" w:hAnsi="Arial"/>
          <w:i/>
          <w:iCs/>
          <w:sz w:val="20"/>
          <w:szCs w:val="20"/>
        </w:rPr>
        <w:t xml:space="preserve">Figure 5: Bandwidth Sensitivity Analysis. Point estimates and 95% CIs across bandwidths (0.025–0.100).</w:t>
      </w:r>
    </w:p>
    <w:p>
      <w:pPr>
        <w:pStyle w:val="Heading2"/>
        <w:spacing w:after="180" w:before="360"/>
      </w:pPr>
      <w:r>
        <w:rPr>
          <w:rFonts w:ascii="Arial" w:cs="Arial" w:eastAsia="Arial" w:hAnsi="Arial"/>
          <w:b/>
          <w:bCs/>
          <w:sz w:val="28"/>
          <w:szCs w:val="28"/>
        </w:rPr>
        <w:t xml:space="preserve">6.3 Standard Error Robustness</w:t>
      </w:r>
    </w:p>
    <w:p>
      <w:pPr>
        <w:spacing w:after="200" w:line="360"/>
        <w:jc w:val="both"/>
      </w:pPr>
      <w:r>
        <w:rPr>
          <w:rFonts w:ascii="Arial" w:cs="Arial" w:eastAsia="Arial" w:hAnsi="Arial"/>
          <w:sz w:val="24"/>
          <w:szCs w:val="24"/>
        </w:rPr>
        <w:t xml:space="preserve">Table 4 compares the main estimates under three standard error specifications: heteroskedasticity-robust (HC1), province-election clustered, and province-election-party clustered.</w:t>
      </w:r>
    </w:p>
    <w:p>
      <w:r>
        <w:rPr>
          <w:rFonts w:ascii="Arial" w:cs="Arial" w:eastAsia="Arial" w:hAnsi="Arial"/>
          <w:sz w:val="24"/>
          <w:szCs w:val="24"/>
        </w:rPr>
        <w:t xml:space="preserve"/>
      </w:r>
    </w:p>
    <w:p>
      <w:pPr>
        <w:spacing w:after="200" w:line="360"/>
        <w:jc w:val="center"/>
      </w:pPr>
      <w:r>
        <w:rPr>
          <w:rFonts w:ascii="Arial" w:cs="Arial" w:eastAsia="Arial" w:hAnsi="Arial"/>
          <w:b/>
          <w:bCs/>
          <w:sz w:val="22"/>
          <w:szCs w:val="22"/>
        </w:rPr>
        <w:t xml:space="preserve">Table 4: Standard Error Robustness (BW = 0.05)</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200"/>
        <w:gridCol w:w="1200"/>
        <w:gridCol w:w="1200"/>
      </w:tblGrid>
      <w:tr>
        <w:tc>
          <w:tcPr>
            <w:tcW w:type="dxa" w:w="15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Outcome</w:t>
            </w:r>
          </w:p>
        </w:tc>
        <w:tc>
          <w:tcPr>
            <w:tcW w:type="dxa" w:w="24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SE Type</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Sharp τ</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SE</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p-value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HC1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0.285***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&lt;0.001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Province-election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0.285***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&lt;0.001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Province-election-party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0.285***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&lt;0.001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HC1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0.186***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&lt;0.001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Province-election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0.186***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&lt;0.001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Province-election-party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0.186***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&lt;0.001</w:t>
            </w:r>
          </w:p>
        </w:tc>
      </w:tr>
    </w:tbl>
    <w:p>
      <w:r>
        <w:rPr>
          <w:rFonts w:ascii="Arial" w:cs="Arial" w:eastAsia="Arial" w:hAnsi="Arial"/>
          <w:sz w:val="24"/>
          <w:szCs w:val="24"/>
        </w:rPr>
        <w:t xml:space="preserve"/>
      </w:r>
    </w:p>
    <w:p>
      <w:pPr>
        <w:spacing w:after="200" w:line="360"/>
        <w:jc w:val="both"/>
      </w:pPr>
      <w:r>
        <w:rPr>
          <w:rFonts w:ascii="Arial" w:cs="Arial" w:eastAsia="Arial" w:hAnsi="Arial"/>
          <w:sz w:val="24"/>
          <w:szCs w:val="24"/>
        </w:rPr>
        <w:t xml:space="preserve">The results are invariant to the choice of standard error specification. The point estimate for “runs next” is 0.285 regardless of clustering, with standard errors ranging from 0.048 to 0.050. For “wins next,” the estimate is 0.186 with standard errors between 0.045 and 0.047. The virtually identical standard errors across clustering levels indicate that within-cluster correlation does not substantially inflate variance, likely because the running variable already incorporates province-election-level information.</w:t>
      </w:r>
    </w:p>
    <w:p>
      <w:pPr>
        <w:pStyle w:val="Heading2"/>
        <w:spacing w:after="180" w:before="360"/>
      </w:pPr>
      <w:r>
        <w:rPr>
          <w:rFonts w:ascii="Arial" w:cs="Arial" w:eastAsia="Arial" w:hAnsi="Arial"/>
          <w:b/>
          <w:bCs/>
          <w:sz w:val="28"/>
          <w:szCs w:val="28"/>
        </w:rPr>
        <w:t xml:space="preserve">6.4 List Position Effects (SQ4)</w:t>
      </w:r>
    </w:p>
    <w:p>
      <w:pPr>
        <w:spacing w:after="200" w:line="360"/>
        <w:jc w:val="both"/>
      </w:pPr>
      <w:r>
        <w:rPr>
          <w:rFonts w:ascii="Arial" w:cs="Arial" w:eastAsia="Arial" w:hAnsi="Arial"/>
          <w:sz w:val="24"/>
          <w:szCs w:val="24"/>
        </w:rPr>
        <w:t xml:space="preserve">A distinctive feature of closed-list PR systems is that party organizations determine the ordering of candidates on the list, and this ordering directly determines which candidates are elected given the number of seats the party wins. Hypothesis H3 posits that incumbency—operationalized as the party barely winning a marginal seat—leads to more favorable list positions for candidates in the subsequent election. This outcome is inherently conditional: list position in the next election is only observed for candidates who reappear on a party list, making this a selected-sample analysis.</w:t>
      </w:r>
    </w:p>
    <w:p>
      <w:pPr>
        <w:spacing w:after="200" w:line="360"/>
        <w:jc w:val="both"/>
      </w:pPr>
      <w:r>
        <w:rPr>
          <w:rFonts w:ascii="Arial" w:cs="Arial" w:eastAsia="Arial" w:hAnsi="Arial"/>
          <w:sz w:val="24"/>
          <w:szCs w:val="24"/>
        </w:rPr>
        <w:t xml:space="preserve">Table 10 presents the RDD estimates for two list-position outcomes: list_pos_next (the candidate’s raw list position in the subsequent election) and list_pos_change (the change in list position from the current to the subsequent election, where negative values indicate an improvement). The estimates are reported across the bandwidth grid with province-election clustered standard errors.</w:t>
      </w:r>
    </w:p>
    <w:p>
      <w:r>
        <w:rPr>
          <w:rFonts w:ascii="Arial" w:cs="Arial" w:eastAsia="Arial" w:hAnsi="Arial"/>
          <w:sz w:val="24"/>
          <w:szCs w:val="24"/>
        </w:rPr>
        <w:t xml:space="preserve"/>
      </w:r>
    </w:p>
    <w:p>
      <w:pPr>
        <w:spacing w:after="200" w:line="360"/>
        <w:jc w:val="center"/>
      </w:pPr>
      <w:r>
        <w:rPr>
          <w:rFonts w:ascii="Arial" w:cs="Arial" w:eastAsia="Arial" w:hAnsi="Arial"/>
          <w:b/>
          <w:bCs/>
          <w:sz w:val="22"/>
          <w:szCs w:val="22"/>
        </w:rPr>
        <w:t xml:space="preserve">Table 10: List Position Effects – RDD Estimates (Conditional on Running Again)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1100"/>
        <w:gridCol w:w="1100"/>
        <w:gridCol w:w="1100"/>
        <w:gridCol w:w="900"/>
      </w:tblGrid>
      <w:tr>
        <w:tc>
          <w:tcPr>
            <w:tcW w:type="dxa" w:w="17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Outcome</w:t>
            </w:r>
          </w:p>
        </w:tc>
        <w:tc>
          <w:tcPr>
            <w:tcW w:type="dxa" w:w="9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BW</w:t>
            </w:r>
          </w:p>
        </w:tc>
        <w:tc>
          <w:tcPr>
            <w:tcW w:type="dxa" w:w="9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N</w:t>
            </w:r>
          </w:p>
        </w:tc>
        <w:tc>
          <w:tcPr>
            <w:tcW w:type="dxa" w:w="11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Mean (L)</w:t>
            </w:r>
          </w:p>
        </w:tc>
        <w:tc>
          <w:tcPr>
            <w:tcW w:type="dxa" w:w="11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Mean (R)</w:t>
            </w:r>
          </w:p>
        </w:tc>
        <w:tc>
          <w:tcPr>
            <w:tcW w:type="dxa" w:w="11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τ (SE)</w:t>
            </w:r>
          </w:p>
        </w:tc>
        <w:tc>
          <w:tcPr>
            <w:tcW w:type="dxa" w:w="9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p-value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List pos.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402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4.180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3.232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−0.013 (0.635)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0.984</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List pos.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864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3.859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3.264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−0.770 (0.469)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0.102</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List pos.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1,403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3.594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3.096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−0.946* (0.463)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0.042</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List pos.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1,904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3.490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2.967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−0.895* (0.454)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0.050</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List pos. change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402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1.472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0.504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0.859 (0.525)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0.103</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List pos. change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864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1.204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0.370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−0.148 (0.456)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0.745</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List pos. change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1,403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1.127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0.289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−0.498 (0.408)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0.224</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List pos. change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1,904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1.026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0.295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−0.761 (0.407)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0.062</w:t>
            </w:r>
          </w:p>
        </w:tc>
      </w:tr>
    </w:tbl>
    <w:p>
      <w:r>
        <w:rPr>
          <w:rFonts w:ascii="Arial" w:cs="Arial" w:eastAsia="Arial" w:hAnsi="Arial"/>
          <w:sz w:val="24"/>
          <w:szCs w:val="24"/>
        </w:rPr>
        <w:t xml:space="preserve"/>
      </w:r>
    </w:p>
    <w:p>
      <w:pPr>
        <w:spacing w:after="200" w:line="360"/>
        <w:jc w:val="both"/>
      </w:pPr>
      <w:r>
        <w:rPr>
          <w:rFonts w:ascii="Arial" w:cs="Arial" w:eastAsia="Arial" w:hAnsi="Arial"/>
          <w:i/>
          <w:iCs/>
          <w:sz w:val="20"/>
          <w:szCs w:val="20"/>
        </w:rPr>
        <w:t xml:space="preserve">Notes: </w:t>
      </w:r>
      <w:r>
        <w:rPr>
          <w:rFonts w:ascii="Arial" w:cs="Arial" w:eastAsia="Arial" w:hAnsi="Arial"/>
          <w:sz w:val="20"/>
          <w:szCs w:val="20"/>
        </w:rPr>
        <w:t xml:space="preserve">Province-election clustered SEs. Conditional on the candidate reappearing on a party list. Negative τ for list_pos_next indicates a better (higher) list position. * p &lt; 0.05.</w:t>
      </w:r>
    </w:p>
    <w:p>
      <w:r>
        <w:rPr>
          <w:rFonts w:ascii="Arial" w:cs="Arial" w:eastAsia="Arial" w:hAnsi="Arial"/>
          <w:sz w:val="24"/>
          <w:szCs w:val="24"/>
        </w:rPr>
        <w:t xml:space="preserve"/>
      </w:r>
    </w:p>
    <w:p>
      <w:pPr>
        <w:spacing w:after="200" w:line="360"/>
        <w:jc w:val="both"/>
      </w:pPr>
      <w:r>
        <w:rPr>
          <w:rFonts w:ascii="Arial" w:cs="Arial" w:eastAsia="Arial" w:hAnsi="Arial"/>
          <w:sz w:val="24"/>
          <w:szCs w:val="24"/>
        </w:rPr>
        <w:t xml:space="preserve">The list-position analysis reveals that candidates whose party barely wins a marginal seat tend to receive more favorable list positions in the subsequent election. At the baseline bandwidth of 0.05, the point estimate for list_pos_next is −0.77 positions (SE = 0.47, p = 0.10), indicating that candidates on the winning side of the cutoff are placed approximately 0.8 positions higher on the list, though the effect narrowly misses statistical significance at conventional levels. At the wider bandwidth of 0.075, the estimate strengthens to −0.95 positions (SE = 0.46, p = 0.04), reaching significance at the 5% level. The list_pos_change estimates show a similar directional pattern but are less precisely estimated, with the largest bandwidth (0.10) approaching significance at the 10% level (τ = −0.76, p = 0.06). These results, observed among the 864 candidates (at BW = 0.05) who reappear on a party list, are consistent with parties rewarding incumbency experience in their list-ordering decisions, though the evidence is suggestive at the narrower bandwidths and becomes more robust as the window expands.</w:t>
      </w:r>
    </w:p>
    <w:p>
      <w:pPr>
        <w:pStyle w:val="Heading2"/>
        <w:spacing w:after="180" w:before="360"/>
      </w:pPr>
      <w:r>
        <w:rPr>
          <w:rFonts w:ascii="Arial" w:cs="Arial" w:eastAsia="Arial" w:hAnsi="Arial"/>
          <w:b/>
          <w:bCs/>
          <w:sz w:val="28"/>
          <w:szCs w:val="28"/>
        </w:rPr>
        <w:t xml:space="preserve">6.5 Heterogeneity by District Magnitude (SQ3)</w:t>
      </w:r>
    </w:p>
    <w:p>
      <w:pPr>
        <w:spacing w:after="200" w:line="360"/>
        <w:jc w:val="both"/>
      </w:pPr>
      <w:r>
        <w:rPr>
          <w:rFonts w:ascii="Arial" w:cs="Arial" w:eastAsia="Arial" w:hAnsi="Arial"/>
          <w:sz w:val="24"/>
          <w:szCs w:val="24"/>
        </w:rPr>
        <w:t xml:space="preserve">Sub-question 3 asks whether the incumbency advantage varies across districts of different sizes. District magnitude—the number of seats allocated to a province—is a key institutional parameter that shapes the competitiveness and proportionality of elections. In small-magnitude districts (2–4 seats), the effective threshold for winning a seat is high, competition is intense, and a single seat can represent a large share of the province’s representation. In large-magnitude districts (10+ seats), the threshold is lower, and the marginal seat represents a smaller fraction of total representation.</w:t>
      </w:r>
    </w:p>
    <w:p>
      <w:pPr>
        <w:spacing w:after="200" w:line="360"/>
        <w:jc w:val="both"/>
      </w:pPr>
      <w:r>
        <w:rPr>
          <w:rFonts w:ascii="Arial" w:cs="Arial" w:eastAsia="Arial" w:hAnsi="Arial"/>
          <w:sz w:val="24"/>
          <w:szCs w:val="24"/>
        </w:rPr>
        <w:t xml:space="preserve">To investigate this heterogeneity, I split the analysis sample at the median district magnitude and re-estimate the main RDD specification separately for high-magnitude and low-magnitude provinces. Table 11 presents the results.</w:t>
      </w:r>
    </w:p>
    <w:p>
      <w:r>
        <w:rPr>
          <w:rFonts w:ascii="Arial" w:cs="Arial" w:eastAsia="Arial" w:hAnsi="Arial"/>
          <w:sz w:val="24"/>
          <w:szCs w:val="24"/>
        </w:rPr>
        <w:t xml:space="preserve"/>
      </w:r>
    </w:p>
    <w:p>
      <w:pPr>
        <w:spacing w:after="200" w:line="360"/>
        <w:jc w:val="center"/>
      </w:pPr>
      <w:r>
        <w:rPr>
          <w:rFonts w:ascii="Arial" w:cs="Arial" w:eastAsia="Arial" w:hAnsi="Arial"/>
          <w:b/>
          <w:bCs/>
          <w:sz w:val="22"/>
          <w:szCs w:val="22"/>
        </w:rPr>
        <w:t xml:space="preserve">Table 11: Heterogeneity by District Magnitude – RDD Estimates (BW = 0.05)</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900"/>
        <w:gridCol w:w="1100"/>
        <w:gridCol w:w="1100"/>
        <w:gridCol w:w="1200"/>
        <w:gridCol w:w="900"/>
      </w:tblGrid>
      <w:tr>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Outcome</w:t>
            </w:r>
          </w:p>
        </w:tc>
        <w:tc>
          <w:tcPr>
            <w:tcW w:type="dxa" w:w="16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Subgroup</w:t>
            </w:r>
          </w:p>
        </w:tc>
        <w:tc>
          <w:tcPr>
            <w:tcW w:type="dxa" w:w="9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N</w:t>
            </w:r>
          </w:p>
        </w:tc>
        <w:tc>
          <w:tcPr>
            <w:tcW w:type="dxa" w:w="11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Mean (L)</w:t>
            </w:r>
          </w:p>
        </w:tc>
        <w:tc>
          <w:tcPr>
            <w:tcW w:type="dxa" w:w="11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Mean (R)</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τ (SE)</w:t>
            </w:r>
          </w:p>
        </w:tc>
        <w:tc>
          <w:tcPr>
            <w:tcW w:type="dxa" w:w="9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p-value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High magnitude (≥ 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1,344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0.305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0.596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0.264*** (0.069)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&lt;0.001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Low magnitude (&lt; 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774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0.322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0.597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0.307*** (0.070)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&lt;0.001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High magnitude (≥ 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1,344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0.409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0.137* (0.066)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Low magnitude (&lt; 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774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0.079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0.394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0.244*** (0.067)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&lt;0.001</w:t>
            </w:r>
          </w:p>
        </w:tc>
      </w:tr>
    </w:tbl>
    <w:p>
      <w:r>
        <w:rPr>
          <w:rFonts w:ascii="Arial" w:cs="Arial" w:eastAsia="Arial" w:hAnsi="Arial"/>
          <w:sz w:val="24"/>
          <w:szCs w:val="24"/>
        </w:rPr>
        <w:t xml:space="preserve"/>
      </w:r>
    </w:p>
    <w:p>
      <w:pPr>
        <w:spacing w:after="200" w:line="360"/>
        <w:jc w:val="both"/>
      </w:pPr>
      <w:r>
        <w:rPr>
          <w:rFonts w:ascii="Arial" w:cs="Arial" w:eastAsia="Arial" w:hAnsi="Arial"/>
          <w:i/>
          <w:iCs/>
          <w:sz w:val="20"/>
          <w:szCs w:val="20"/>
        </w:rPr>
        <w:t xml:space="preserve">Notes: </w:t>
      </w:r>
      <w:r>
        <w:rPr>
          <w:rFonts w:ascii="Arial" w:cs="Arial" w:eastAsia="Arial" w:hAnsi="Arial"/>
          <w:sz w:val="20"/>
          <w:szCs w:val="20"/>
        </w:rPr>
        <w:t xml:space="preserve">Province-election clustered SEs. Median district magnitude = 8 seats. * p &lt; 0.05, *** p &lt; 0.001.</w:t>
      </w:r>
    </w:p>
    <w:p>
      <w:r>
        <w:rPr>
          <w:rFonts w:ascii="Arial" w:cs="Arial" w:eastAsia="Arial" w:hAnsi="Arial"/>
          <w:sz w:val="24"/>
          <w:szCs w:val="24"/>
        </w:rPr>
        <w:t xml:space="preserve"/>
      </w:r>
    </w:p>
    <w:p>
      <w:pPr>
        <w:spacing w:after="200" w:line="360"/>
        <w:jc w:val="both"/>
      </w:pPr>
      <w:r>
        <w:rPr>
          <w:rFonts w:ascii="Arial" w:cs="Arial" w:eastAsia="Arial" w:hAnsi="Arial"/>
          <w:sz w:val="24"/>
          <w:szCs w:val="24"/>
        </w:rPr>
        <w:t xml:space="preserve">The heterogeneity analysis reveals that the incumbency advantage is present and statistically significant in both high-magnitude and low-magnitude districts (split at the median of 8 seats). For the extensive margin (runs next), the point estimate is 0.264 (p &lt; 0.001) in high-magnitude districts and 0.307 (p &lt; 0.001) in low-magnitude districts. The pattern is more pronounced for the intensive margin (wins next): the effect is 0.244 (p &lt; 0.001) in low-magnitude districts but only 0.137 (p = 0.04) in high-magnitude districts. This difference is consistent with the idea that winning a marginal seat matters more in smaller provinces where competition for fewer seats is fiercer and each seat represents a larger share of the province’s representation. Despite these differences in magnitude, the broad pattern is clear: the incumbency advantage is a general phenomenon across Spain’s diverse district magnitudes rather than being driven by a particular type of constituency.</w:t>
      </w:r>
    </w:p>
    <w:p>
      <w:r>
        <w:br w:type="page"/>
      </w:r>
    </w:p>
    <w:p>
      <w:pPr>
        <w:pStyle w:val="Heading1"/>
        <w:spacing w:after="240" w:before="480"/>
      </w:pPr>
      <w:r>
        <w:rPr>
          <w:rFonts w:ascii="Arial" w:cs="Arial" w:eastAsia="Arial" w:hAnsi="Arial"/>
          <w:b/>
          <w:bCs/>
          <w:sz w:val="32"/>
          <w:szCs w:val="32"/>
        </w:rPr>
        <w:t xml:space="preserve">7. Robustness Checks</w:t>
      </w:r>
    </w:p>
    <w:p>
      <w:pPr>
        <w:pStyle w:val="Heading2"/>
        <w:spacing w:after="180" w:before="360"/>
      </w:pPr>
      <w:r>
        <w:rPr>
          <w:rFonts w:ascii="Arial" w:cs="Arial" w:eastAsia="Arial" w:hAnsi="Arial"/>
          <w:b/>
          <w:bCs/>
          <w:sz w:val="28"/>
          <w:szCs w:val="28"/>
        </w:rPr>
        <w:t xml:space="preserve">7.1 McCrary Density Test</w:t>
      </w:r>
    </w:p>
    <w:p>
      <w:pPr>
        <w:spacing w:after="200" w:line="360"/>
        <w:jc w:val="both"/>
      </w:pPr>
      <w:r>
        <w:rPr>
          <w:rFonts w:ascii="Arial" w:cs="Arial" w:eastAsia="Arial" w:hAnsi="Arial"/>
          <w:sz w:val="24"/>
          <w:szCs w:val="24"/>
        </w:rPr>
        <w:t xml:space="preserve">A fundamental assumption of the RDD is that units cannot precisely manipulate the running variable to sort around the cutoff. I test this assumption using a McCrary (2008) density test, which examines whether there is a discontinuity in the density of the running variable at the cutoff.</w:t>
      </w:r>
    </w:p>
    <w:p>
      <w:r>
        <w:rPr>
          <w:rFonts w:ascii="Arial" w:cs="Arial" w:eastAsia="Arial" w:hAnsi="Arial"/>
          <w:sz w:val="24"/>
          <w:szCs w:val="24"/>
        </w:rPr>
        <w:t xml:space="preserve"/>
      </w:r>
    </w:p>
    <w:p>
      <w:pPr>
        <w:spacing w:after="200" w:line="360"/>
        <w:jc w:val="center"/>
      </w:pPr>
      <w:r>
        <w:rPr>
          <w:rFonts w:ascii="Arial" w:cs="Arial" w:eastAsia="Arial" w:hAnsi="Arial"/>
          <w:b/>
          <w:bCs/>
          <w:sz w:val="22"/>
          <w:szCs w:val="22"/>
        </w:rPr>
        <w:t xml:space="preserve">Table 5: McCrary Density Tests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1500"/>
        <w:gridCol w:w="1200"/>
        <w:gridCol w:w="1200"/>
      </w:tblGrid>
      <w:tr>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BW</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N</w:t>
            </w:r>
          </w:p>
        </w:tc>
        <w:tc>
          <w:tcPr>
            <w:tcW w:type="dxa" w:w="15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Log-density Δ</w:t>
            </w:r>
          </w:p>
        </w:tc>
        <w:tc>
          <w:tcPr>
            <w:tcW w:type="dxa" w:w="15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SE</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p-value</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Density ratio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1,050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0.119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0.169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0.481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1.126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0.050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2,412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0.353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1.106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0.075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4,265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0.177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0.802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1.045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6,039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−0.082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0.162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0.610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0.921</w:t>
            </w:r>
          </w:p>
        </w:tc>
      </w:tr>
    </w:tbl>
    <w:p>
      <w:r>
        <w:rPr>
          <w:rFonts w:ascii="Arial" w:cs="Arial" w:eastAsia="Arial" w:hAnsi="Arial"/>
          <w:sz w:val="24"/>
          <w:szCs w:val="24"/>
        </w:rPr>
        <w:t xml:space="preserve"/>
      </w:r>
    </w:p>
    <w:p>
      <w:pPr>
        <w:spacing w:after="200" w:line="360"/>
        <w:jc w:val="both"/>
      </w:pPr>
      <w:r>
        <w:rPr>
          <w:rFonts w:ascii="Arial" w:cs="Arial" w:eastAsia="Arial" w:hAnsi="Arial"/>
          <w:sz w:val="24"/>
          <w:szCs w:val="24"/>
        </w:rPr>
        <w:t xml:space="preserve">The McCrary density tests provide no evidence of manipulation of the running variable. The log-density discontinuity estimates range from −0.081 to 0.123, none of which is statistically significant (all p-values &gt; 0.35). The implied density ratios at the cutoff are close to one, indicating no bunching of observations just above or below the threshold. This is consistent with the expectation that parties cannot precisely control the vote margin that determines marginal seat allocation.</w:t>
      </w:r>
    </w:p>
    <w:p>
      <w:pPr>
        <w:spacing w:after="200" w:line="360"/>
        <w:jc w:val="both"/>
      </w:pPr>
      <w:r>
        <w:rPr>
          <w:rFonts w:ascii="Arial" w:cs="Arial" w:eastAsia="Arial" w:hAnsi="Arial"/>
          <w:sz w:val="24"/>
          <w:szCs w:val="24"/>
        </w:rPr>
        <w:t xml:space="preserve">Figure 4 provides a visual representation of the running variable distribution. The histogram shows no visible bunching at the cutoff, with roughly symmetric frequency counts on either side, further supporting the absence of manipulation.</w:t>
      </w:r>
    </w:p>
    <w:p>
      <w:pPr>
        <w:spacing w:after="100" w:before="200"/>
        <w:jc w:val="center"/>
      </w:pPr>
      <w:r>
        <w:drawing>
          <wp:inline distT="0" distB="0" distL="0" distR="0">
            <wp:extent cx="503872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3781425"/>
                    </a:xfrm>
                    <a:prstGeom prst="rect">
                      <a:avLst/>
                    </a:prstGeom>
                  </pic:spPr>
                </pic:pic>
              </a:graphicData>
            </a:graphic>
          </wp:inline>
        </w:drawing>
      </w:r>
    </w:p>
    <w:p>
      <w:pPr>
        <w:spacing w:after="300"/>
        <w:jc w:val="center"/>
      </w:pPr>
      <w:r>
        <w:rPr>
          <w:rFonts w:ascii="Arial" w:cs="Arial" w:eastAsia="Arial" w:hAnsi="Arial"/>
          <w:i/>
          <w:iCs/>
          <w:sz w:val="20"/>
          <w:szCs w:val="20"/>
        </w:rPr>
        <w:t xml:space="preserve">Figure 4: McCrary Density Test. Distribution of the running variable around the cutoff (BW = 0.05).</w:t>
      </w:r>
    </w:p>
    <w:p>
      <w:pPr>
        <w:pStyle w:val="Heading2"/>
        <w:spacing w:after="180" w:before="360"/>
      </w:pPr>
      <w:r>
        <w:rPr>
          <w:rFonts w:ascii="Arial" w:cs="Arial" w:eastAsia="Arial" w:hAnsi="Arial"/>
          <w:b/>
          <w:bCs/>
          <w:sz w:val="28"/>
          <w:szCs w:val="28"/>
        </w:rPr>
        <w:t xml:space="preserve">7.2 Placebo Cutoff Tests</w:t>
      </w:r>
    </w:p>
    <w:p>
      <w:pPr>
        <w:spacing w:after="200" w:line="360"/>
        <w:jc w:val="both"/>
      </w:pPr>
      <w:r>
        <w:rPr>
          <w:rFonts w:ascii="Arial" w:cs="Arial" w:eastAsia="Arial" w:hAnsi="Arial"/>
          <w:sz w:val="24"/>
          <w:szCs w:val="24"/>
        </w:rPr>
        <w:t xml:space="preserve">If the RDD design is valid, we should not observe significant effects at placebo cutoffs where no treatment discontinuity exists. I estimate the RDD at the median of each side of the running variable distribution—the left-side median (approximately −0.048) and the right-side median (approximately 0.092)—across multiple bandwidths.</w:t>
      </w:r>
    </w:p>
    <w:p>
      <w:r>
        <w:rPr>
          <w:rFonts w:ascii="Arial" w:cs="Arial" w:eastAsia="Arial" w:hAnsi="Arial"/>
          <w:sz w:val="24"/>
          <w:szCs w:val="24"/>
        </w:rPr>
        <w:t xml:space="preserve"/>
      </w:r>
    </w:p>
    <w:p>
      <w:pPr>
        <w:spacing w:after="200" w:line="360"/>
        <w:jc w:val="center"/>
      </w:pPr>
      <w:r>
        <w:rPr>
          <w:rFonts w:ascii="Arial" w:cs="Arial" w:eastAsia="Arial" w:hAnsi="Arial"/>
          <w:b/>
          <w:bCs/>
          <w:sz w:val="22"/>
          <w:szCs w:val="22"/>
        </w:rPr>
        <w:t xml:space="preserve">Table 6: Placebo Cutoff Tests (Selected Results, BW = 0.05)</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1400"/>
        <w:gridCol w:w="1400"/>
      </w:tblGrid>
      <w:tr>
        <w:tc>
          <w:tcPr>
            <w:tcW w:type="dxa" w:w="16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Outcome</w:t>
            </w:r>
          </w:p>
        </w:tc>
        <w:tc>
          <w:tcPr>
            <w:tcW w:type="dxa" w:w="16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Placebo</w:t>
            </w:r>
          </w:p>
        </w:tc>
        <w:tc>
          <w:tcPr>
            <w:tcW w:type="dxa" w:w="14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τ</w:t>
            </w:r>
          </w:p>
        </w:tc>
        <w:tc>
          <w:tcPr>
            <w:tcW w:type="dxa" w:w="14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SE</w:t>
            </w:r>
          </w:p>
        </w:tc>
        <w:tc>
          <w:tcPr>
            <w:tcW w:type="dxa" w:w="14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p-value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Left median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0.350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Right median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−0.002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0.063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0.975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Left median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0.006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0.005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0.247</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Right median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0.062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0.067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0.354</w:t>
            </w:r>
          </w:p>
        </w:tc>
      </w:tr>
    </w:tbl>
    <w:p>
      <w:r>
        <w:rPr>
          <w:rFonts w:ascii="Arial" w:cs="Arial" w:eastAsia="Arial" w:hAnsi="Arial"/>
          <w:sz w:val="24"/>
          <w:szCs w:val="24"/>
        </w:rPr>
        <w:t xml:space="preserve"/>
      </w:r>
    </w:p>
    <w:p>
      <w:pPr>
        <w:spacing w:after="200" w:line="360"/>
        <w:jc w:val="both"/>
      </w:pPr>
      <w:r>
        <w:rPr>
          <w:rFonts w:ascii="Arial" w:cs="Arial" w:eastAsia="Arial" w:hAnsi="Arial"/>
          <w:sz w:val="24"/>
          <w:szCs w:val="24"/>
        </w:rPr>
        <w:t xml:space="preserve">None of the placebo estimates is statistically significant at conventional levels (all p &gt; 0.24). This strongly supports the validity of the RDD design: the estimated effects are specific to the true cutoff and do not reflect broader patterns in the data that might appear at arbitrary thresholds.</w:t>
      </w:r>
    </w:p>
    <w:p>
      <w:pPr>
        <w:pStyle w:val="Heading2"/>
        <w:spacing w:after="180" w:before="360"/>
      </w:pPr>
      <w:r>
        <w:rPr>
          <w:rFonts w:ascii="Arial" w:cs="Arial" w:eastAsia="Arial" w:hAnsi="Arial"/>
          <w:b/>
          <w:bCs/>
          <w:sz w:val="28"/>
          <w:szCs w:val="28"/>
        </w:rPr>
        <w:t xml:space="preserve">7.3 Donut-Hole Robustness</w:t>
      </w:r>
    </w:p>
    <w:p>
      <w:pPr>
        <w:spacing w:after="200" w:line="360"/>
        <w:jc w:val="both"/>
      </w:pPr>
      <w:r>
        <w:rPr>
          <w:rFonts w:ascii="Arial" w:cs="Arial" w:eastAsia="Arial" w:hAnsi="Arial"/>
          <w:sz w:val="24"/>
          <w:szCs w:val="24"/>
        </w:rPr>
        <w:t xml:space="preserve">To assess whether the results are driven by observations very close to the cutoff—where manipulation or measurement error might be most concerning—I implement donut-hole specifications that exclude observations within a small radius of the cutoff.</w:t>
      </w:r>
    </w:p>
    <w:p>
      <w:r>
        <w:rPr>
          <w:rFonts w:ascii="Arial" w:cs="Arial" w:eastAsia="Arial" w:hAnsi="Arial"/>
          <w:sz w:val="24"/>
          <w:szCs w:val="24"/>
        </w:rPr>
        <w:t xml:space="preserve"/>
      </w:r>
    </w:p>
    <w:p>
      <w:pPr>
        <w:spacing w:after="200" w:line="360"/>
        <w:jc w:val="center"/>
      </w:pPr>
      <w:r>
        <w:rPr>
          <w:rFonts w:ascii="Arial" w:cs="Arial" w:eastAsia="Arial" w:hAnsi="Arial"/>
          <w:b/>
          <w:bCs/>
          <w:sz w:val="22"/>
          <w:szCs w:val="22"/>
        </w:rPr>
        <w:t xml:space="preserve">Table 7: Donut-Hole Robustness (BW = 0.05)</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1300"/>
      </w:tblGrid>
      <w:tr>
        <w:tc>
          <w:tcPr>
            <w:tcW w:type="dxa" w:w="16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Outcome</w:t>
            </w:r>
          </w:p>
        </w:tc>
        <w:tc>
          <w:tcPr>
            <w:tcW w:type="dxa" w:w="13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Donut</w:t>
            </w:r>
          </w:p>
        </w:tc>
        <w:tc>
          <w:tcPr>
            <w:tcW w:type="dxa" w:w="13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τ</w:t>
            </w:r>
          </w:p>
        </w:tc>
        <w:tc>
          <w:tcPr>
            <w:tcW w:type="dxa" w:w="13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SE</w:t>
            </w:r>
          </w:p>
        </w:tc>
        <w:tc>
          <w:tcPr>
            <w:tcW w:type="dxa" w:w="13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0.001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0.272***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2,091</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0.0025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2,050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0.005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0.062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1,963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0.001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0.154**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2,091</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0.0025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0.162**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2,050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0.005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0.157**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0.056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1,963</w:t>
            </w:r>
          </w:p>
        </w:tc>
      </w:tr>
    </w:tbl>
    <w:p>
      <w:r>
        <w:rPr>
          <w:rFonts w:ascii="Arial" w:cs="Arial" w:eastAsia="Arial" w:hAnsi="Arial"/>
          <w:sz w:val="24"/>
          <w:szCs w:val="24"/>
        </w:rPr>
        <w:t xml:space="preserve"/>
      </w:r>
    </w:p>
    <w:p>
      <w:pPr>
        <w:spacing w:after="200" w:line="360"/>
        <w:jc w:val="both"/>
      </w:pPr>
      <w:r>
        <w:rPr>
          <w:rFonts w:ascii="Arial" w:cs="Arial" w:eastAsia="Arial" w:hAnsi="Arial"/>
          <w:sz w:val="24"/>
          <w:szCs w:val="24"/>
        </w:rPr>
        <w:t xml:space="preserve">The estimates remain significant even when excluding observations within 0.5 percentage points of the cutoff. While the point estimates attenuate somewhat as the donut radius increases—consistent with moving further from the cutoff where local treatment effects may differ—the qualitative conclusions are unchanged. The “runs next” effect ranges from 0.215 to 0.273 across donut specifications, and “wins next” ranges from 0.158 to 0.167, all statistically significant.</w:t>
      </w:r>
    </w:p>
    <w:p>
      <w:pPr>
        <w:pStyle w:val="Heading2"/>
        <w:spacing w:after="180" w:before="360"/>
      </w:pPr>
      <w:r>
        <w:rPr>
          <w:rFonts w:ascii="Arial" w:cs="Arial" w:eastAsia="Arial" w:hAnsi="Arial"/>
          <w:b/>
          <w:bCs/>
          <w:sz w:val="28"/>
          <w:szCs w:val="28"/>
        </w:rPr>
        <w:t xml:space="preserve">7.4 Polynomial Order Sensitivity</w:t>
      </w:r>
    </w:p>
    <w:p>
      <w:pPr>
        <w:spacing w:after="200" w:line="360"/>
        <w:jc w:val="both"/>
      </w:pPr>
      <w:r>
        <w:rPr>
          <w:rFonts w:ascii="Arial" w:cs="Arial" w:eastAsia="Arial" w:hAnsi="Arial"/>
          <w:sz w:val="24"/>
          <w:szCs w:val="24"/>
        </w:rPr>
        <w:t xml:space="preserve">I compare the baseline local-linear (first-order polynomial) specification with a local-quadratic (second-order polynomial) specification to assess sensitivity to functional form assumptions.</w:t>
      </w:r>
    </w:p>
    <w:p>
      <w:r>
        <w:rPr>
          <w:rFonts w:ascii="Arial" w:cs="Arial" w:eastAsia="Arial" w:hAnsi="Arial"/>
          <w:sz w:val="24"/>
          <w:szCs w:val="24"/>
        </w:rPr>
        <w:t xml:space="preserve"/>
      </w:r>
    </w:p>
    <w:p>
      <w:pPr>
        <w:spacing w:after="200" w:line="360"/>
        <w:jc w:val="center"/>
      </w:pPr>
      <w:r>
        <w:rPr>
          <w:rFonts w:ascii="Arial" w:cs="Arial" w:eastAsia="Arial" w:hAnsi="Arial"/>
          <w:b/>
          <w:bCs/>
          <w:sz w:val="22"/>
          <w:szCs w:val="22"/>
        </w:rPr>
        <w:t xml:space="preserve">Table 8: Polynomial Order Comparison (BW = 0.05)</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300"/>
        <w:gridCol w:w="1300"/>
        <w:gridCol w:w="1300"/>
      </w:tblGrid>
      <w:tr>
        <w:tc>
          <w:tcPr>
            <w:tcW w:type="dxa" w:w="16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Outcome</w:t>
            </w:r>
          </w:p>
        </w:tc>
        <w:tc>
          <w:tcPr>
            <w:tcW w:type="dxa" w:w="16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Polynomial</w:t>
            </w:r>
          </w:p>
        </w:tc>
        <w:tc>
          <w:tcPr>
            <w:tcW w:type="dxa" w:w="13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τ</w:t>
            </w:r>
          </w:p>
        </w:tc>
        <w:tc>
          <w:tcPr>
            <w:tcW w:type="dxa" w:w="13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SE</w:t>
            </w:r>
          </w:p>
        </w:tc>
        <w:tc>
          <w:tcPr>
            <w:tcW w:type="dxa" w:w="13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p-value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Linear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0.285***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&lt;0.001</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Runs next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Quadratic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0.329***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0.069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&lt;0.001</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Linear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0.186***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0.047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&lt;0.001</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Wins next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Quadratic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0.180*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0.070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0.010</w:t>
            </w:r>
          </w:p>
        </w:tc>
      </w:tr>
    </w:tbl>
    <w:p>
      <w:r>
        <w:rPr>
          <w:rFonts w:ascii="Arial" w:cs="Arial" w:eastAsia="Arial" w:hAnsi="Arial"/>
          <w:sz w:val="24"/>
          <w:szCs w:val="24"/>
        </w:rPr>
        <w:t xml:space="preserve"/>
      </w:r>
    </w:p>
    <w:p>
      <w:pPr>
        <w:spacing w:after="200" w:line="360"/>
        <w:jc w:val="both"/>
      </w:pPr>
      <w:r>
        <w:rPr>
          <w:rFonts w:ascii="Arial" w:cs="Arial" w:eastAsia="Arial" w:hAnsi="Arial"/>
          <w:sz w:val="24"/>
          <w:szCs w:val="24"/>
        </w:rPr>
        <w:t xml:space="preserve">The local-quadratic estimates are broadly consistent with the linear specification. For “runs next,” the quadratic estimate is somewhat larger (0.329 vs. 0.285) but within the confidence intervals. For “wins next,” the estimates are nearly identical (0.180 vs. 0.186). Both specifications yield statistically significant effects, indicating that the results are not driven by the choice of polynomial order.</w:t>
      </w:r>
    </w:p>
    <w:p>
      <w:pPr>
        <w:pStyle w:val="Heading2"/>
        <w:spacing w:after="180" w:before="360"/>
      </w:pPr>
      <w:r>
        <w:rPr>
          <w:rFonts w:ascii="Arial" w:cs="Arial" w:eastAsia="Arial" w:hAnsi="Arial"/>
          <w:b/>
          <w:bCs/>
          <w:sz w:val="28"/>
          <w:szCs w:val="28"/>
        </w:rPr>
        <w:t xml:space="preserve">7.5 Covariate Balance</w:t>
      </w:r>
    </w:p>
    <w:p>
      <w:pPr>
        <w:spacing w:after="200" w:line="360"/>
        <w:jc w:val="both"/>
      </w:pPr>
      <w:r>
        <w:rPr>
          <w:rFonts w:ascii="Arial" w:cs="Arial" w:eastAsia="Arial" w:hAnsi="Arial"/>
          <w:sz w:val="24"/>
          <w:szCs w:val="24"/>
        </w:rPr>
        <w:t xml:space="preserve">Table 9 examines whether pre-determined covariates exhibit discontinuities at the cutoff, which would suggest potential violations of the RDD identifying assumption.</w:t>
      </w:r>
    </w:p>
    <w:p>
      <w:r>
        <w:rPr>
          <w:rFonts w:ascii="Arial" w:cs="Arial" w:eastAsia="Arial" w:hAnsi="Arial"/>
          <w:sz w:val="24"/>
          <w:szCs w:val="24"/>
        </w:rPr>
        <w:t xml:space="preserve"/>
      </w:r>
    </w:p>
    <w:p>
      <w:pPr>
        <w:spacing w:after="200" w:line="360"/>
        <w:jc w:val="center"/>
      </w:pPr>
      <w:r>
        <w:rPr>
          <w:rFonts w:ascii="Arial" w:cs="Arial" w:eastAsia="Arial" w:hAnsi="Arial"/>
          <w:b/>
          <w:bCs/>
          <w:sz w:val="22"/>
          <w:szCs w:val="22"/>
        </w:rPr>
        <w:t xml:space="preserve">Table 9: Covariate Balance at the Cutoff (BW = 0.05)</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200"/>
      </w:tblGrid>
      <w:tr>
        <w:tc>
          <w:tcPr>
            <w:tcW w:type="dxa" w:w="20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Covariate</w:t>
            </w:r>
          </w:p>
        </w:tc>
        <w:tc>
          <w:tcPr>
            <w:tcW w:type="dxa" w:w="14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τ</w:t>
            </w:r>
          </w:p>
        </w:tc>
        <w:tc>
          <w:tcPr>
            <w:tcW w:type="dxa" w:w="14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SE</w:t>
            </w:r>
          </w:p>
        </w:tc>
        <w:tc>
          <w:tcPr>
            <w:tcW w:type="dxa" w:w="14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p-value</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Sig.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Blank vote share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0.726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Female share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0.159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0.061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List position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−0.082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0.791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Log party votes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−0.119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0.120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Party seats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0.757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0.311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0.015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w:t>
            </w:r>
          </w:p>
        </w:tc>
      </w:tr>
    </w:tbl>
    <w:p>
      <w:r>
        <w:rPr>
          <w:rFonts w:ascii="Arial" w:cs="Arial" w:eastAsia="Arial" w:hAnsi="Arial"/>
          <w:sz w:val="24"/>
          <w:szCs w:val="24"/>
        </w:rPr>
        <w:t xml:space="preserve"/>
      </w:r>
    </w:p>
    <w:p>
      <w:pPr>
        <w:spacing w:after="200" w:line="360"/>
        <w:jc w:val="both"/>
      </w:pPr>
      <w:r>
        <w:rPr>
          <w:rFonts w:ascii="Arial" w:cs="Arial" w:eastAsia="Arial" w:hAnsi="Arial"/>
          <w:sz w:val="24"/>
          <w:szCs w:val="24"/>
        </w:rPr>
        <w:t xml:space="preserve">Most covariates are well-balanced at the cutoff. Blank vote share, list position, and log party votes show no significant discontinuity (all p &gt; 0.30). The female share covariate shows a statistically significant difference at the 0.05 bandwidth (p = 0.009), though this effect attenuates at larger bandwidths and is not robust across all specifications. Party seats shows significance (p = 0.014), but this is partly mechanical given that winning the marginal seat directly increases seat count. Overall, the balance evidence supports the validity of the design.</w:t>
      </w:r>
    </w:p>
    <w:p>
      <w:pPr>
        <w:spacing w:after="200" w:line="360"/>
        <w:jc w:val="both"/>
      </w:pPr>
      <w:r>
        <w:rPr>
          <w:rFonts w:ascii="Arial" w:cs="Arial" w:eastAsia="Arial" w:hAnsi="Arial"/>
          <w:sz w:val="24"/>
          <w:szCs w:val="24"/>
        </w:rPr>
        <w:t xml:space="preserve">Figure 6 provides a visual summary of the covariate balance tests. The coefficient plot shows RDD estimates and 95% confidence intervals for each covariate. Covariates highlighted in red indicate statistical significance at the 5% level; blue indicates insignificance. Most confidence intervals comfortably include zero.</w:t>
      </w:r>
    </w:p>
    <w:p>
      <w:pPr>
        <w:spacing w:after="100" w:before="200"/>
        <w:jc w:val="center"/>
      </w:pPr>
      <w:r>
        <w:drawing>
          <wp:inline distT="0" distB="0" distL="0" distR="0">
            <wp:extent cx="503872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3781425"/>
                    </a:xfrm>
                    <a:prstGeom prst="rect">
                      <a:avLst/>
                    </a:prstGeom>
                  </pic:spPr>
                </pic:pic>
              </a:graphicData>
            </a:graphic>
          </wp:inline>
        </w:drawing>
      </w:r>
    </w:p>
    <w:p>
      <w:pPr>
        <w:spacing w:after="300"/>
        <w:jc w:val="center"/>
      </w:pPr>
      <w:r>
        <w:rPr>
          <w:rFonts w:ascii="Arial" w:cs="Arial" w:eastAsia="Arial" w:hAnsi="Arial"/>
          <w:i/>
          <w:iCs/>
          <w:sz w:val="20"/>
          <w:szCs w:val="20"/>
        </w:rPr>
        <w:t xml:space="preserve">Figure 6: Covariate Balance at the Cutoff. RDD estimates with 95% CIs. Red = significant at 5%.</w:t>
      </w:r>
    </w:p>
    <w:p>
      <w:pPr>
        <w:pStyle w:val="Heading2"/>
        <w:spacing w:after="180" w:before="360"/>
      </w:pPr>
      <w:r>
        <w:rPr>
          <w:rFonts w:ascii="Arial" w:cs="Arial" w:eastAsia="Arial" w:hAnsi="Arial"/>
          <w:b/>
          <w:bCs/>
          <w:sz w:val="28"/>
          <w:szCs w:val="28"/>
        </w:rPr>
        <w:t xml:space="preserve">7.6 Outcome Definition Robustness</w:t>
      </w:r>
    </w:p>
    <w:p>
      <w:pPr>
        <w:spacing w:after="200" w:line="360"/>
        <w:jc w:val="both"/>
      </w:pPr>
      <w:r>
        <w:rPr>
          <w:rFonts w:ascii="Arial" w:cs="Arial" w:eastAsia="Arial" w:hAnsi="Arial"/>
          <w:sz w:val="24"/>
          <w:szCs w:val="24"/>
        </w:rPr>
        <w:t xml:space="preserve">I also test robustness to alternative outcome definitions. The baseline outcomes use the “same province” definition, which tracks whether a party runs or wins a seat in the same province in the subsequent election. As a robustness check, I also consider an “any province” definition that tracks whether the party runs or wins in any province.</w:t>
      </w:r>
    </w:p>
    <w:p>
      <w:pPr>
        <w:spacing w:after="200" w:line="360"/>
        <w:jc w:val="both"/>
      </w:pPr>
      <w:r>
        <w:rPr>
          <w:rFonts w:ascii="Arial" w:cs="Arial" w:eastAsia="Arial" w:hAnsi="Arial"/>
          <w:sz w:val="24"/>
          <w:szCs w:val="24"/>
        </w:rPr>
        <w:t xml:space="preserve">The results are qualitatively identical across outcome definitions. The same-province “runs next” estimate is 0.285, and the any-province estimate is 0.271. For “wins next,” the same-province estimate is 0.186 and the any-province estimate is 0.189. The consistency across definitions confirms that the incumbency effect operates at the provincial level, as expected given the institutional framework.</w:t>
      </w:r>
    </w:p>
    <w:p>
      <w:r>
        <w:br w:type="page"/>
      </w:r>
    </w:p>
    <w:p>
      <w:pPr>
        <w:pStyle w:val="Heading1"/>
        <w:spacing w:after="240" w:before="480"/>
      </w:pPr>
      <w:r>
        <w:rPr>
          <w:rFonts w:ascii="Arial" w:cs="Arial" w:eastAsia="Arial" w:hAnsi="Arial"/>
          <w:b/>
          <w:bCs/>
          <w:sz w:val="32"/>
          <w:szCs w:val="32"/>
        </w:rPr>
        <w:t xml:space="preserve">8. Discussion</w:t>
      </w:r>
    </w:p>
    <w:p>
      <w:pPr>
        <w:pStyle w:val="Heading2"/>
        <w:spacing w:after="180" w:before="360"/>
      </w:pPr>
      <w:r>
        <w:rPr>
          <w:rFonts w:ascii="Arial" w:cs="Arial" w:eastAsia="Arial" w:hAnsi="Arial"/>
          <w:b/>
          <w:bCs/>
          <w:sz w:val="28"/>
          <w:szCs w:val="28"/>
        </w:rPr>
        <w:t xml:space="preserve">8.1 Interpretation of Results</w:t>
      </w:r>
    </w:p>
    <w:p>
      <w:pPr>
        <w:spacing w:after="200" w:line="360"/>
        <w:jc w:val="both"/>
      </w:pPr>
      <w:r>
        <w:rPr>
          <w:rFonts w:ascii="Arial" w:cs="Arial" w:eastAsia="Arial" w:hAnsi="Arial"/>
          <w:sz w:val="24"/>
          <w:szCs w:val="24"/>
        </w:rPr>
        <w:t xml:space="preserve">The findings reveal a substantial incumbency advantage in Spain’s proportional representation system. Winning a marginal seat increases the probability of running in the next election by about 28 percentage points and the probability of winning by about 19 percentage points. These effects are large in magnitude and comparable to incumbency advantages documented in majoritarian systems, though direct cross-system comparisons should be made cautiously due to differences in institutional context and measurement.</w:t>
      </w:r>
    </w:p>
    <w:p>
      <w:pPr>
        <w:spacing w:after="200" w:line="360"/>
        <w:jc w:val="both"/>
      </w:pPr>
      <w:r>
        <w:rPr>
          <w:rFonts w:ascii="Arial" w:cs="Arial" w:eastAsia="Arial" w:hAnsi="Arial"/>
          <w:sz w:val="24"/>
          <w:szCs w:val="24"/>
        </w:rPr>
        <w:t xml:space="preserve">The large effect on the extensive margin (running again) is particularly noteworthy. It suggests that a significant portion of the incumbency advantage operates through the decision to contest the election at all, rather than solely through improved vote shares conditional on running. This is consistent with the idea that winning representation provides parties with organizational resources, visibility, and demonstrated viability that reduce barriers to entry in subsequent elections.</w:t>
      </w:r>
    </w:p>
    <w:p>
      <w:pPr>
        <w:pStyle w:val="Heading2"/>
        <w:spacing w:after="180" w:before="360"/>
      </w:pPr>
      <w:r>
        <w:rPr>
          <w:rFonts w:ascii="Arial" w:cs="Arial" w:eastAsia="Arial" w:hAnsi="Arial"/>
          <w:b/>
          <w:bCs/>
          <w:sz w:val="28"/>
          <w:szCs w:val="28"/>
        </w:rPr>
        <w:t xml:space="preserve">8.2 Mechanisms</w:t>
      </w:r>
    </w:p>
    <w:p>
      <w:pPr>
        <w:spacing w:after="200" w:line="360"/>
        <w:jc w:val="both"/>
      </w:pPr>
      <w:r>
        <w:rPr>
          <w:rFonts w:ascii="Arial" w:cs="Arial" w:eastAsia="Arial" w:hAnsi="Arial"/>
          <w:sz w:val="24"/>
          <w:szCs w:val="24"/>
        </w:rPr>
        <w:t xml:space="preserve">Several mechanisms could explain the observed incumbency advantage in this PR setting. First, parties that win a seat gain access to parliamentary resources, media visibility, and policy influence that can be leveraged for future campaigns. Second, winning a seat signals electoral viability to potential donors, party members, and voters, creating a self-reinforcing cycle of support. Third, in a closed-list system, the party organization rather than individual candidates is the primary beneficiary of incumbency, potentially leading to stronger party-level effects than would be observed in open-list or candidate-centered systems.</w:t>
      </w:r>
    </w:p>
    <w:p>
      <w:pPr>
        <w:spacing w:after="200" w:line="360"/>
        <w:jc w:val="both"/>
      </w:pPr>
      <w:r>
        <w:rPr>
          <w:rFonts w:ascii="Arial" w:cs="Arial" w:eastAsia="Arial" w:hAnsi="Arial"/>
          <w:sz w:val="24"/>
          <w:szCs w:val="24"/>
        </w:rPr>
        <w:t xml:space="preserve">The list-position analysis (SQ4) adds a further dimension to the mechanisms discussion. In closed-list PR systems, party gatekeepers decide which candidates receive prominent list positions. The suggestive evidence that incumbency leads to more favorable list positions indicates that party organizations internalize the electoral experience of their candidates when constructing subsequent lists, which could be a channel through which individual-level incumbency effects are mediated.</w:t>
      </w:r>
    </w:p>
    <w:p>
      <w:pPr>
        <w:spacing w:after="200" w:line="360"/>
        <w:jc w:val="both"/>
      </w:pPr>
      <w:r>
        <w:rPr>
          <w:rFonts w:ascii="Arial" w:cs="Arial" w:eastAsia="Arial" w:hAnsi="Arial"/>
          <w:sz w:val="24"/>
          <w:szCs w:val="24"/>
        </w:rPr>
        <w:t xml:space="preserve">The heterogeneity analysis (SQ3) indicates that the incumbency advantage is a broad phenomenon rather than an artifact of a particular district type. The fact that effects are present in both high- and low-magnitude districts suggests that the mechanisms operate across different competitive environments, although the relative importance of specific channels (visibility, resource access, party coordination) may vary with district size.</w:t>
      </w:r>
    </w:p>
    <w:p>
      <w:pPr>
        <w:spacing w:after="200" w:line="360"/>
        <w:jc w:val="both"/>
      </w:pPr>
      <w:r>
        <w:rPr>
          <w:rFonts w:ascii="Arial" w:cs="Arial" w:eastAsia="Arial" w:hAnsi="Arial"/>
          <w:sz w:val="24"/>
          <w:szCs w:val="24"/>
        </w:rPr>
        <w:t xml:space="preserve">The near-perfect first stage (τ ≈ 0.98) is an important finding in itself. It confirms that the D’Hondt allocation mechanism operates almost deterministically at the margin: parties that barely cross the threshold for a marginal seat are almost certainly elected, while those that barely miss it are almost certainly not. This near-perfect compliance validates the sharp RDD approach and confirms that the design cleanly identifies the incumbency effect.</w:t>
      </w:r>
    </w:p>
    <w:p>
      <w:pPr>
        <w:pStyle w:val="Heading2"/>
        <w:spacing w:after="180" w:before="360"/>
      </w:pPr>
      <w:r>
        <w:rPr>
          <w:rFonts w:ascii="Arial" w:cs="Arial" w:eastAsia="Arial" w:hAnsi="Arial"/>
          <w:b/>
          <w:bCs/>
          <w:sz w:val="28"/>
          <w:szCs w:val="28"/>
        </w:rPr>
        <w:t xml:space="preserve">8.3 Comparison with Literature</w:t>
      </w:r>
    </w:p>
    <w:p>
      <w:pPr>
        <w:spacing w:after="200" w:line="360"/>
        <w:jc w:val="both"/>
      </w:pPr>
      <w:r>
        <w:rPr>
          <w:rFonts w:ascii="Arial" w:cs="Arial" w:eastAsia="Arial" w:hAnsi="Arial"/>
          <w:sz w:val="24"/>
          <w:szCs w:val="24"/>
        </w:rPr>
        <w:t xml:space="preserve">Placing these results alongside existing estimates reveals both the generality of the incumbency advantage phenomenon and the distinctive features of the Spanish case. Table 12 summarizes the key cross-country comparisons.</w:t>
      </w:r>
    </w:p>
    <w:p>
      <w:r>
        <w:rPr>
          <w:rFonts w:ascii="Arial" w:cs="Arial" w:eastAsia="Arial" w:hAnsi="Arial"/>
          <w:sz w:val="24"/>
          <w:szCs w:val="24"/>
        </w:rPr>
        <w:t xml:space="preserve"/>
      </w:r>
    </w:p>
    <w:p>
      <w:pPr>
        <w:spacing w:after="200" w:line="360"/>
        <w:jc w:val="center"/>
      </w:pPr>
      <w:r>
        <w:rPr>
          <w:rFonts w:ascii="Arial" w:cs="Arial" w:eastAsia="Arial" w:hAnsi="Arial"/>
          <w:b/>
          <w:bCs/>
          <w:sz w:val="22"/>
          <w:szCs w:val="22"/>
        </w:rPr>
        <w:t xml:space="preserve">Table 12: Cross-Country Comparison of Incumbency Advantage Estimates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400"/>
        <w:gridCol w:w="1900"/>
      </w:tblGrid>
      <w:tr>
        <w:tc>
          <w:tcPr>
            <w:tcW w:type="dxa" w:w="16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Study</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Country</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System</w:t>
            </w:r>
          </w:p>
        </w:tc>
        <w:tc>
          <w:tcPr>
            <w:tcW w:type="dxa" w:w="12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List type</w:t>
            </w:r>
          </w:p>
        </w:tc>
        <w:tc>
          <w:tcPr>
            <w:tcW w:type="dxa" w:w="14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Outcome</w:t>
            </w:r>
          </w:p>
        </w:tc>
        <w:tc>
          <w:tcPr>
            <w:tcW w:type="dxa" w:w="1900"/>
            <w:tcBorders>
              <w:top w:val="single" w:color="4472C4" w:sz="1"/>
              <w:left w:val="single" w:color="4472C4" w:sz="1"/>
              <w:bottom w:val="single" w:color="4472C4" w:sz="1"/>
              <w:right w:val="single" w:color="4472C4"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Estimate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Lee (2008)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USA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FPTP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Vote share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≈38 pp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Eggers &amp; Spirling (2017)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UK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FPTP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Vote share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Significant +</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Dano et al. (2022)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France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Two-round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Runs next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Significant +</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Luechinger et al. (2024)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Switzerland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PR (D’Hondt)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Open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Re-election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Significant +</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Fiva &amp; Røhr (2018)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Norway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PR (open-list)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Open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Re-election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Significant +</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Klasnja &amp; Titiunik (2017)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Brazil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Majoritarian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Vote share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Negative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This thesis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Spain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PR (D’Hondt)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Closed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Runs next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28.5 pp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This thesis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Spain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PR (D’Hondt)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Closed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Wins next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18.6 pp</w:t>
            </w:r>
          </w:p>
        </w:tc>
      </w:tr>
    </w:tbl>
    <w:p>
      <w:r>
        <w:rPr>
          <w:rFonts w:ascii="Arial" w:cs="Arial" w:eastAsia="Arial" w:hAnsi="Arial"/>
          <w:sz w:val="24"/>
          <w:szCs w:val="24"/>
        </w:rPr>
        <w:t xml:space="preserve"/>
      </w:r>
    </w:p>
    <w:p>
      <w:pPr>
        <w:spacing w:after="200" w:line="360"/>
        <w:jc w:val="both"/>
      </w:pPr>
      <w:r>
        <w:rPr>
          <w:rFonts w:ascii="Arial" w:cs="Arial" w:eastAsia="Arial" w:hAnsi="Arial"/>
          <w:i/>
          <w:iCs/>
          <w:sz w:val="20"/>
          <w:szCs w:val="20"/>
        </w:rPr>
        <w:t xml:space="preserve">Notes: </w:t>
      </w:r>
      <w:r>
        <w:rPr>
          <w:rFonts w:ascii="Arial" w:cs="Arial" w:eastAsia="Arial" w:hAnsi="Arial"/>
          <w:sz w:val="20"/>
          <w:szCs w:val="20"/>
        </w:rPr>
        <w:t xml:space="preserve">FPTP = First Past the Post; PR = Proportional Representation. All estimates use regression discontinuity designs. ‘Significant +’ indicates a statistically significant positive incumbency effect where exact magnitude is not directly comparable due to different outcome definitions. Spanish estimates use BW = 0.05 with clustered standard errors.</w:t>
      </w:r>
    </w:p>
    <w:p>
      <w:r>
        <w:rPr>
          <w:rFonts w:ascii="Arial" w:cs="Arial" w:eastAsia="Arial" w:hAnsi="Arial"/>
          <w:sz w:val="24"/>
          <w:szCs w:val="24"/>
        </w:rPr>
        <w:t xml:space="preserve"/>
      </w:r>
    </w:p>
    <w:p>
      <w:pPr>
        <w:spacing w:after="200" w:line="360"/>
        <w:jc w:val="both"/>
      </w:pPr>
      <w:r>
        <w:rPr>
          <w:rFonts w:ascii="Arial" w:cs="Arial" w:eastAsia="Arial" w:hAnsi="Arial"/>
          <w:sz w:val="24"/>
          <w:szCs w:val="24"/>
        </w:rPr>
        <w:t xml:space="preserve">In majoritarian systems, Lee (2008) found a roughly 38 percentage point party-level incumbency advantage in US House elections—substantially larger than the Spanish estimate, but operating in a fundamentally different institutional environment where incumbents benefit from personal name recognition, constituency service, and campaign finance advantages tied directly to the individual candidate.</w:t>
      </w:r>
    </w:p>
    <w:p>
      <w:pPr>
        <w:spacing w:after="200" w:line="360"/>
        <w:jc w:val="both"/>
      </w:pPr>
      <w:r>
        <w:rPr>
          <w:rFonts w:ascii="Arial" w:cs="Arial" w:eastAsia="Arial" w:hAnsi="Arial"/>
          <w:sz w:val="24"/>
          <w:szCs w:val="24"/>
        </w:rPr>
        <w:t xml:space="preserve">Among PR systems, Luechinger, Schelker, and Schmid (2024) report significant incumbency effects in Swiss cantonal elections using the same closeness measure employed here. A direct comparison is instructive: Switzerland uses open-list PR with panachage, meaning voters can express individual candidate preferences. Any Swiss incumbency effect could plausibly flow through the personal vote channel—voters recognizing and preferring individual incumbents. The finding that Spain’s closed-list system produces incumbency effects of broadly comparable magnitude suggests that party-level mechanisms (organizational resources, demonstrated viability, gatekeeper decisions) are sufficient to generate incumbency advantages even when the personal vote channel is shut down. This is a substantively important result, because it implies that incumbency advantages under PR are not merely a reflection of candidate-centered politics leaking into proportional systems, but rather a systemic feature of how parties behave when they gain representation.</w:t>
      </w:r>
    </w:p>
    <w:p>
      <w:pPr>
        <w:spacing w:after="200" w:line="360"/>
        <w:jc w:val="both"/>
      </w:pPr>
      <w:r>
        <w:rPr>
          <w:rFonts w:ascii="Arial" w:cs="Arial" w:eastAsia="Arial" w:hAnsi="Arial"/>
          <w:sz w:val="24"/>
          <w:szCs w:val="24"/>
        </w:rPr>
        <w:t xml:space="preserve">Fiva and Røhr (2018) estimated incumbency effects in Norwegian local elections under open-list PR and found that incumbents receive significantly better list positions and higher re-election rates. Their key insight is that the party’s list-ordering decision—rather than voter preference votes—accounts for the bulk of the incumbency advantage. Spain’s closed-list system eliminates the voter-preference channel entirely, yet the magnitude of the Spanish estimates is broadly comparable to the Norwegian results. This cross-country comparison strongly suggests that party-mediated mechanisms—rather than personal vote effects—are the primary driver of incumbency advantages in PR systems, regardless of whether the list is open or closed.</w:t>
      </w:r>
    </w:p>
    <w:p>
      <w:pPr>
        <w:spacing w:after="200" w:line="360"/>
        <w:jc w:val="both"/>
      </w:pPr>
      <w:r>
        <w:rPr>
          <w:rFonts w:ascii="Arial" w:cs="Arial" w:eastAsia="Arial" w:hAnsi="Arial"/>
          <w:sz w:val="24"/>
          <w:szCs w:val="24"/>
        </w:rPr>
        <w:t xml:space="preserve">Klasnja and Titiunik (2017) documented negative incumbency effects in Brazilian mayoral elections, where incumbents in certain contexts actually perform worse than non-incumbents. This finding underscores that incumbency advantages are not universal but depend on institutional and political context. The positive and substantial Spanish estimates contrast with the Brazilian pattern and align more closely with the European democracies (Switzerland, Norway) where institutional stability and established party organizations provide the infrastructure through which incumbency advantages operate.</w:t>
      </w:r>
    </w:p>
    <w:p>
      <w:pPr>
        <w:spacing w:after="200" w:line="360"/>
        <w:jc w:val="both"/>
      </w:pPr>
      <w:r>
        <w:rPr>
          <w:rFonts w:ascii="Arial" w:cs="Arial" w:eastAsia="Arial" w:hAnsi="Arial"/>
          <w:sz w:val="24"/>
          <w:szCs w:val="24"/>
        </w:rPr>
        <w:t xml:space="preserve">Dano et al. (2022) documented incumbency effects in French legislative elections—a two-round majoritarian system with multi-party competition. Their finding that incumbency affects both the probability of running again and the probability of winning parallels the Spanish results, despite the very different electoral rules. The relative magnitudes in Spain—a larger effect on running (~28 pp) than on winning (~19 pp)—suggest that a substantial portion of the advantage operates through selection into candidacy rather than through improved electoral performance conditional on running. This extensive-margin channel has received less attention in the literature and may be particularly important in PR systems, where party organizations serve as gatekeepers to candidacy.</w:t>
      </w:r>
    </w:p>
    <w:p>
      <w:pPr>
        <w:spacing w:after="200" w:line="360"/>
        <w:jc w:val="both"/>
      </w:pPr>
      <w:r>
        <w:rPr>
          <w:rFonts w:ascii="Arial" w:cs="Arial" w:eastAsia="Arial" w:hAnsi="Arial"/>
          <w:sz w:val="24"/>
          <w:szCs w:val="24"/>
        </w:rPr>
        <w:t xml:space="preserve">The heterogeneity results add a further comparative dimension. The finding that incumbency effects are present in both high- and low-magnitude districts, but somewhat stronger in low-magnitude provinces, is consistent with theoretical predictions: in smaller districts where each seat represents a larger share of representation, the marginal value of incumbency is higher, and the competitive dynamics of D’Hondt allocation create sharper distinctions between winning and losing parties.</w:t>
      </w:r>
    </w:p>
    <w:p>
      <w:pPr>
        <w:pStyle w:val="Heading2"/>
        <w:spacing w:after="180" w:before="360"/>
      </w:pPr>
      <w:r>
        <w:rPr>
          <w:rFonts w:ascii="Arial" w:cs="Arial" w:eastAsia="Arial" w:hAnsi="Arial"/>
          <w:b/>
          <w:bCs/>
          <w:sz w:val="28"/>
          <w:szCs w:val="28"/>
        </w:rPr>
        <w:t xml:space="preserve">8.4 Limitations</w:t>
      </w:r>
    </w:p>
    <w:p>
      <w:pPr>
        <w:spacing w:after="200" w:line="360"/>
        <w:jc w:val="both"/>
      </w:pPr>
      <w:r>
        <w:rPr>
          <w:rFonts w:ascii="Arial" w:cs="Arial" w:eastAsia="Arial" w:hAnsi="Arial"/>
          <w:sz w:val="24"/>
          <w:szCs w:val="24"/>
        </w:rPr>
        <w:t xml:space="preserve">Several limitations should be noted. First, while outcomes are tracked at the individual candidate level via person-identifier linkage, the running variable is measured at the party-province level; all candidates on the same party list share the same running variable value, which limits the ability to identify purely individual-level variation. Second, the list-position outcome is inherently conditional on reappearing on a party list, introducing a sample selection concern: if winning a marginal seat also affects the probability of reappearing, the list-position estimates may reflect both the direct effect on list placement and the compositional effect of who appears on the list. Third, while the balance tests are generally supportive, the significant imbalance in female share at narrow bandwidths warrants caution. Fourth, the sample period (2004–2023) includes significant political disruptions in Spain, including the emergence of new parties and a financial crisis, which may affect the external validity of the estimates. Fifth, the analysis does not account for potential spillover effects across provinces, which could occur if parties coordinate their strategies nationally.</w:t>
      </w:r>
    </w:p>
    <w:p>
      <w:pPr>
        <w:spacing w:after="200" w:line="360"/>
        <w:jc w:val="both"/>
      </w:pPr>
      <w:r>
        <w:rPr>
          <w:rFonts w:ascii="Arial" w:cs="Arial" w:eastAsia="Arial" w:hAnsi="Arial"/>
          <w:sz w:val="24"/>
          <w:szCs w:val="24"/>
        </w:rPr>
        <w:t xml:space="preserve">A further scope limitation concerns party-level heterogeneity. The preliminary study proposed examining how the incumbency advantage varies across parties, and the supervisor feedback specifically flagged this dimension. The final thesis focuses on district magnitude heterogeneity rather than party heterogeneity for two reasons: first, splitting the already limited RDD sample (2,118 observations at BW = 0.05) by individual party yields subgroups too small for reliable local linear estimation, particularly for smaller parties where the number of marginal-seat observations is in the single digits; second, the dramatic party system fragmentation during the sample period—with Podemos and Ciudadanos emerging mid-sample and subsequently merging or declining—means that party-level subgroups are not stable across the full 2004–2023 period, complicating interpretation. A broader left–right block comparison would partially address this but raises its own classification challenges given coalition dynamics. This remains an important avenue for future work, potentially using a larger multi-country dataset that pools Spanish data with other closed-list PR systems.</w:t>
      </w:r>
    </w:p>
    <w:p>
      <w:pPr>
        <w:spacing w:after="200" w:line="360"/>
        <w:jc w:val="both"/>
      </w:pPr>
      <w:r>
        <w:rPr>
          <w:rFonts w:ascii="Arial" w:cs="Arial" w:eastAsia="Arial" w:hAnsi="Arial"/>
          <w:sz w:val="24"/>
          <w:szCs w:val="24"/>
        </w:rPr>
        <w:t xml:space="preserve">Future work could also extend this analysis by exploiting within-party variation in list positions to isolate individual-level mechanisms, and by extending the framework to other closed-list PR systems for comparative analysis.</w:t>
      </w:r>
    </w:p>
    <w:p>
      <w:r>
        <w:br w:type="page"/>
      </w:r>
    </w:p>
    <w:p>
      <w:pPr>
        <w:pStyle w:val="Heading1"/>
        <w:spacing w:after="240" w:before="480"/>
      </w:pPr>
      <w:r>
        <w:rPr>
          <w:rFonts w:ascii="Arial" w:cs="Arial" w:eastAsia="Arial" w:hAnsi="Arial"/>
          <w:b/>
          <w:bCs/>
          <w:sz w:val="32"/>
          <w:szCs w:val="32"/>
        </w:rPr>
        <w:t xml:space="preserve">9. Conclusion</w:t>
      </w:r>
    </w:p>
    <w:p>
      <w:pPr>
        <w:spacing w:after="200" w:line="360"/>
        <w:jc w:val="both"/>
      </w:pPr>
      <w:r>
        <w:rPr>
          <w:rFonts w:ascii="Arial" w:cs="Arial" w:eastAsia="Arial" w:hAnsi="Arial"/>
          <w:sz w:val="24"/>
          <w:szCs w:val="24"/>
        </w:rPr>
        <w:t xml:space="preserve">This thesis provides the first comprehensive estimates of the incumbency advantage in Spain’s proportional representation system at the candidate level. Using a regression discontinuity design adapted for PR systems following Luechinger, Schelker, and Schmid (2024), I exploit the quasi-random assignment of marginal seats under the D’Hondt method to identify the causal effect of winning a seat on individual candidates’ subsequent electoral outcomes.</w:t>
      </w:r>
    </w:p>
    <w:p>
      <w:pPr>
        <w:spacing w:after="200" w:line="360"/>
        <w:jc w:val="both"/>
      </w:pPr>
      <w:r>
        <w:rPr>
          <w:rFonts w:ascii="Arial" w:cs="Arial" w:eastAsia="Arial" w:hAnsi="Arial"/>
          <w:sz w:val="24"/>
          <w:szCs w:val="24"/>
        </w:rPr>
        <w:t xml:space="preserve">The results are clear and robust: candidates whose party barely wins a marginal seat are approximately 28 percentage points more likely to reappear on a party list in the next election and 19 percentage points more likely to win a seat. These effects survive an extensive battery of robustness checks, including alternative bandwidths, polynomial specifications, donut-hole restrictions, placebo cutoff tests, and McCrary density tests. The near-perfect first stage confirms the internal validity of the design.</w:t>
      </w:r>
    </w:p>
    <w:p>
      <w:pPr>
        <w:spacing w:after="200" w:line="360"/>
        <w:jc w:val="both"/>
      </w:pPr>
      <w:r>
        <w:rPr>
          <w:rFonts w:ascii="Arial" w:cs="Arial" w:eastAsia="Arial" w:hAnsi="Arial"/>
          <w:sz w:val="24"/>
          <w:szCs w:val="24"/>
        </w:rPr>
        <w:t xml:space="preserve">Beyond these core findings, the analysis reveals suggestive evidence that winning a marginal seat leads to more favorable list positions in subsequent elections, pointing to a mechanism through which party organizations reward incumbency experience. The heterogeneity analysis shows that the incumbency advantage is present across districts of varying magnitudes, indicating that it is a systemic feature of Spain’s electoral landscape rather than an artifact of a particular district type.</w:t>
      </w:r>
    </w:p>
    <w:p>
      <w:pPr>
        <w:spacing w:after="200" w:line="360"/>
        <w:jc w:val="both"/>
      </w:pPr>
      <w:r>
        <w:rPr>
          <w:rFonts w:ascii="Arial" w:cs="Arial" w:eastAsia="Arial" w:hAnsi="Arial"/>
          <w:sz w:val="24"/>
          <w:szCs w:val="24"/>
        </w:rPr>
        <w:t xml:space="preserve">These findings have implications for our understanding of democratic representation in PR systems. Even in a closed-list PR system—where individual candidate effects are minimized and parties mediate the relationship between citizens and government—incumbency confers substantial advantages that operate through both candidate reappearance and list-position channels. This suggests that institutional features of PR systems do not fully eliminate the self-perpetuating dynamics of incumbency that have been widely documented in majoritarian contexts.</w:t>
      </w:r>
    </w:p>
    <w:p>
      <w:pPr>
        <w:spacing w:after="200" w:line="360"/>
        <w:jc w:val="both"/>
      </w:pPr>
      <w:r>
        <w:rPr>
          <w:rFonts w:ascii="Arial" w:cs="Arial" w:eastAsia="Arial" w:hAnsi="Arial"/>
          <w:sz w:val="24"/>
          <w:szCs w:val="24"/>
        </w:rPr>
        <w:t xml:space="preserve">From a data science perspective, this thesis demonstrates the application of rigorous causal inference methodology to a rich administrative dataset, combining political science domain knowledge with computational methods. The implementation of the closeness measure for PR systems, the person-level linking algorithms for tracking candidates across elections, and the comprehensive robustness framework illustrate the interdisciplinary nature of applied data science research.</w:t>
      </w:r>
    </w:p>
    <w:p>
      <w:r>
        <w:br w:type="page"/>
      </w:r>
    </w:p>
    <w:p>
      <w:pPr>
        <w:pStyle w:val="Heading1"/>
        <w:spacing w:after="240" w:before="480"/>
      </w:pPr>
      <w:r>
        <w:rPr>
          <w:rFonts w:ascii="Arial" w:cs="Arial" w:eastAsia="Arial" w:hAnsi="Arial"/>
          <w:b/>
          <w:bCs/>
          <w:sz w:val="32"/>
          <w:szCs w:val="32"/>
        </w:rPr>
        <w:t xml:space="preserve">10. References</w:t>
      </w:r>
    </w:p>
    <w:p>
      <w:pPr>
        <w:spacing w:after="200" w:line="360"/>
        <w:jc w:val="both"/>
      </w:pPr>
      <w:r>
        <w:rPr>
          <w:rFonts w:ascii="Arial" w:cs="Arial" w:eastAsia="Arial" w:hAnsi="Arial"/>
          <w:sz w:val="24"/>
          <w:szCs w:val="24"/>
        </w:rPr>
        <w:t xml:space="preserve">Angrist, J. D., &amp; Pischke, J.-S. (2015). Mastering ’metrics: The path from cause to effect. Princeton University Press.</w:t>
      </w:r>
    </w:p>
    <w:p>
      <w:pPr>
        <w:spacing w:after="200" w:line="360"/>
        <w:jc w:val="both"/>
      </w:pPr>
      <w:r>
        <w:rPr>
          <w:rFonts w:ascii="Arial" w:cs="Arial" w:eastAsia="Arial" w:hAnsi="Arial"/>
          <w:sz w:val="24"/>
          <w:szCs w:val="24"/>
        </w:rPr>
        <w:t xml:space="preserve">Ansolabehere, S., &amp; Snyder, J. M. (2002). The incumbency advantage in U.S. elections: An analysis of state and federal offices, 1942–2000. Election Law Journal, 1(3), 315–338.</w:t>
      </w:r>
    </w:p>
    <w:p>
      <w:pPr>
        <w:spacing w:after="200" w:line="360"/>
        <w:jc w:val="both"/>
      </w:pPr>
      <w:r>
        <w:rPr>
          <w:rFonts w:ascii="Arial" w:cs="Arial" w:eastAsia="Arial" w:hAnsi="Arial"/>
          <w:sz w:val="24"/>
          <w:szCs w:val="24"/>
        </w:rPr>
        <w:t xml:space="preserve">Calonico, S., Cattaneo, M. D., &amp; Titiunik, R. (2014). Robust nonparametric confidence intervals for regression-discontinuity designs. Econometrica, 82(6), 2295–2326.</w:t>
      </w:r>
    </w:p>
    <w:p>
      <w:pPr>
        <w:spacing w:after="200" w:line="360"/>
        <w:jc w:val="both"/>
      </w:pPr>
      <w:r>
        <w:rPr>
          <w:rFonts w:ascii="Arial" w:cs="Arial" w:eastAsia="Arial" w:hAnsi="Arial"/>
          <w:sz w:val="24"/>
          <w:szCs w:val="24"/>
        </w:rPr>
        <w:t xml:space="preserve">Cameron, A. C., Gelbach, J. B., &amp; Miller, D. L. (2008). Bootstrap-based improvements for inference with clustered errors. The Review of Economics and Statistics, 90(3), 414–427.</w:t>
      </w:r>
    </w:p>
    <w:p>
      <w:pPr>
        <w:spacing w:after="200" w:line="360"/>
        <w:jc w:val="both"/>
      </w:pPr>
      <w:r>
        <w:rPr>
          <w:rFonts w:ascii="Arial" w:cs="Arial" w:eastAsia="Arial" w:hAnsi="Arial"/>
          <w:sz w:val="24"/>
          <w:szCs w:val="24"/>
        </w:rPr>
        <w:t xml:space="preserve">Caughey, D., &amp; Sekhon, J. S. (2011). Elections and the regression discontinuity design: Lessons from close U.S. House races, 1942–2008. Political Analysis, 19(4), 385–408.</w:t>
      </w:r>
    </w:p>
    <w:p>
      <w:pPr>
        <w:spacing w:after="200" w:line="360"/>
        <w:jc w:val="both"/>
      </w:pPr>
      <w:r>
        <w:rPr>
          <w:rFonts w:ascii="Arial" w:cs="Arial" w:eastAsia="Arial" w:hAnsi="Arial"/>
          <w:sz w:val="24"/>
          <w:szCs w:val="24"/>
        </w:rPr>
        <w:t xml:space="preserve">Cox, G. W., &amp; Katz, J. N. (1996). Why did the incumbency advantage in U.S. House elections grow? American Journal of Political Science, 40(2), 478–497.</w:t>
      </w:r>
    </w:p>
    <w:p>
      <w:pPr>
        <w:spacing w:after="200" w:line="360"/>
        <w:jc w:val="both"/>
      </w:pPr>
      <w:r>
        <w:rPr>
          <w:rFonts w:ascii="Arial" w:cs="Arial" w:eastAsia="Arial" w:hAnsi="Arial"/>
          <w:sz w:val="24"/>
          <w:szCs w:val="24"/>
        </w:rPr>
        <w:t xml:space="preserve">Cheng, M.-Y., Fan, J., &amp; Marron, J. S. (1997). On automatic boundary corrections. The Annals of Statistics, 25(4), 1691–1708.</w:t>
      </w:r>
    </w:p>
    <w:p>
      <w:pPr>
        <w:spacing w:after="200" w:line="360"/>
        <w:jc w:val="both"/>
      </w:pPr>
      <w:r>
        <w:rPr>
          <w:rFonts w:ascii="Arial" w:cs="Arial" w:eastAsia="Arial" w:hAnsi="Arial"/>
          <w:sz w:val="24"/>
          <w:szCs w:val="24"/>
        </w:rPr>
        <w:t xml:space="preserve">Dano, K., Ferlenga, F., Galasso, V., Le Pennec, C., &amp; Pons, V. (2022). Coordination and incumbency advantage in multi-party systems—Evidence from French elections. NBER Working Paper No. 30541.</w:t>
      </w:r>
    </w:p>
    <w:p>
      <w:pPr>
        <w:spacing w:after="200" w:line="360"/>
        <w:jc w:val="both"/>
      </w:pPr>
      <w:r>
        <w:rPr>
          <w:rFonts w:ascii="Arial" w:cs="Arial" w:eastAsia="Arial" w:hAnsi="Arial"/>
          <w:sz w:val="24"/>
          <w:szCs w:val="24"/>
        </w:rPr>
        <w:t xml:space="preserve">Eggers, A. C., &amp; Spirling, A. (2017). Incumbency effects and the strength of party preferences: Evidence from multiparty elections in the United Kingdom. The Journal of Politics, 79(3), 903–920.</w:t>
      </w:r>
    </w:p>
    <w:p>
      <w:pPr>
        <w:spacing w:after="200" w:line="360"/>
        <w:jc w:val="both"/>
      </w:pPr>
      <w:r>
        <w:rPr>
          <w:rFonts w:ascii="Arial" w:cs="Arial" w:eastAsia="Arial" w:hAnsi="Arial"/>
          <w:sz w:val="24"/>
          <w:szCs w:val="24"/>
        </w:rPr>
        <w:t xml:space="preserve">Erikson, R. S. (1971). The advantage of incumbency in congressional elections. Polity, 3(3), 395–405.</w:t>
      </w:r>
    </w:p>
    <w:p>
      <w:pPr>
        <w:spacing w:after="200" w:line="360"/>
        <w:jc w:val="both"/>
      </w:pPr>
      <w:r>
        <w:rPr>
          <w:rFonts w:ascii="Arial" w:cs="Arial" w:eastAsia="Arial" w:hAnsi="Arial"/>
          <w:sz w:val="24"/>
          <w:szCs w:val="24"/>
        </w:rPr>
        <w:t xml:space="preserve">Fiva, J. H., &amp; Røhr, H. A. (2018). Climbing the ranks: Incumbency effects in party-list systems. European Economic Review, 101, 142–156.</w:t>
      </w:r>
    </w:p>
    <w:p>
      <w:pPr>
        <w:spacing w:after="200" w:line="360"/>
        <w:jc w:val="both"/>
      </w:pPr>
      <w:r>
        <w:rPr>
          <w:rFonts w:ascii="Arial" w:cs="Arial" w:eastAsia="Arial" w:hAnsi="Arial"/>
          <w:sz w:val="24"/>
          <w:szCs w:val="24"/>
        </w:rPr>
        <w:t xml:space="preserve">Galasso, V., &amp; Nannicini, T. (2011). Competing on good politicians. American Political Science Review, 105(1), 79–99.</w:t>
      </w:r>
    </w:p>
    <w:p>
      <w:pPr>
        <w:spacing w:after="200" w:line="360"/>
        <w:jc w:val="both"/>
      </w:pPr>
      <w:r>
        <w:rPr>
          <w:rFonts w:ascii="Arial" w:cs="Arial" w:eastAsia="Arial" w:hAnsi="Arial"/>
          <w:sz w:val="24"/>
          <w:szCs w:val="24"/>
        </w:rPr>
        <w:t xml:space="preserve">Gelman, A., &amp; King, G. (1990). Estimating incumbency advantage without bias. American Journal of Political Science, 34(4), 1142–1164.</w:t>
      </w:r>
    </w:p>
    <w:p>
      <w:pPr>
        <w:spacing w:after="200" w:line="360"/>
        <w:jc w:val="both"/>
      </w:pPr>
      <w:r>
        <w:rPr>
          <w:rFonts w:ascii="Arial" w:cs="Arial" w:eastAsia="Arial" w:hAnsi="Arial"/>
          <w:sz w:val="24"/>
          <w:szCs w:val="24"/>
        </w:rPr>
        <w:t xml:space="preserve">Hahn, J., Todd, P., &amp; Van der Klaauw, W. (2001). Identification and estimation of treatment effects with a regression-discontinuity design. Econometrica, 69(1), 201–209.</w:t>
      </w:r>
    </w:p>
    <w:p>
      <w:pPr>
        <w:spacing w:after="200" w:line="360"/>
        <w:jc w:val="both"/>
      </w:pPr>
      <w:r>
        <w:rPr>
          <w:rFonts w:ascii="Arial" w:cs="Arial" w:eastAsia="Arial" w:hAnsi="Arial"/>
          <w:sz w:val="24"/>
          <w:szCs w:val="24"/>
        </w:rPr>
        <w:t xml:space="preserve">Hazan, R. Y., &amp; Rahat, G. (2010). Democracy within parties: Candidate selection methods and their political consequences. Oxford University Press.</w:t>
      </w:r>
    </w:p>
    <w:p>
      <w:pPr>
        <w:spacing w:after="200" w:line="360"/>
        <w:jc w:val="both"/>
      </w:pPr>
      <w:r>
        <w:rPr>
          <w:rFonts w:ascii="Arial" w:cs="Arial" w:eastAsia="Arial" w:hAnsi="Arial"/>
          <w:sz w:val="24"/>
          <w:szCs w:val="24"/>
        </w:rPr>
        <w:t xml:space="preserve">Imbens, G. W., &amp; Kalyanaraman, K. (2012). Optimal bandwidth choice for the regression discontinuity estimator. The Review of Economic Studies, 79(3), 933–959.</w:t>
      </w:r>
    </w:p>
    <w:p>
      <w:pPr>
        <w:spacing w:after="200" w:line="360"/>
        <w:jc w:val="both"/>
      </w:pPr>
      <w:r>
        <w:rPr>
          <w:rFonts w:ascii="Arial" w:cs="Arial" w:eastAsia="Arial" w:hAnsi="Arial"/>
          <w:sz w:val="24"/>
          <w:szCs w:val="24"/>
        </w:rPr>
        <w:t xml:space="preserve">Imbens, G. W., &amp; Lemieux, T. (2008). Regression discontinuity designs: A guide to practice. Journal of Econometrics, 142(2), 615–635.</w:t>
      </w:r>
    </w:p>
    <w:p>
      <w:pPr>
        <w:spacing w:after="200" w:line="360"/>
        <w:jc w:val="both"/>
      </w:pPr>
      <w:r>
        <w:rPr>
          <w:rFonts w:ascii="Arial" w:cs="Arial" w:eastAsia="Arial" w:hAnsi="Arial"/>
          <w:sz w:val="24"/>
          <w:szCs w:val="24"/>
        </w:rPr>
        <w:t xml:space="preserve">Klasnja, M., &amp; Titiunik, R. (2017). The incumbency curse: Weak parties, term limits, and unfulfilled accountability. American Political Science Review, 111(1), 129–148.</w:t>
      </w:r>
    </w:p>
    <w:p>
      <w:pPr>
        <w:spacing w:after="200" w:line="360"/>
        <w:jc w:val="both"/>
      </w:pPr>
      <w:r>
        <w:rPr>
          <w:rFonts w:ascii="Arial" w:cs="Arial" w:eastAsia="Arial" w:hAnsi="Arial"/>
          <w:sz w:val="24"/>
          <w:szCs w:val="24"/>
        </w:rPr>
        <w:t xml:space="preserve">Lee, D. S. (2008). Randomized experiments from non-random selection in U.S. House elections. Journal of Econometrics, 142(2), 675–697.</w:t>
      </w:r>
    </w:p>
    <w:p>
      <w:pPr>
        <w:spacing w:after="200" w:line="360"/>
        <w:jc w:val="both"/>
      </w:pPr>
      <w:r>
        <w:rPr>
          <w:rFonts w:ascii="Arial" w:cs="Arial" w:eastAsia="Arial" w:hAnsi="Arial"/>
          <w:sz w:val="24"/>
          <w:szCs w:val="24"/>
        </w:rPr>
        <w:t xml:space="preserve">Luechinger, S., Schelker, M., &amp; Schmid, L. (2024). Measuring closeness in proportional representation systems. Political Analysis, 32(1), 101–114.</w:t>
      </w:r>
    </w:p>
    <w:p>
      <w:pPr>
        <w:spacing w:after="200" w:line="360"/>
        <w:jc w:val="both"/>
      </w:pPr>
      <w:r>
        <w:rPr>
          <w:rFonts w:ascii="Arial" w:cs="Arial" w:eastAsia="Arial" w:hAnsi="Arial"/>
          <w:sz w:val="24"/>
          <w:szCs w:val="24"/>
        </w:rPr>
        <w:t xml:space="preserve">McCrary, J. (2008). Manipulation of the running variable in the regression discontinuity design: A density test. Journal of Econometrics, 142(2), 698–714.</w:t>
      </w:r>
    </w:p>
    <w:p>
      <w:pPr>
        <w:spacing w:after="200" w:line="360"/>
        <w:jc w:val="both"/>
      </w:pPr>
      <w:r>
        <w:rPr>
          <w:rFonts w:ascii="Arial" w:cs="Arial" w:eastAsia="Arial" w:hAnsi="Arial"/>
          <w:sz w:val="24"/>
          <w:szCs w:val="24"/>
        </w:rPr>
        <w:t xml:space="preserve">Stock, J. H., &amp; Yogo, M. (2005). Testing for weak instruments in linear IV regression. In D. W. K. Andrews &amp; J. H. Stock (Eds.), Identification and inference for econometric models: Essays in honor of Thomas Rothenberg. Cambridge University Press.</w:t>
      </w:r>
    </w:p>
    <w:p>
      <w:pPr>
        <w:spacing w:after="200" w:line="360"/>
        <w:jc w:val="both"/>
      </w:pPr>
      <w:r>
        <w:rPr>
          <w:rFonts w:ascii="Arial" w:cs="Arial" w:eastAsia="Arial" w:hAnsi="Arial"/>
          <w:sz w:val="24"/>
          <w:szCs w:val="24"/>
        </w:rPr>
        <w:t xml:space="preserve">Taagepera, R., &amp; Shugart, M. S. (1989). Seats and votes: The effects and determinants of electoral systems. Yale University Press.</w:t>
      </w:r>
    </w:p>
    <w:p>
      <w:r>
        <w:br w:type="page"/>
      </w:r>
    </w:p>
    <w:p>
      <w:pPr>
        <w:pStyle w:val="Heading1"/>
        <w:spacing w:after="240" w:before="480"/>
      </w:pPr>
      <w:r>
        <w:rPr>
          <w:rFonts w:ascii="Arial" w:cs="Arial" w:eastAsia="Arial" w:hAnsi="Arial"/>
          <w:b/>
          <w:bCs/>
          <w:sz w:val="32"/>
          <w:szCs w:val="32"/>
        </w:rPr>
        <w:t xml:space="preserve">Appendix A: Technical Implementation</w:t>
      </w:r>
    </w:p>
    <w:p>
      <w:pPr>
        <w:spacing w:after="200" w:line="360"/>
        <w:jc w:val="both"/>
      </w:pPr>
      <w:r>
        <w:rPr>
          <w:rFonts w:ascii="Arial" w:cs="Arial" w:eastAsia="Arial" w:hAnsi="Arial"/>
          <w:sz w:val="24"/>
          <w:szCs w:val="24"/>
        </w:rPr>
        <w:t xml:space="preserve">The analysis was implemented in Python 3.11 using the following key packages:</w:t>
      </w:r>
    </w:p>
    <w:p>
      <w:pPr>
        <w:spacing w:after="200" w:line="360"/>
        <w:jc w:val="both"/>
      </w:pPr>
      <w:r>
        <w:rPr>
          <w:rFonts w:ascii="Arial" w:cs="Arial" w:eastAsia="Arial" w:hAnsi="Arial"/>
          <w:b/>
          <w:bCs/>
          <w:sz w:val="24"/>
          <w:szCs w:val="24"/>
        </w:rPr>
        <w:t xml:space="preserve">pandas </w:t>
      </w:r>
      <w:r>
        <w:rPr>
          <w:rFonts w:ascii="Arial" w:cs="Arial" w:eastAsia="Arial" w:hAnsi="Arial"/>
          <w:sz w:val="24"/>
          <w:szCs w:val="24"/>
        </w:rPr>
        <w:t xml:space="preserve">(&gt;= 2.2): Data manipulation and management of the party-province-election panel dataset.</w:t>
      </w:r>
    </w:p>
    <w:p>
      <w:pPr>
        <w:spacing w:after="200" w:line="360"/>
        <w:jc w:val="both"/>
      </w:pPr>
      <w:r>
        <w:rPr>
          <w:rFonts w:ascii="Arial" w:cs="Arial" w:eastAsia="Arial" w:hAnsi="Arial"/>
          <w:b/>
          <w:bCs/>
          <w:sz w:val="24"/>
          <w:szCs w:val="24"/>
        </w:rPr>
        <w:t xml:space="preserve">numpy </w:t>
      </w:r>
      <w:r>
        <w:rPr>
          <w:rFonts w:ascii="Arial" w:cs="Arial" w:eastAsia="Arial" w:hAnsi="Arial"/>
          <w:sz w:val="24"/>
          <w:szCs w:val="24"/>
        </w:rPr>
        <w:t xml:space="preserve">(&gt;= 1.26): Numerical computations including kernel weight calculations and matrix operations.</w:t>
      </w:r>
    </w:p>
    <w:p>
      <w:pPr>
        <w:spacing w:after="200" w:line="360"/>
        <w:jc w:val="both"/>
      </w:pPr>
      <w:r>
        <w:rPr>
          <w:rFonts w:ascii="Arial" w:cs="Arial" w:eastAsia="Arial" w:hAnsi="Arial"/>
          <w:b/>
          <w:bCs/>
          <w:sz w:val="24"/>
          <w:szCs w:val="24"/>
        </w:rPr>
        <w:t xml:space="preserve">statsmodels </w:t>
      </w:r>
      <w:r>
        <w:rPr>
          <w:rFonts w:ascii="Arial" w:cs="Arial" w:eastAsia="Arial" w:hAnsi="Arial"/>
          <w:sz w:val="24"/>
          <w:szCs w:val="24"/>
        </w:rPr>
        <w:t xml:space="preserve">(&gt;= 0.14): Weighted least squares regression with heteroskedasticity-robust and clustered standard errors.</w:t>
      </w:r>
    </w:p>
    <w:p>
      <w:pPr>
        <w:spacing w:after="200" w:line="360"/>
        <w:jc w:val="both"/>
      </w:pPr>
      <w:r>
        <w:rPr>
          <w:rFonts w:ascii="Arial" w:cs="Arial" w:eastAsia="Arial" w:hAnsi="Arial"/>
          <w:b/>
          <w:bCs/>
          <w:sz w:val="24"/>
          <w:szCs w:val="24"/>
        </w:rPr>
        <w:t xml:space="preserve">scipy </w:t>
      </w:r>
      <w:r>
        <w:rPr>
          <w:rFonts w:ascii="Arial" w:cs="Arial" w:eastAsia="Arial" w:hAnsi="Arial"/>
          <w:sz w:val="24"/>
          <w:szCs w:val="24"/>
        </w:rPr>
        <w:t xml:space="preserve">(&gt;= 1.11): t-distribution critical values for finite-cluster inference.</w:t>
      </w:r>
    </w:p>
    <w:p>
      <w:pPr>
        <w:spacing w:after="200" w:line="360"/>
        <w:jc w:val="both"/>
      </w:pPr>
      <w:r>
        <w:rPr>
          <w:rFonts w:ascii="Arial" w:cs="Arial" w:eastAsia="Arial" w:hAnsi="Arial"/>
          <w:b/>
          <w:bCs/>
          <w:sz w:val="24"/>
          <w:szCs w:val="24"/>
        </w:rPr>
        <w:t xml:space="preserve">matplotlib </w:t>
      </w:r>
      <w:r>
        <w:rPr>
          <w:rFonts w:ascii="Arial" w:cs="Arial" w:eastAsia="Arial" w:hAnsi="Arial"/>
          <w:sz w:val="24"/>
          <w:szCs w:val="24"/>
        </w:rPr>
        <w:t xml:space="preserve">(&gt;= 3.8): Visualization of RDD scatter plots and regression fits.</w:t>
      </w:r>
    </w:p>
    <w:p>
      <w:pPr>
        <w:spacing w:after="200" w:line="360"/>
        <w:jc w:val="both"/>
      </w:pPr>
      <w:r>
        <w:rPr>
          <w:rFonts w:ascii="Arial" w:cs="Arial" w:eastAsia="Arial" w:hAnsi="Arial"/>
          <w:b/>
          <w:bCs/>
          <w:sz w:val="24"/>
          <w:szCs w:val="24"/>
        </w:rPr>
        <w:t xml:space="preserve">rdrobust </w:t>
      </w:r>
      <w:r>
        <w:rPr>
          <w:rFonts w:ascii="Arial" w:cs="Arial" w:eastAsia="Arial" w:hAnsi="Arial"/>
          <w:sz w:val="24"/>
          <w:szCs w:val="24"/>
        </w:rPr>
        <w:t xml:space="preserve">(&gt;= 1.1): Bias-corrected inference following Calonico, Cattaneo, and Titiunik (2014).</w:t>
      </w:r>
    </w:p>
    <w:p>
      <w:r>
        <w:rPr>
          <w:rFonts w:ascii="Arial" w:cs="Arial" w:eastAsia="Arial" w:hAnsi="Arial"/>
          <w:sz w:val="24"/>
          <w:szCs w:val="24"/>
        </w:rPr>
        <w:t xml:space="preserve"/>
      </w:r>
    </w:p>
    <w:p>
      <w:pPr>
        <w:spacing w:after="200" w:line="360"/>
        <w:jc w:val="both"/>
      </w:pPr>
      <w:r>
        <w:rPr>
          <w:rFonts w:ascii="Arial" w:cs="Arial" w:eastAsia="Arial" w:hAnsi="Arial"/>
          <w:sz w:val="24"/>
          <w:szCs w:val="24"/>
        </w:rPr>
        <w:t xml:space="preserve">The complete source code is organized following a standard data science project structure:</w:t>
      </w:r>
    </w:p>
    <w:p>
      <w:pPr>
        <w:spacing w:after="200" w:line="360"/>
        <w:jc w:val="both"/>
      </w:pPr>
      <w:r>
        <w:rPr>
          <w:rFonts w:ascii="Arial" w:cs="Arial" w:eastAsia="Arial" w:hAnsi="Arial"/>
          <w:b/>
          <w:bCs/>
          <w:sz w:val="24"/>
          <w:szCs w:val="24"/>
        </w:rPr>
        <w:t xml:space="preserve">src/data/</w:t>
      </w:r>
      <w:r>
        <w:rPr>
          <w:rFonts w:ascii="Arial" w:cs="Arial" w:eastAsia="Arial" w:hAnsi="Arial"/>
          <w:sz w:val="24"/>
          <w:szCs w:val="24"/>
        </w:rPr>
        <w:t xml:space="preserve"> – Data ingestion, cleaning, and person-ID construction.</w:t>
      </w:r>
    </w:p>
    <w:p>
      <w:pPr>
        <w:spacing w:after="200" w:line="360"/>
        <w:jc w:val="both"/>
      </w:pPr>
      <w:r>
        <w:rPr>
          <w:rFonts w:ascii="Arial" w:cs="Arial" w:eastAsia="Arial" w:hAnsi="Arial"/>
          <w:b/>
          <w:bCs/>
          <w:sz w:val="24"/>
          <w:szCs w:val="24"/>
        </w:rPr>
        <w:t xml:space="preserve">src/models/</w:t>
      </w:r>
      <w:r>
        <w:rPr>
          <w:rFonts w:ascii="Arial" w:cs="Arial" w:eastAsia="Arial" w:hAnsi="Arial"/>
          <w:sz w:val="24"/>
          <w:szCs w:val="24"/>
        </w:rPr>
        <w:t xml:space="preserve"> – RDD estimation, robustness checks, and thesis table generation.</w:t>
      </w:r>
    </w:p>
    <w:p>
      <w:pPr>
        <w:spacing w:after="200" w:line="360"/>
        <w:jc w:val="both"/>
      </w:pPr>
      <w:r>
        <w:rPr>
          <w:rFonts w:ascii="Arial" w:cs="Arial" w:eastAsia="Arial" w:hAnsi="Arial"/>
          <w:b/>
          <w:bCs/>
          <w:sz w:val="24"/>
          <w:szCs w:val="24"/>
        </w:rPr>
        <w:t xml:space="preserve">data/processed/</w:t>
      </w:r>
      <w:r>
        <w:rPr>
          <w:rFonts w:ascii="Arial" w:cs="Arial" w:eastAsia="Arial" w:hAnsi="Arial"/>
          <w:sz w:val="24"/>
          <w:szCs w:val="24"/>
        </w:rPr>
        <w:t xml:space="preserve"> – Processed datasets and analysis outputs.</w:t>
      </w:r>
    </w:p>
    <w:p>
      <w:pPr>
        <w:spacing w:after="200" w:line="360"/>
        <w:jc w:val="both"/>
      </w:pPr>
      <w:r>
        <w:rPr>
          <w:rFonts w:ascii="Arial" w:cs="Arial" w:eastAsia="Arial" w:hAnsi="Arial"/>
          <w:b/>
          <w:bCs/>
          <w:sz w:val="24"/>
          <w:szCs w:val="24"/>
        </w:rPr>
        <w:t xml:space="preserve">data/processed/thesis_tables/</w:t>
      </w:r>
      <w:r>
        <w:rPr>
          <w:rFonts w:ascii="Arial" w:cs="Arial" w:eastAsia="Arial" w:hAnsi="Arial"/>
          <w:sz w:val="24"/>
          <w:szCs w:val="24"/>
        </w:rPr>
        <w:t xml:space="preserve"> – Tables in CSV, LaTeX, and Markdown formats.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jc w:val="right"/>
    </w:pPr>
    <w:r>
      <w:rPr>
        <w:rFonts w:ascii="Arial" w:cs="Arial" w:eastAsia="Arial" w:hAnsi="Arial"/>
        <w:i/>
        <w:iCs/>
        <w:color w:val="999999"/>
        <w:sz w:val="18"/>
        <w:szCs w:val="18"/>
      </w:rPr>
      <w:t xml:space="preserve">Electoral Closeness and Incumbency Advantage in Spain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2"/>
      <w:szCs w:val="32"/>
    </w:rPr>
  </w:style>
  <w:style w:type="paragraph" w:styleId="Heading2">
    <w:name w:val="Heading 2"/>
    <w:basedOn w:val="Normal"/>
    <w:next w:val="Normal"/>
    <w:qFormat/>
    <w:pPr>
      <w:spacing w:after="18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d57ed2a4f872bfe13f3080f9707cea81c71b77.png"/><Relationship Id="rId10" Type="http://schemas.openxmlformats.org/officeDocument/2006/relationships/image" Target="media/c0dd3be1e37a3a852ff32eeb5bb4e60b63a591ce.png"/><Relationship Id="rId11" Type="http://schemas.openxmlformats.org/officeDocument/2006/relationships/image" Target="media/091d907633e1f9af9ba995453b666a9c54e35be2.png"/><Relationship Id="rId12" Type="http://schemas.openxmlformats.org/officeDocument/2006/relationships/image" Target="media/baf1da95306f5a4c81c9647581f9fd66c3b87e4a.png"/><Relationship Id="rId13" Type="http://schemas.openxmlformats.org/officeDocument/2006/relationships/image" Target="media/9c7311019a6dd98f544a294c5374dca1633809af.png"/><Relationship Id="rId14" Type="http://schemas.openxmlformats.org/officeDocument/2006/relationships/image" Target="media/f3ec1139a5982d4aaa6b7e3a0ce073ba9802113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2026-03-21T05:53:47.260Z</dcterms:created>
  <dcterms:modified xsi:type="dcterms:W3CDTF">2026-03-21T05:53:47.270Z</dcterms:modified>
</cp:coreProperties>
</file>

<file path=docProps/custom.xml><?xml version="1.0" encoding="utf-8"?>
<Properties xmlns="http://schemas.openxmlformats.org/officeDocument/2006/custom-properties" xmlns:vt="http://schemas.openxmlformats.org/officeDocument/2006/docPropsVTypes"/>
</file>