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28.5 percentage points more likely to reappear on a party list in the subsequent election (sharp RDD, p &lt; 0.001) and 26.2 percentage points more likely to win a seat (sharp RDD, p =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Outcome Definition Robustness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McCrary Density Tests</w:t>
      </w:r>
    </w:p>
    <w:p>
      <w:pPr>
        <w:spacing w:after="200" w:line="360"/>
        <w:jc w:val="both"/>
      </w:pPr>
      <w:r>
        <w:rPr>
          <w:rFonts w:ascii="Arial" w:cs="Arial" w:eastAsia="Arial" w:hAnsi="Arial"/>
          <w:sz w:val="24"/>
          <w:szCs w:val="24"/>
        </w:rPr>
        <w:t xml:space="preserve">Table 10: Covariate Balance at the Cutoff</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First, it extends the RDD approach to incumbency estimation in a PR context using the closeness measure recently proposed by Luechinger, Schelker, and Schmid (2024), which adapts the close-election framework to proportional representation systems with multi-member districts. Second, it provides the first comprehensive analysis of incumbency advantage in Spanish congressional elections at the candidate level, tracking individual politicians across elections via a person-identifier linkage algorithm. Third, it investigates whether incumbency effects vary with district magnitude and whether winning a marginal seat influences a candidate’s subsequent list position—a question unique to closed-list PR systems. Fourth, by implementing a comprehensive battery of robustness checks—including placebo cutoff tests, donut-hole restrictions, polynomial order sensitivity, and density tests—it establishes the credibility of the empirical design. Finally, from a data science perspective, this thesis demonstrates the application of causal inference methods to a rich administrative dataset, bridging political science theory with applied information and data science methodology.</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Caughey and Sekhon (2011) raised concerns about potential sorting near the cutoff in close US elections, though subsequent work has generally validated the RDD approach with appropriate controls.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w:t>
      </w:r>
    </w:p>
    <w:p>
      <w:pPr>
        <w:spacing w:after="200" w:line="360"/>
        <w:jc w:val="both"/>
      </w:pPr>
      <w:r>
        <w:rPr>
          <w:rFonts w:ascii="Arial" w:cs="Arial" w:eastAsia="Arial" w:hAnsi="Arial"/>
          <w:b/>
          <w:bCs/>
          <w:sz w:val="24"/>
          <w:szCs w:val="24"/>
        </w:rPr>
        <w:t xml:space="preserve">H1: </w:t>
      </w:r>
      <w:r>
        <w:rPr>
          <w:rFonts w:ascii="Arial" w:cs="Arial" w:eastAsia="Arial" w:hAnsi="Arial"/>
          <w:sz w:val="24"/>
          <w:szCs w:val="24"/>
        </w:rPr>
        <w:t xml:space="preserve">Candidates whose party barely wins a marginal seat are more likely to reappear on the party list in the subsequent election (extensive margin incumbency advantage).</w:t>
      </w:r>
    </w:p>
    <w:p>
      <w:pPr>
        <w:spacing w:after="200" w:line="360"/>
        <w:jc w:val="both"/>
      </w:pPr>
      <w:r>
        <w:rPr>
          <w:rFonts w:ascii="Arial" w:cs="Arial" w:eastAsia="Arial" w:hAnsi="Arial"/>
          <w:sz w:val="24"/>
          <w:szCs w:val="24"/>
        </w:rPr>
        <w:t xml:space="preserve">Rationale: Winning representation provides organizational resources, media visibility, and demonstrated electoral viability that reduce the costs and increase the expected benefits of contesting the next election. Candidates from parties that lose their last seat in a province may be more likely to be dropped from the list or to exit politics due to reduced perceived viability.</w:t>
      </w:r>
    </w:p>
    <w:p>
      <w:pPr>
        <w:spacing w:after="200" w:line="360"/>
        <w:jc w:val="both"/>
      </w:pPr>
      <w:r>
        <w:rPr>
          <w:rFonts w:ascii="Arial" w:cs="Arial" w:eastAsia="Arial" w:hAnsi="Arial"/>
          <w:b/>
          <w:bCs/>
          <w:sz w:val="24"/>
          <w:szCs w:val="24"/>
        </w:rPr>
        <w:t xml:space="preserve">H2: </w:t>
      </w:r>
      <w:r>
        <w:rPr>
          <w:rFonts w:ascii="Arial" w:cs="Arial" w:eastAsia="Arial" w:hAnsi="Arial"/>
          <w:sz w:val="24"/>
          <w:szCs w:val="24"/>
        </w:rPr>
        <w:t xml:space="preserve">Candidates whose party barely wins a marginal seat are more likely to win a seat in the subsequent election (intensive margin incumbency advantage).</w:t>
      </w:r>
    </w:p>
    <w:p>
      <w:pPr>
        <w:spacing w:after="200" w:line="360"/>
        <w:jc w:val="both"/>
      </w:pPr>
      <w:r>
        <w:rPr>
          <w:rFonts w:ascii="Arial" w:cs="Arial" w:eastAsia="Arial" w:hAnsi="Arial"/>
          <w:sz w:val="24"/>
          <w:szCs w:val="24"/>
        </w:rPr>
        <w:t xml:space="preserve">Rationale: Beyond simply running again, incumbent candidates and their parties may attract more votes through visibility, policy influence, and voter loyalty, translating the extensive margin advantage into actual seat gains.</w:t>
      </w:r>
    </w:p>
    <w:p>
      <w:pPr>
        <w:spacing w:after="200" w:line="360"/>
        <w:jc w:val="both"/>
      </w:pPr>
      <w:r>
        <w:rPr>
          <w:rFonts w:ascii="Arial" w:cs="Arial" w:eastAsia="Arial" w:hAnsi="Arial"/>
          <w:b/>
          <w:bCs/>
          <w:sz w:val="24"/>
          <w:szCs w:val="24"/>
        </w:rPr>
        <w:t xml:space="preserve">H3: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Rationale: In Spain’s closed-list system, party organizations determine list rankings. Candidates who served as members of parliament may be rewarded with better list positions, reflecting their proven electability, accumulated legislative experience, and higher public profile. This hypothesis is testable only among candidates who reappear on a party list, making it conditional on the extensive margin.</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incumbency effect. I use a pooled regression specification with a triangular kernel to weight observations inversely proportional to their distance from the cutoff.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bandwidth is selected using the Imbens and Kalyanaraman (2012) optimal bandwidth selector, and I present robustness to alternative bandwidths in the sensitivity analysis.</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After linking outcomes to the subsequent election via the person-identifier algorithm, the estimation sample for the “runs next” and “wins next” outcomes contains 2,118 observations.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Imbens-Kalyanaraman (IK) optimal bandwidth selector,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0.987***</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IK optimal bandwidth.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0.285 (SE = 0.047, p &lt; 0.001), indicating that parties barely winning a marginal seat are approximately 28.5 percentage points more likely to contest the subsequent election. The effect on winning a seat in the next election is 0.262 (SE = 0.081, p = 0.001).</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0.979 for the “runs next” specification and 0.987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10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11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The estimated incumbency advantage of approximately 28 percentage points (for running again) is consistent with effects found in other electoral contexts. Lee (2008) found a roughly 38 percentage point advantage in US House elections, which is larger but operates in a very different institutional setting (single-member districts, candidate-centered elections). Luechinger, Schelker, and Schmid (2024) found significant incumbency effects in Swiss proportional elections using a similar methodology, suggesting that PR systems are not immune to incumbency advantages.</w:t>
      </w:r>
    </w:p>
    <w:p>
      <w:pPr>
        <w:spacing w:after="200" w:line="360"/>
        <w:jc w:val="both"/>
      </w:pPr>
      <w:r>
        <w:rPr>
          <w:rFonts w:ascii="Arial" w:cs="Arial" w:eastAsia="Arial" w:hAnsi="Arial"/>
          <w:sz w:val="24"/>
          <w:szCs w:val="24"/>
        </w:rPr>
        <w:t xml:space="preserve">The finding that incumbency affects both the extensive margin (running again) and the intensive margin (winning) is consistent with Dano et al. (2022), who documented similar patterns in French elections. The relative magnitudes—a larger effect on running than on winning—suggest that the incumbency advantage partly operates through selection into candidacy, a mechanism that has received less attention in the literature.</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investigating whether the incumbency advantage varies with party size or ideology,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2026-03-14T20:48:23.610Z</dcterms:created>
  <dcterms:modified xsi:type="dcterms:W3CDTF">2026-03-14T20:48:23.622Z</dcterms:modified>
</cp:coreProperties>
</file>

<file path=docProps/custom.xml><?xml version="1.0" encoding="utf-8"?>
<Properties xmlns="http://schemas.openxmlformats.org/officeDocument/2006/custom-properties" xmlns:vt="http://schemas.openxmlformats.org/officeDocument/2006/docPropsVTypes"/>
</file>