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party-province-election observations, I estimate both sharp and fuzzy RDD specifications.</w:t>
      </w:r>
    </w:p>
    <w:p>
      <w:pPr>
        <w:spacing w:after="200" w:line="360"/>
        <w:jc w:val="both"/>
      </w:pPr>
      <w:r>
        <w:rPr>
          <w:rFonts w:ascii="Arial" w:cs="Arial" w:eastAsia="Arial" w:hAnsi="Arial"/>
          <w:sz w:val="24"/>
          <w:szCs w:val="24"/>
        </w:rPr>
        <w:t xml:space="preserve">The results indicate a substantial and statistically significant incumbency advantage. Parties that barely win a marginal seat are approximately 28.5 percentage points more likely to field a candidate in the subsequent election (sharp RDD, p &lt; 0.001) and 26.2 percentage points more likely to win a seat (sharp RDD, p = 0.001).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Independence</w:t>
      </w:r>
    </w:p>
    <w:p>
      <w:pPr>
        <w:spacing w:after="200" w:line="360"/>
        <w:jc w:val="both"/>
      </w:pPr>
      <w:r>
        <w:rPr>
          <w:rFonts w:ascii="Arial" w:cs="Arial" w:eastAsia="Arial" w:hAnsi="Arial"/>
          <w:sz w:val="24"/>
          <w:szCs w:val="24"/>
        </w:rPr>
        <w:t xml:space="preserve">I hereby confirm that I have carried out this work independently. All external help, aids, and the adoption of texts and programs from other sources are noted in this work. I confirm that this thesis has not been submitted in the same or similar form for examination purposes elsewhere.</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Outcome Definition Robustness</w:t>
      </w:r>
    </w:p>
    <w:p>
      <w:pPr>
        <w:spacing w:after="200" w:line="360"/>
        <w:jc w:val="both"/>
      </w:pPr>
      <w:r>
        <w:rPr>
          <w:rFonts w:ascii="Arial" w:cs="Arial" w:eastAsia="Arial" w:hAnsi="Arial"/>
          <w:sz w:val="24"/>
          <w:szCs w:val="24"/>
        </w:rPr>
        <w:t xml:space="preserve">Table 6: Placebo Cutoff Tests</w:t>
      </w:r>
    </w:p>
    <w:p>
      <w:pPr>
        <w:spacing w:after="200" w:line="360"/>
        <w:jc w:val="both"/>
      </w:pPr>
      <w:r>
        <w:rPr>
          <w:rFonts w:ascii="Arial" w:cs="Arial" w:eastAsia="Arial" w:hAnsi="Arial"/>
          <w:sz w:val="24"/>
          <w:szCs w:val="24"/>
        </w:rPr>
        <w:t xml:space="preserve">Table 7: Donut-Hole Robustness</w:t>
      </w:r>
    </w:p>
    <w:p>
      <w:pPr>
        <w:spacing w:after="200" w:line="360"/>
        <w:jc w:val="both"/>
      </w:pPr>
      <w:r>
        <w:rPr>
          <w:rFonts w:ascii="Arial" w:cs="Arial" w:eastAsia="Arial" w:hAnsi="Arial"/>
          <w:sz w:val="24"/>
          <w:szCs w:val="24"/>
        </w:rPr>
        <w:t xml:space="preserve">Table 8: Polynomial Order Comparison</w:t>
      </w:r>
    </w:p>
    <w:p>
      <w:pPr>
        <w:spacing w:after="200" w:line="360"/>
        <w:jc w:val="both"/>
      </w:pPr>
      <w:r>
        <w:rPr>
          <w:rFonts w:ascii="Arial" w:cs="Arial" w:eastAsia="Arial" w:hAnsi="Arial"/>
          <w:sz w:val="24"/>
          <w:szCs w:val="24"/>
        </w:rPr>
        <w:t xml:space="preserve">Table 9: McCrary Density Tests</w:t>
      </w:r>
    </w:p>
    <w:p>
      <w:pPr>
        <w:spacing w:after="200" w:line="360"/>
        <w:jc w:val="both"/>
      </w:pPr>
      <w:r>
        <w:rPr>
          <w:rFonts w:ascii="Arial" w:cs="Arial" w:eastAsia="Arial" w:hAnsi="Arial"/>
          <w:sz w:val="24"/>
          <w:szCs w:val="24"/>
        </w:rPr>
        <w:t xml:space="preserve">Table 10: Covariate Balance at the Cutoff</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research questions:</w:t>
      </w:r>
    </w:p>
    <w:p>
      <w:pPr>
        <w:spacing w:after="200" w:line="360"/>
        <w:jc w:val="both"/>
      </w:pPr>
      <w:r>
        <w:rPr>
          <w:rFonts w:ascii="Arial" w:cs="Arial" w:eastAsia="Arial" w:hAnsi="Arial"/>
          <w:b/>
          <w:bCs/>
          <w:sz w:val="24"/>
          <w:szCs w:val="24"/>
        </w:rPr>
        <w:t xml:space="preserve">RQ1: </w:t>
      </w:r>
      <w:r>
        <w:rPr>
          <w:rFonts w:ascii="Arial" w:cs="Arial" w:eastAsia="Arial" w:hAnsi="Arial"/>
          <w:sz w:val="24"/>
          <w:szCs w:val="24"/>
        </w:rPr>
        <w:t xml:space="preserve">Does winning a marginal seat in Spain’s proportional representation system confer an incumbency advantage for the party in subsequent elections?</w:t>
      </w:r>
    </w:p>
    <w:p>
      <w:pPr>
        <w:spacing w:after="200" w:line="360"/>
        <w:jc w:val="both"/>
      </w:pPr>
      <w:r>
        <w:rPr>
          <w:rFonts w:ascii="Arial" w:cs="Arial" w:eastAsia="Arial" w:hAnsi="Arial"/>
          <w:b/>
          <w:bCs/>
          <w:sz w:val="24"/>
          <w:szCs w:val="24"/>
        </w:rPr>
        <w:t xml:space="preserve">RQ2: </w:t>
      </w:r>
      <w:r>
        <w:rPr>
          <w:rFonts w:ascii="Arial" w:cs="Arial" w:eastAsia="Arial" w:hAnsi="Arial"/>
          <w:sz w:val="24"/>
          <w:szCs w:val="24"/>
        </w:rPr>
        <w:t xml:space="preserve">How large is the incumbency advantage, measured by the probability of running again (extensive margin) and winning again (intensive margin)?</w:t>
      </w:r>
    </w:p>
    <w:p>
      <w:pPr>
        <w:spacing w:after="200" w:line="360"/>
        <w:jc w:val="both"/>
      </w:pPr>
      <w:r>
        <w:rPr>
          <w:rFonts w:ascii="Arial" w:cs="Arial" w:eastAsia="Arial" w:hAnsi="Arial"/>
          <w:b/>
          <w:bCs/>
          <w:sz w:val="24"/>
          <w:szCs w:val="24"/>
        </w:rPr>
        <w:t xml:space="preserve">RQ3: </w:t>
      </w:r>
      <w:r>
        <w:rPr>
          <w:rFonts w:ascii="Arial" w:cs="Arial" w:eastAsia="Arial" w:hAnsi="Arial"/>
          <w:sz w:val="24"/>
          <w:szCs w:val="24"/>
        </w:rPr>
        <w:t xml:space="preserve">Are these effects robust to alternative bandwidth selections, polynomial specifications, and potential manipulation of the running variable?</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First, it extends the RDD approach to incumbency estimation in a PR context using the closeness measure recently proposed by Luechinger, Schelker, and Schmid (2024), which adapts the close-election framework to proportional representation systems with multi-member districts. Second, it provides the first comprehensive analysis of incumbency advantage in Spanish congressional elections at the party-province level. Third, by implementing a comprehensive battery of robustness checks—including placebo cutoff tests, donut-hole restrictions, polynomial order sensitivity, and density tests—it establishes the credibility of the empirical design. Finally, from a data science perspective, this thesis demonstrates the application of causal inference methods to a rich administrative dataset, bridging political science theory with applied information and data science methodology.</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Parties that barely win a marginal seat are approximately 28 percentage points more likely to run in the next election and 19 percentage points more likely to win a seat.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early observations that incumbent legislators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Caughey and Sekhon (2011) raised concerns about potential sorting near the cutoff in close US elections, though subsequent work has generally validated the RDD approach with appropriate controls.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w:t>
      </w:r>
    </w:p>
    <w:p>
      <w:pPr>
        <w:spacing w:after="200" w:line="360"/>
        <w:jc w:val="both"/>
      </w:pPr>
      <w:r>
        <w:rPr>
          <w:rFonts w:ascii="Arial" w:cs="Arial" w:eastAsia="Arial" w:hAnsi="Arial"/>
          <w:b/>
          <w:bCs/>
          <w:sz w:val="24"/>
          <w:szCs w:val="24"/>
        </w:rPr>
        <w:t xml:space="preserve">H1: </w:t>
      </w:r>
      <w:r>
        <w:rPr>
          <w:rFonts w:ascii="Arial" w:cs="Arial" w:eastAsia="Arial" w:hAnsi="Arial"/>
          <w:sz w:val="24"/>
          <w:szCs w:val="24"/>
        </w:rPr>
        <w:t xml:space="preserve">Parties that barely win a marginal seat are more likely to run again in the subsequent election (extensive margin incumbency advantage).</w:t>
      </w:r>
    </w:p>
    <w:p>
      <w:pPr>
        <w:spacing w:after="200" w:line="360"/>
        <w:jc w:val="both"/>
      </w:pPr>
      <w:r>
        <w:rPr>
          <w:rFonts w:ascii="Arial" w:cs="Arial" w:eastAsia="Arial" w:hAnsi="Arial"/>
          <w:sz w:val="24"/>
          <w:szCs w:val="24"/>
        </w:rPr>
        <w:t xml:space="preserve">Rationale: Winning representation provides organizational resources, media visibility, and demonstrated electoral viability that reduce the costs and increase the expected benefits of contesting the next election. Parties that lose their last seat in a province may be more likely to withdraw from that constituency due to resource constraints and reduced perceived viability.</w:t>
      </w:r>
    </w:p>
    <w:p>
      <w:pPr>
        <w:spacing w:after="200" w:line="360"/>
        <w:jc w:val="both"/>
      </w:pPr>
      <w:r>
        <w:rPr>
          <w:rFonts w:ascii="Arial" w:cs="Arial" w:eastAsia="Arial" w:hAnsi="Arial"/>
          <w:b/>
          <w:bCs/>
          <w:sz w:val="24"/>
          <w:szCs w:val="24"/>
        </w:rPr>
        <w:t xml:space="preserve">H2: </w:t>
      </w:r>
      <w:r>
        <w:rPr>
          <w:rFonts w:ascii="Arial" w:cs="Arial" w:eastAsia="Arial" w:hAnsi="Arial"/>
          <w:sz w:val="24"/>
          <w:szCs w:val="24"/>
        </w:rPr>
        <w:t xml:space="preserve">Parties that barely win a marginal seat are more likely to win a seat in the subsequent election (intensive margin incumbency advantage).</w:t>
      </w:r>
    </w:p>
    <w:p>
      <w:pPr>
        <w:spacing w:after="200" w:line="360"/>
        <w:jc w:val="both"/>
      </w:pPr>
      <w:r>
        <w:rPr>
          <w:rFonts w:ascii="Arial" w:cs="Arial" w:eastAsia="Arial" w:hAnsi="Arial"/>
          <w:sz w:val="24"/>
          <w:szCs w:val="24"/>
        </w:rPr>
        <w:t xml:space="preserve">Rationale: Beyond simply running again, incumbent parties may attract more votes through visibility, policy influence, and voter loyalty, translating the extensive margin advantage into actual seat gains. The literature on incumbency in PR systems suggests this effect operates through party-level rather than individual-level channels.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party-level effects being estimated.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(runs in next election or wins a seat in the next election), Xᵢ is the running variable (normalized vote margin), Tᵢ = 1(Xᵢ ≥ 0) is the treatment indicator, and Tᵢ × Xᵢ allows the slope to differ on each side of the cutoff. The parameter τ captures the incumbency effect. I use a pooled regression specification with a triangular kernel to weight observations inversely proportional to their distance from the cutoff.</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bandwidth is selected using the Imbens and Kalyanaraman (2012) optimal bandwidth selector, and I present robustness to alternative bandwidths in the sensitivity analysis.</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unit of analysis is the party-province-election, representing a party’s performance in a specific province during a specific election. The running variable—the normalized vote margin for the marginal seat—is computed from the detailed vote data using the D’Hondt allocation algorithm as described in Chapter 4.</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party-province-election observations within the analysis window (running variable between −0.05 and +0.05). After linking outcomes to the subsequent election, the estimation sample for the “runs next” outcome contains 2,118 observations, and the “wins next” outcome contains the same 2,118 observations with non-missing outcomes.</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Imbens-Kalyanaraman (IK) optimal bandwidth selector,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0.987***</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IK optimal bandwidth.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The sharp RDD estimate for the probability of running in the next election is 0.285 (SE = 0.047, p &lt; 0.001), indicating that parties barely winning a marginal seat are approximately 28.5 percentage points more likely to contest the subsequent election. The effect on winning a seat in the next election is 0.262 (SE = 0.081, p = 0.001).</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0.979 for the “runs next” specification and 0.987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&gt; 0.35).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9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0.014),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The estimated incumbency advantage of approximately 28 percentage points (for running again) is consistent with effects found in other electoral contexts. Lee (2008) found a roughly 38 percentage point advantage in US House elections, which is larger but operates in a very different institutional setting (single-member districts, candidate-centered elections). Luechinger, Schelker, and Schmid (2024) found significant incumbency effects in Swiss proportional elections using a similar methodology, suggesting that PR systems are not immune to incumbency advantages.</w:t>
      </w:r>
    </w:p>
    <w:p>
      <w:pPr>
        <w:spacing w:after="200" w:line="360"/>
        <w:jc w:val="both"/>
      </w:pPr>
      <w:r>
        <w:rPr>
          <w:rFonts w:ascii="Arial" w:cs="Arial" w:eastAsia="Arial" w:hAnsi="Arial"/>
          <w:sz w:val="24"/>
          <w:szCs w:val="24"/>
        </w:rPr>
        <w:t xml:space="preserve">The finding that incumbency affects both the extensive margin (running again) and the intensive margin (winning) is consistent with Dano et al. (2022), who documented similar patterns in French elections. The relative magnitudes—a larger effect on running than on winning—suggest that the incumbency advantage partly operates through selection into candidacy, a mechanism that has received less attention in the literature.</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the analysis is conducted at the party-province level and cannot distinguish between individual-level and party-level mechanisms of incumbency advantage. Second, while the balance tests are generally supportive, the significant imbalance in female share at narrow bandwidths warrants caution. Third, the sample period (2004–2023) includes significant political disruptions in Spain, including the emergence of new parties and a financial crisis, which may affect the external validity of the estimates. Fourth,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Future work could extend this analysis by examining heterogeneity across district magnitudes, investigating whether the incumbency advantage varies with party size or ideology, and linking the party-level effects to individual politician careers using more detailed candidate-level data.</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Using a regression discontinuity design adapted for PR systems following Luechinger, Schelker, and Schmid (2024), I exploit the quasi-random assignment of marginal seats under the D’Hondt method to identify the causal effect of winning a seat on subsequent electoral outcomes.</w:t>
      </w:r>
    </w:p>
    <w:p>
      <w:pPr>
        <w:spacing w:after="200" w:line="360"/>
        <w:jc w:val="both"/>
      </w:pPr>
      <w:r>
        <w:rPr>
          <w:rFonts w:ascii="Arial" w:cs="Arial" w:eastAsia="Arial" w:hAnsi="Arial"/>
          <w:sz w:val="24"/>
          <w:szCs w:val="24"/>
        </w:rPr>
        <w:t xml:space="preserve">The results are clear and robust: parties that barely win a marginal seat are approximately 28 percentage points more likely to run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comprehensive robustness framework, and the person-level linking algorithms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43a59d3ad22675c36e018359441a8db37f6356.png"/><Relationship Id="rId10" Type="http://schemas.openxmlformats.org/officeDocument/2006/relationships/image" Target="media/8bcd1bb963bc61d94d55a2949fe57eba13525b4d.png"/><Relationship Id="rId11" Type="http://schemas.openxmlformats.org/officeDocument/2006/relationships/image" Target="media/fac1685d1d27b9c082df3a2c716de1ee45883887.png"/><Relationship Id="rId12" Type="http://schemas.openxmlformats.org/officeDocument/2006/relationships/image" Target="media/554086e9979e540aa8283a08561cf11f96ceb387.png"/><Relationship Id="rId13" Type="http://schemas.openxmlformats.org/officeDocument/2006/relationships/image" Target="media/64d14883945acdbf34fb88960a16a1debf2268b0.png"/><Relationship Id="rId14" Type="http://schemas.openxmlformats.org/officeDocument/2006/relationships/image" Target="media/f866c7dea9c2d05730ba02441956f8b00463f45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2026-03-14T09:13:03.765Z</dcterms:created>
  <dcterms:modified xsi:type="dcterms:W3CDTF">2026-03-14T09:13:03.773Z</dcterms:modified>
</cp:coreProperties>
</file>

<file path=docProps/custom.xml><?xml version="1.0" encoding="utf-8"?>
<Properties xmlns="http://schemas.openxmlformats.org/officeDocument/2006/custom-properties" xmlns:vt="http://schemas.openxmlformats.org/officeDocument/2006/docPropsVTypes"/>
</file>