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incumbency on subsequent electoral outcomes in Spain’s proportional representation system at the candidate level.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The running variable captures how close a party is to gaining or losing its last marginal seat in a given province, normalized by the number of eligible voters. Using data on all Spanish congressional (Congreso de los Diputados) elections from 2004 to 2023, encompassing 2,412 candidate-election observations,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and statistically significant incumbency advantage. Candidates whose party barely wins a marginal seat are approximately 28.5 percentage points more likely to reappear on a party list in the subsequent election (sharp RDD, p &lt; 0.001) and 26.2 percentage points more likely to win a seat (sharp RDD, p = 0.001). There is suggestive evidence that winning a marginal seat also leads to more favorable list positions.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yields fuzzy RDD estimates that are virtually identical to sharp estimates, confirming the design’s internal validity. Heterogeneity analysis shows that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Independence</w:t>
      </w:r>
    </w:p>
    <w:p>
      <w:pPr>
        <w:spacing w:after="200" w:line="360"/>
        <w:jc w:val="both"/>
      </w:pPr>
      <w:r>
        <w:rPr>
          <w:rFonts w:ascii="Arial" w:cs="Arial" w:eastAsia="Arial" w:hAnsi="Arial"/>
          <w:sz w:val="24"/>
          <w:szCs w:val="24"/>
        </w:rPr>
        <w:t xml:space="preserve">I hereby confirm that I have carried out this work independently. All external help, aids, and the adoption of texts and programs from other sources are noted in this work. I confirm that this thesis has not been submitted in the same or similar form for examination purposes elsewhere.</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Outcome Definition Robustness</w:t>
      </w:r>
    </w:p>
    <w:p>
      <w:pPr>
        <w:spacing w:after="200" w:line="360"/>
        <w:jc w:val="both"/>
      </w:pPr>
      <w:r>
        <w:rPr>
          <w:rFonts w:ascii="Arial" w:cs="Arial" w:eastAsia="Arial" w:hAnsi="Arial"/>
          <w:sz w:val="24"/>
          <w:szCs w:val="24"/>
        </w:rPr>
        <w:t xml:space="preserve">Table 6: Placebo Cutoff Tests</w:t>
      </w:r>
    </w:p>
    <w:p>
      <w:pPr>
        <w:spacing w:after="200" w:line="360"/>
        <w:jc w:val="both"/>
      </w:pPr>
      <w:r>
        <w:rPr>
          <w:rFonts w:ascii="Arial" w:cs="Arial" w:eastAsia="Arial" w:hAnsi="Arial"/>
          <w:sz w:val="24"/>
          <w:szCs w:val="24"/>
        </w:rPr>
        <w:t xml:space="preserve">Table 7: Donut-Hole Robustness</w:t>
      </w:r>
    </w:p>
    <w:p>
      <w:pPr>
        <w:spacing w:after="200" w:line="360"/>
        <w:jc w:val="both"/>
      </w:pPr>
      <w:r>
        <w:rPr>
          <w:rFonts w:ascii="Arial" w:cs="Arial" w:eastAsia="Arial" w:hAnsi="Arial"/>
          <w:sz w:val="24"/>
          <w:szCs w:val="24"/>
        </w:rPr>
        <w:t xml:space="preserve">Table 8: Polynomial Order Comparison</w:t>
      </w:r>
    </w:p>
    <w:p>
      <w:pPr>
        <w:spacing w:after="200" w:line="360"/>
        <w:jc w:val="both"/>
      </w:pPr>
      <w:r>
        <w:rPr>
          <w:rFonts w:ascii="Arial" w:cs="Arial" w:eastAsia="Arial" w:hAnsi="Arial"/>
          <w:sz w:val="24"/>
          <w:szCs w:val="24"/>
        </w:rPr>
        <w:t xml:space="preserve">Table 9: McCrary Density Tests</w:t>
      </w:r>
    </w:p>
    <w:p>
      <w:pPr>
        <w:spacing w:after="200" w:line="360"/>
        <w:jc w:val="both"/>
      </w:pPr>
      <w:r>
        <w:rPr>
          <w:rFonts w:ascii="Arial" w:cs="Arial" w:eastAsia="Arial" w:hAnsi="Arial"/>
          <w:sz w:val="24"/>
          <w:szCs w:val="24"/>
        </w:rPr>
        <w:t xml:space="preserve">Table 10: Covariate Balance at the Cutoff</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Of the 52 electoral constituencies, 50 multi-member provinces use D’Hondt proportional allocation, while Ceuta and Melilla are single-member plurality districts.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First, it extends the RDD approach to incumbency estimation in a PR context using the closeness measure recently proposed by Luechinger, Schelker, and Schmid (2024), which adapts the close-election framework to proportional representation systems with multi-member districts. Second, it provides the first comprehensive analysis of incumbency advantage in Spanish congressional elections at the candidate level, tracking individual politicians across elections via a person-identifier linkage algorithm. Third, it investigates whether incumbency effects vary with district magnitude and whether winning a marginal seat influences a candidate’s subsequent list position—a question unique to closed-list PR systems. Fourth, by implementing a comprehensive battery of robustness checks—including placebo cutoff tests, donut-hole restrictions, polynomial order sensitivity, and density tests—it establishes the credibility of the empirical design. Finally, from a data science perspective, this thesis demonstrates the application of causal inference methods to a rich administrative dataset, bridging political science theory with applied information and data science methodology.</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Candidates whose party barely wins a marginal seat are approximately 28 percentage points more likely to reappear on a party list in the next election and 19 percentage points more likely to win a seat. There is suggestive evidence that winning a marginal seat also leads to more favorable list positions, and the effect is present across districts of varying magnitudes.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early observations that incumbent legislators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Caughey and Sekhon (2011) raised concerns about potential sorting near the cutoff in close US elections, though subsequent work has generally validated the RDD approach with appropriate controls.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50 PR provinces vary substantially in district magnitude, from small provinces electing two or three members to large multi-member districts such as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w:t>
      </w:r>
    </w:p>
    <w:p>
      <w:pPr>
        <w:spacing w:after="200" w:line="360"/>
        <w:jc w:val="both"/>
      </w:pPr>
      <w:r>
        <w:rPr>
          <w:rFonts w:ascii="Arial" w:cs="Arial" w:eastAsia="Arial" w:hAnsi="Arial"/>
          <w:b/>
          <w:bCs/>
          <w:sz w:val="24"/>
          <w:szCs w:val="24"/>
        </w:rPr>
        <w:t xml:space="preserve">H1: </w:t>
      </w:r>
      <w:r>
        <w:rPr>
          <w:rFonts w:ascii="Arial" w:cs="Arial" w:eastAsia="Arial" w:hAnsi="Arial"/>
          <w:sz w:val="24"/>
          <w:szCs w:val="24"/>
        </w:rPr>
        <w:t xml:space="preserve">Candidates whose party barely wins a marginal seat are more likely to reappear on the party list in the subsequent election (extensive margin incumbency advantage).</w:t>
      </w:r>
    </w:p>
    <w:p>
      <w:pPr>
        <w:spacing w:after="200" w:line="360"/>
        <w:jc w:val="both"/>
      </w:pPr>
      <w:r>
        <w:rPr>
          <w:rFonts w:ascii="Arial" w:cs="Arial" w:eastAsia="Arial" w:hAnsi="Arial"/>
          <w:sz w:val="24"/>
          <w:szCs w:val="24"/>
        </w:rPr>
        <w:t xml:space="preserve">Rationale: Winning representation provides organizational resources, media visibility, and demonstrated electoral viability that reduce the costs and increase the expected benefits of contesting the next election. Candidates from parties that lose their last seat in a province may be more likely to be dropped from the list or to exit politics due to reduced perceived viability.</w:t>
      </w:r>
    </w:p>
    <w:p>
      <w:pPr>
        <w:spacing w:after="200" w:line="360"/>
        <w:jc w:val="both"/>
      </w:pPr>
      <w:r>
        <w:rPr>
          <w:rFonts w:ascii="Arial" w:cs="Arial" w:eastAsia="Arial" w:hAnsi="Arial"/>
          <w:b/>
          <w:bCs/>
          <w:sz w:val="24"/>
          <w:szCs w:val="24"/>
        </w:rPr>
        <w:t xml:space="preserve">H2: </w:t>
      </w:r>
      <w:r>
        <w:rPr>
          <w:rFonts w:ascii="Arial" w:cs="Arial" w:eastAsia="Arial" w:hAnsi="Arial"/>
          <w:sz w:val="24"/>
          <w:szCs w:val="24"/>
        </w:rPr>
        <w:t xml:space="preserve">Candidates whose party barely wins a marginal seat are more likely to win a seat in the subsequent election (intensive margin incumbency advantage).</w:t>
      </w:r>
    </w:p>
    <w:p>
      <w:pPr>
        <w:spacing w:after="200" w:line="360"/>
        <w:jc w:val="both"/>
      </w:pPr>
      <w:r>
        <w:rPr>
          <w:rFonts w:ascii="Arial" w:cs="Arial" w:eastAsia="Arial" w:hAnsi="Arial"/>
          <w:sz w:val="24"/>
          <w:szCs w:val="24"/>
        </w:rPr>
        <w:t xml:space="preserve">Rationale: Beyond simply running again, incumbent candidates and their parties may attract more votes through visibility, policy influence, and voter loyalty, translating the extensive margin advantage into actual seat gains.</w:t>
      </w:r>
    </w:p>
    <w:p>
      <w:pPr>
        <w:spacing w:after="200" w:line="360"/>
        <w:jc w:val="both"/>
      </w:pPr>
      <w:r>
        <w:rPr>
          <w:rFonts w:ascii="Arial" w:cs="Arial" w:eastAsia="Arial" w:hAnsi="Arial"/>
          <w:b/>
          <w:bCs/>
          <w:sz w:val="24"/>
          <w:szCs w:val="24"/>
        </w:rPr>
        <w:t xml:space="preserve">H3: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Rationale: In Spain’s closed-list system, party organizations determine list rankings. Candidates who served as members of parliament may be rewarded with better list positions, reflecting their proven electability, accumulated legislative experience, and higher public profile. This hypothesis is testable only among candidates who reappear on a party list, making it conditional on the extensive margin.</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incumbency effects being estimated, as the running variable is determined by the party’s aggregate performance rather than individual candidate attributes. The analysis is restricted to the 50 multi-member PR provinces; the single-member plurality districts of Ceuta and Melilla are excluded because the D’Hondt closeness measure is not applicable to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The regression discontinuity design (RDD) exploits discontinuities in treatment assignment that arise when a treatment is determined by whether an observed variable—the running variable—crosses a known threshold. In the sharp RDD, treatment status is a deterministic function of the running variable: units above the cutoff receive treatment, while those below do not. The fuzzy RDD relaxes this assumption, allowing treatment to be a probabilistic function of crossing the threshold.</w:t>
      </w:r>
    </w:p>
    <w:p>
      <w:pPr>
        <w:spacing w:after="200" w:line="360"/>
        <w:jc w:val="both"/>
      </w:pPr>
      <w:r>
        <w:rPr>
          <w:rFonts w:ascii="Arial" w:cs="Arial" w:eastAsia="Arial" w:hAnsi="Arial"/>
          <w:sz w:val="24"/>
          <w:szCs w:val="24"/>
        </w:rPr>
        <w:t xml:space="preserve">The key identifying assumption of the RDD is that the conditional expectation of potential outcomes is continuous at the cutoff. Under this assumption, any discontinuity in the observed outcome at the cutoff can be attributed to the causal effect of treatment. The local average treatment effect (LATE) is identified by comparing outcomes of units just above and just below the cutoff, within an appropriately chosen bandwidth.</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for an incumbency RDD is simply the vote margin between the winner and the runner-up. In proportional representation systems with D’Hondt allocation, defining closeness requires a more sophisticated approach.</w:t>
      </w:r>
    </w:p>
    <w:p>
      <w:pPr>
        <w:spacing w:after="200" w:line="360"/>
        <w:jc w:val="both"/>
      </w:pPr>
      <w:r>
        <w:rPr>
          <w:rFonts w:ascii="Arial" w:cs="Arial" w:eastAsia="Arial" w:hAnsi="Arial"/>
          <w:sz w:val="24"/>
          <w:szCs w:val="24"/>
        </w:rPr>
        <w:t xml:space="preserve">Following Luechinger, Schelker, and Schmid (2024), I define the running variable as the minimal vote change needed for a party to gain or lose one additional seat in a given province, normalized by the number of eligible voters. Specifically, for each party-province-election observation, I compute the minimum number of votes that would need to be added (if the party barely lost a seat) or subtracted (if the party barely won a seat) to change the D’Hondt allocation by exactly one seat. This vote margin is then divided by the number of eligible voters in the province to produce a standardized measure that is comparable across provinces of different sizes.</w:t>
      </w:r>
    </w:p>
    <w:p>
      <w:pPr>
        <w:spacing w:after="200" w:line="360"/>
        <w:jc w:val="both"/>
      </w:pPr>
      <w:r>
        <w:rPr>
          <w:rFonts w:ascii="Arial" w:cs="Arial" w:eastAsia="Arial" w:hAnsi="Arial"/>
          <w:sz w:val="24"/>
          <w:szCs w:val="24"/>
        </w:rPr>
        <w:t xml:space="preserve">The resulting running variable takes positive values for parties that won the marginal seat and negative values for parties that lost it. The cutoff is at zero, and the treatment indicator equals one for observations with a non-negative running variable (i.e., parties that won the marginal seat).</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estimate the incumbency effect using local linear regression within a bandwidth around the cutoff. The estimating equation for the sharp RDD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of interest, Xᵢ is the running variable (normalized vote margin), Tᵢ = 1(Xᵢ ≥ 0) is the treatment indicator, and Tᵢ × Xᵢ allows the slope to differ on each side of the cutoff. The parameter τ captures the incumbency effect. I use a pooled regression specification with a triangular kernel to weight observations inversely proportional to their distance from the cutoff. Three primary outcomes are considered: (i) whether the candidate reappears on a party list in the subsequent election (runs next), (ii) whether the candidate wins a seat in the subsequent election (wins next), and (iii) the candidate’s list position in the subsequent election (list position next), which is observed only for candidates who do reappear and is therefore conditional on the extensive margin. Candidates are tracked across elections using a person-identifier linkage algorithm that combines exact name matching with fuzzy similarity and LinkTransformer embeddings.</w:t>
      </w:r>
    </w:p>
    <w:p>
      <w:pPr>
        <w:spacing w:after="200" w:line="360"/>
        <w:jc w:val="both"/>
      </w:pPr>
      <w:r>
        <w:rPr>
          <w:rFonts w:ascii="Arial" w:cs="Arial" w:eastAsia="Arial" w:hAnsi="Arial"/>
          <w:sz w:val="24"/>
          <w:szCs w:val="24"/>
        </w:rPr>
        <w:t xml:space="preserve">Standard errors are clustered at the province-election level to account for within-group correlation. I report inference based on the t-distribution with G − 1 degrees of freedom, where G is the number of clusters, which is the standard finite-cluster correction (see Cameron, Gelbach, and Miller, 2008, for a discussion of clustered inference). This is conservative relative to normal approximation and appropriate given the finite number of clusters.</w:t>
      </w:r>
    </w:p>
    <w:p>
      <w:pPr>
        <w:spacing w:after="200" w:line="360"/>
        <w:jc w:val="both"/>
      </w:pPr>
      <w:r>
        <w:rPr>
          <w:rFonts w:ascii="Arial" w:cs="Arial" w:eastAsia="Arial" w:hAnsi="Arial"/>
          <w:sz w:val="24"/>
          <w:szCs w:val="24"/>
        </w:rPr>
        <w:t xml:space="preserve">The bandwidth is selected using the Imbens and Kalyanaraman (2012) optimal bandwidth selector, and I present robustness to alternative bandwidths in the sensitivity analysis.</w:t>
      </w:r>
    </w:p>
    <w:p>
      <w:pPr>
        <w:pStyle w:val="Heading2"/>
        <w:spacing w:after="180" w:before="360"/>
      </w:pPr>
      <w:r>
        <w:rPr>
          <w:rFonts w:ascii="Arial" w:cs="Arial" w:eastAsia="Arial" w:hAnsi="Arial"/>
          <w:b/>
          <w:bCs/>
          <w:sz w:val="28"/>
          <w:szCs w:val="28"/>
        </w:rPr>
        <w:t xml:space="preserve">4.4 Fuzzy RDD</w:t>
      </w:r>
    </w:p>
    <w:p>
      <w:pPr>
        <w:spacing w:after="200" w:line="360"/>
        <w:jc w:val="both"/>
      </w:pPr>
      <w:r>
        <w:rPr>
          <w:rFonts w:ascii="Arial" w:cs="Arial" w:eastAsia="Arial" w:hAnsi="Arial"/>
          <w:sz w:val="24"/>
          <w:szCs w:val="24"/>
        </w:rPr>
        <w:t xml:space="preserve">While the sharp RDD treats the running variable as perfectly determining treatment (incumbency), in practice the relationship may be imperfect. The fuzzy RDD addresses this by using the running variable as an instrument for actual incumbency status. The Wald (LATE) estimator divides the reduced-form discontinuity in outcomes by the first-stage discontinuity in treatment:</w:t>
      </w:r>
    </w:p>
    <w:p>
      <w:pPr>
        <w:spacing w:after="200" w:line="360"/>
        <w:jc w:val="center"/>
      </w:pPr>
      <w:r>
        <w:rPr>
          <w:rFonts w:ascii="Arial" w:cs="Arial" w:eastAsia="Arial" w:hAnsi="Arial"/>
          <w:i/>
          <w:iCs/>
          <w:sz w:val="24"/>
          <w:szCs w:val="24"/>
        </w:rPr>
        <w:t xml:space="preserve">τᶠᵘᶻᶻʸ = τʳᵉᵈᵘᶜᵉᵈᶠᵒʳᵐ / τᶠᵢʳˢᵗˢᵗᵃᵍᵉ</w:t>
      </w:r>
    </w:p>
    <w:p>
      <w:pPr>
        <w:spacing w:after="200" w:line="360"/>
        <w:jc w:val="both"/>
      </w:pPr>
      <w:r>
        <w:rPr>
          <w:rFonts w:ascii="Arial" w:cs="Arial" w:eastAsia="Arial" w:hAnsi="Arial"/>
          <w:sz w:val="24"/>
          <w:szCs w:val="24"/>
        </w:rPr>
        <w:t xml:space="preserve">In the present context, the first-stage relationship is near-perfect (τ ≈ 0.98), meaning that crossing the cutoff almost perfectly predicts actual incumbency status. As a result, the sharp and fuzzy estimates are nearly identical, and the first-stage F-statistic far exceeds the Stock and Yogo (2005) threshold of 10, ruling out weak instrument concerns.</w:t>
      </w:r>
    </w:p>
    <w:p>
      <w:pPr>
        <w:pStyle w:val="Heading2"/>
        <w:spacing w:after="180" w:before="360"/>
      </w:pPr>
      <w:r>
        <w:rPr>
          <w:rFonts w:ascii="Arial" w:cs="Arial" w:eastAsia="Arial" w:hAnsi="Arial"/>
          <w:b/>
          <w:bCs/>
          <w:sz w:val="28"/>
          <w:szCs w:val="28"/>
        </w:rPr>
        <w:t xml:space="preserve">4.5 Validity Tests</w:t>
      </w:r>
    </w:p>
    <w:p>
      <w:pPr>
        <w:spacing w:after="200" w:line="360"/>
        <w:jc w:val="both"/>
      </w:pPr>
      <w:r>
        <w:rPr>
          <w:rFonts w:ascii="Arial" w:cs="Arial" w:eastAsia="Arial" w:hAnsi="Arial"/>
          <w:sz w:val="24"/>
          <w:szCs w:val="24"/>
        </w:rPr>
        <w:t xml:space="preserve">I implement several tests to assess the validity of the RDD design:</w:t>
      </w:r>
    </w:p>
    <w:p>
      <w:pPr>
        <w:spacing w:after="200" w:line="360"/>
        <w:jc w:val="both"/>
      </w:pPr>
      <w:r>
        <w:rPr>
          <w:rFonts w:ascii="Arial" w:cs="Arial" w:eastAsia="Arial" w:hAnsi="Arial"/>
          <w:b/>
          <w:bCs/>
          <w:sz w:val="24"/>
          <w:szCs w:val="24"/>
        </w:rPr>
        <w:t xml:space="preserve">McCrary Density Test: </w:t>
      </w:r>
      <w:r>
        <w:rPr>
          <w:rFonts w:ascii="Arial" w:cs="Arial" w:eastAsia="Arial" w:hAnsi="Arial"/>
          <w:sz w:val="24"/>
          <w:szCs w:val="24"/>
        </w:rPr>
        <w:t xml:space="preserve">I test for manipulation of the running variable by examining whether the density of observations exhibits a discontinuity at the cutoff, following McCrary (2008). If parties could precisely manipulate their vote totals to barely win marginal seats, we would expect a discontinuous jump in density at zero.</w:t>
      </w:r>
    </w:p>
    <w:p>
      <w:pPr>
        <w:spacing w:after="200" w:line="360"/>
        <w:jc w:val="both"/>
      </w:pPr>
      <w:r>
        <w:rPr>
          <w:rFonts w:ascii="Arial" w:cs="Arial" w:eastAsia="Arial" w:hAnsi="Arial"/>
          <w:b/>
          <w:bCs/>
          <w:sz w:val="24"/>
          <w:szCs w:val="24"/>
        </w:rPr>
        <w:t xml:space="preserve">Covariate Balance: </w:t>
      </w:r>
      <w:r>
        <w:rPr>
          <w:rFonts w:ascii="Arial" w:cs="Arial" w:eastAsia="Arial" w:hAnsi="Arial"/>
          <w:sz w:val="24"/>
          <w:szCs w:val="24"/>
        </w:rPr>
        <w:t xml:space="preserve">I test whether pre-determined covariates—including gender composition, list position, party votes, constituency size, and blank vote shares—are balanced around the cutoff. Significant discontinuities in these variables would suggest that assignment near the cutoff is not quasi-random.</w:t>
      </w:r>
    </w:p>
    <w:p>
      <w:pPr>
        <w:spacing w:after="200" w:line="360"/>
        <w:jc w:val="both"/>
      </w:pPr>
      <w:r>
        <w:rPr>
          <w:rFonts w:ascii="Arial" w:cs="Arial" w:eastAsia="Arial" w:hAnsi="Arial"/>
          <w:b/>
          <w:bCs/>
          <w:sz w:val="24"/>
          <w:szCs w:val="24"/>
        </w:rPr>
        <w:t xml:space="preserve">Placebo Cutoff Tests: </w:t>
      </w:r>
      <w:r>
        <w:rPr>
          <w:rFonts w:ascii="Arial" w:cs="Arial" w:eastAsia="Arial" w:hAnsi="Arial"/>
          <w:sz w:val="24"/>
          <w:szCs w:val="24"/>
        </w:rPr>
        <w:t xml:space="preserve">I estimate the RDD at placebo cutoffs (the median of each side of the distribution) where no treatment effect should exist. Finding significant effects at non-cutoff thresholds would undermine the credibility of the design.</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eight general elections (2004, 2008, 2011, 2015, 2016, 2019 April, 2019 November, and 2023). The analysis is restricted to the 50 multi-member provinces where the D’Hondt method applies, excluding the single-member plurality districts of Ceuta and Melilla.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unit of analysis is the candidate-election, representing an individual candidate’s participation in a specific election. The running variable—the normalized vote margin for the marginal seat—is computed at the party-province level using the D’Hondt allocation algorithm as described in Chapter 4; all candidates on a given party list in a province share the same running variable value. Outcomes, however, are tracked at the individual candidate level using a person-identifier linkage algorithm that matches candidates across election cycles, enabling the analysis of personal reappearance, re-election, and list-position dynamics.</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After linking outcomes to the subsequent election via the person-identifier algorithm, the estimation sample for the “runs next” and “wins next” outcomes contains 2,118 observations. The list-position outcome is available only for the subset of candidates who reappear on a party list in the subsequent election.</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Imbens-Kalyanaraman (IK) optimal bandwidth selector,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0.987***</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IK optimal bandwidth.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The sharp RDD estimate for the probability of running in the next election is 0.285 (SE = 0.047, p &lt; 0.001), indicating that parties barely winning a marginal seat are approximately 28.5 percentage points more likely to contest the subsequent election. The effect on winning a seat in the next election is 0.262 (SE = 0.081, p = 0.001).</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0.979 for the “runs next” specification and 0.987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0.285 regardless of clustering, with standard errors ranging from 0.048 to 0.050. For “wins next,” the estimate is 0.186 with standard errors between 0.045 and 0.047. The virtually identical standard errors across clustering levels indicate that within-cluster correlation does not substantially inflate variance, likely because the running variable already incorporates province-election-level information.</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A distinctive feature of closed-list PR systems is that party organizations determine the ordering of candidates on the list, and this ordering directly determines which candidates are elected given the number of seats the party wins. Hypothesis H3 posits that incumbency—operationalized as the party barely winning a marginal seat—leads to more favorable list positions for candidates in the subsequent election. This outcome is inherently conditional: list position in the next election is only observed for candidates who reappear on a party list, making this a selected-sample analysis.</w:t>
      </w:r>
    </w:p>
    <w:p>
      <w:pPr>
        <w:spacing w:after="200" w:line="360"/>
        <w:jc w:val="both"/>
      </w:pPr>
      <w:r>
        <w:rPr>
          <w:rFonts w:ascii="Arial" w:cs="Arial" w:eastAsia="Arial" w:hAnsi="Arial"/>
          <w:sz w:val="24"/>
          <w:szCs w:val="24"/>
        </w:rPr>
        <w:t xml:space="preserve">Table 10 presents the RDD estimates for two list-position outcomes: list_pos_next (the candidate’s raw list position in the subsequent election) and list_pos_change (the change in list position from the current to the subsequent election, where negative values indicate an improvement). The estimates are reported across the bandwidth grid with province-election clustered standard errors.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List Position Effects – RDD Estimates (Conditional on Running Again)</w:t>
      </w:r>
    </w:p>
    <w:p>
      <w:pPr>
        <w:spacing w:after="200" w:line="360"/>
        <w:jc w:val="both"/>
      </w:pPr>
      <w:r>
        <w:rPr>
          <w:rFonts w:ascii="Arial" w:cs="Arial" w:eastAsia="Arial" w:hAnsi="Arial"/>
          <w:i/>
          <w:iCs/>
          <w:sz w:val="20"/>
          <w:szCs w:val="20"/>
        </w:rPr>
        <w:t xml:space="preserve">[Table 10 is generated from data/processed/thesis_tables/thesis_list_position_effects.csv]</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Sub-question 3 asks whether the incumbency advantage varies across districts of different sizes. District magnitude—the number of seats allocated to a province—is a key institutional parameter that shapes the competitiveness and proportionality of elections. In small-magnitude districts (2–4 seats), the effective threshold for winning a seat is high, competition is intense, and a single seat can represent a large share of the province’s representation. In large-magnitude districts (10+ seats), the threshold is lower, and the marginal seat represents a smaller fraction of total representation.</w:t>
      </w:r>
    </w:p>
    <w:p>
      <w:pPr>
        <w:spacing w:after="200" w:line="360"/>
        <w:jc w:val="both"/>
      </w:pPr>
      <w:r>
        <w:rPr>
          <w:rFonts w:ascii="Arial" w:cs="Arial" w:eastAsia="Arial" w:hAnsi="Arial"/>
          <w:sz w:val="24"/>
          <w:szCs w:val="24"/>
        </w:rPr>
        <w:t xml:space="preserve">To investigate this heterogeneity, I split the analysis sample at the median district magnitude and re-estimate the main RDD specification separately for high-magnitude and low-magnitude provinces. Table 11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Heterogeneity by District Magnitude – RDD Estimates</w:t>
      </w:r>
    </w:p>
    <w:p>
      <w:pPr>
        <w:spacing w:after="200" w:line="360"/>
        <w:jc w:val="both"/>
      </w:pPr>
      <w:r>
        <w:rPr>
          <w:rFonts w:ascii="Arial" w:cs="Arial" w:eastAsia="Arial" w:hAnsi="Arial"/>
          <w:i/>
          <w:iCs/>
          <w:sz w:val="20"/>
          <w:szCs w:val="20"/>
        </w:rPr>
        <w:t xml:space="preserve">[Table 11 is generated from data/processed/thesis_tables/thesis_heterogeneity_district_magnitude.csv]</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&gt; 0.35).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(0.329 vs. 0.285) but within the confidence intervals. For “wins next,” the estimates are nearly identical (0.180 vs. 0.186).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9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0.014),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list-position analysis (SQ4) adds a further dimension to the mechanisms discussion. In closed-list PR systems, party gatekeepers decide which candidates receive prominent list positions. The suggestive evidence that incumbency leads to more favorable list positions indicates that party organizations internalize the electoral experience of their candidates when constructing subsequent lists, which could be a channel through which individual-level incumbency effects are mediated.</w:t>
      </w:r>
    </w:p>
    <w:p>
      <w:pPr>
        <w:spacing w:after="200" w:line="360"/>
        <w:jc w:val="both"/>
      </w:pPr>
      <w:r>
        <w:rPr>
          <w:rFonts w:ascii="Arial" w:cs="Arial" w:eastAsia="Arial" w:hAnsi="Arial"/>
          <w:sz w:val="24"/>
          <w:szCs w:val="24"/>
        </w:rPr>
        <w:t xml:space="preserve">The heterogeneity analysis (SQ3) indicates that the incumbency advantage is a broad phenomenon rather than an artifact of a particular district type. The fact that effects are present in both high- and low-magnitude districts suggests that the mechanisms operate across different competitive environments, although the relative importance of specific channels (visibility, resource access, party coordination) may vary with district size.</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The estimated incumbency advantage of approximately 28 percentage points (for running again) is consistent with effects found in other electoral contexts. Lee (2008) found a roughly 38 percentage point advantage in US House elections, which is larger but operates in a very different institutional setting (single-member districts, candidate-centered elections). Luechinger, Schelker, and Schmid (2024) found significant incumbency effects in Swiss proportional elections using a similar methodology, suggesting that PR systems are not immune to incumbency advantages.</w:t>
      </w:r>
    </w:p>
    <w:p>
      <w:pPr>
        <w:spacing w:after="200" w:line="360"/>
        <w:jc w:val="both"/>
      </w:pPr>
      <w:r>
        <w:rPr>
          <w:rFonts w:ascii="Arial" w:cs="Arial" w:eastAsia="Arial" w:hAnsi="Arial"/>
          <w:sz w:val="24"/>
          <w:szCs w:val="24"/>
        </w:rPr>
        <w:t xml:space="preserve">The finding that incumbency affects both the extensive margin (running again) and the intensive margin (winning) is consistent with Dano et al. (2022), who documented similar patterns in French elections. The relative magnitudes—a larger effect on running than on winning—suggest that the incumbency advantage partly operates through selection into candidacy, a mechanism that has received less attention in the literature.</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while outcomes are tracked at the individual candidate level via person-identifier linkage, the running variable is measured at the party-province level; all candidates on the same party list share the same running variable value, which limits the ability to identify purely individual-level variation.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Future work could extend this analysis by investigating whether the incumbency advantage varies with party size or ideology,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incumbency advantage in Spain’s proportional representation system at the candidate level. Using a regression discontinuity design adapted for PR systems following Luechinger, Schelker, and Schmid (2024), I exploit the quasi-random assignment of marginal seats under the D’Hondt method to identify the causal effect of winning a seat on individual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d57ed2a4f872bfe13f3080f9707cea81c71b77.png"/><Relationship Id="rId10" Type="http://schemas.openxmlformats.org/officeDocument/2006/relationships/image" Target="media/c0dd3be1e37a3a852ff32eeb5bb4e60b63a591ce.png"/><Relationship Id="rId11" Type="http://schemas.openxmlformats.org/officeDocument/2006/relationships/image" Target="media/091d907633e1f9af9ba995453b666a9c54e35be2.png"/><Relationship Id="rId12" Type="http://schemas.openxmlformats.org/officeDocument/2006/relationships/image" Target="media/baf1da95306f5a4c81c9647581f9fd66c3b87e4a.png"/><Relationship Id="rId13" Type="http://schemas.openxmlformats.org/officeDocument/2006/relationships/image" Target="media/9c7311019a6dd98f544a294c5374dca1633809af.png"/><Relationship Id="rId14" Type="http://schemas.openxmlformats.org/officeDocument/2006/relationships/image" Target="media/f3ec1139a5982d4aaa6b7e3a0ce073ba9802113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2026-03-14T20:13:17.132Z</dcterms:created>
  <dcterms:modified xsi:type="dcterms:W3CDTF">2026-03-14T20:13:17.143Z</dcterms:modified>
</cp:coreProperties>
</file>

<file path=docProps/custom.xml><?xml version="1.0" encoding="utf-8"?>
<Properties xmlns="http://schemas.openxmlformats.org/officeDocument/2006/custom-properties" xmlns:vt="http://schemas.openxmlformats.org/officeDocument/2006/docPropsVTypes"/>
</file>