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party-level incumbency on individual candidates’ subsequent electoral outcomes in Spain’s proportional representation system. While a large body of research has established the existence and magnitude of incumbency advantages in majoritarian electoral systems, comparatively little is known about how incumbency operates in proportional representation (PR) contexts, where seat allocation follows the D’Hondt method and party lists mediate the relationship between individual candidates and voters.</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Each candidate receives a position-specific running variable—the D’Hondt party margin for their list position, normalized by eligible voters—so that the analysis focuses on candidates genuinely near a seat allocation threshold. Using data on all Spanish congressional (Congreso de los Diputados) elections from 2004 to 2023, encompassing 2,412 candidate-election observations within the analysis bandwidth (of which 2,118 have observable t+1 outcomes), I estimate both sharp and fuzzy RDD specifications. Candidates are tracked across elections using a person-identifier linkage algorithm.</w:t>
      </w:r>
    </w:p>
    <w:p>
      <w:pPr>
        <w:spacing w:after="200" w:line="360"/>
        <w:jc w:val="both"/>
      </w:pPr>
      <w:r>
        <w:rPr>
          <w:rFonts w:ascii="Arial" w:cs="Arial" w:eastAsia="Arial" w:hAnsi="Arial"/>
          <w:sz w:val="24"/>
          <w:szCs w:val="24"/>
        </w:rPr>
        <w:t xml:space="preserve">The results indicate a substantial and statistically significant incumbency advantage. Candidates whose party barely wins a marginal seat are approximately 28 percentage points more likely to reappear on a party list in the subsequent election (sharp RDD, p &lt; 0.001) and 19 percentage points more likely to win a seat (sharp RDD, p &lt; 0.001). There is suggestive evidence that winning a marginal seat also leads to more favorable list positions. These estimates are robust to alternative bandwidth choices, polynomial specifications, donut-hole restrictions, and different standard error clustering strategies. Placebo cutoff tests confirm no spurious effects at non-cutoff thresholds, and McCrary density tests reveal no evidence of strategic manipulation around the cutoff. The near-perfect first-stage relationship (τ ≈ 0.98) means that the fuzzy RDD estimates are approximately 2% larger than the sharp estimates (scaling by 1/0.98), confirming both strong compliance and the design’s internal validity. Heterogeneity analysis shows that the incumbency advantage is present across districts of varying magnitudes.</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 operating through both candidate reappearance and list-position channels.</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Originality</w:t>
      </w:r>
    </w:p>
    <w:p>
      <w:pPr>
        <w:spacing w:after="200" w:line="360"/>
        <w:jc w:val="both"/>
      </w:pPr>
      <w:r>
        <w:rPr>
          <w:rFonts w:ascii="Arial" w:cs="Arial" w:eastAsia="Arial" w:hAnsi="Arial"/>
          <w:sz w:val="24"/>
          <w:szCs w:val="24"/>
        </w:rPr>
        <w:t xml:space="preserve">I hereby declare that I have written this thesis independently and exclusively with the aids and support of third parties provided by the Lucerne School of Business, in compliance with the Guidelines for the Use of AI and GenAI Tools in Assessments. All sources and literature used have been fully cited. I confirm that this thesis has not been submitted in the same or similar form for examination purposes elsewhere.</w:t>
      </w:r>
    </w:p>
    <w:p>
      <w:r>
        <w:rPr>
          <w:rFonts w:ascii="Arial" w:cs="Arial" w:eastAsia="Arial" w:hAnsi="Arial"/>
          <w:sz w:val="24"/>
          <w:szCs w:val="24"/>
        </w:rPr>
        <w:t xml:space="preserve"/>
      </w:r>
    </w:p>
    <w:p>
      <w:pPr>
        <w:pStyle w:val="Heading2"/>
        <w:spacing w:after="180" w:before="360"/>
      </w:pPr>
      <w:r>
        <w:rPr>
          <w:rFonts w:ascii="Arial" w:cs="Arial" w:eastAsia="Arial" w:hAnsi="Arial"/>
          <w:b/>
          <w:bCs/>
          <w:sz w:val="28"/>
          <w:szCs w:val="28"/>
        </w:rPr>
        <w:t xml:space="preserve">Statement on AI Use</w:t>
      </w:r>
    </w:p>
    <w:p>
      <w:pPr>
        <w:spacing w:after="200" w:line="360"/>
        <w:jc w:val="both"/>
      </w:pPr>
      <w:r>
        <w:rPr>
          <w:rFonts w:ascii="Arial" w:cs="Arial" w:eastAsia="Arial" w:hAnsi="Arial"/>
          <w:sz w:val="24"/>
          <w:szCs w:val="24"/>
        </w:rPr>
        <w:t xml:space="preserve">Generative AI tools were used during the preparation of this thesis in the following capacities: (1) Claude (Anthropic) was used for code generation assistance in the Python analysis pipeline, document formatting, and iterative review of the manuscript against the grading rubric; (2) GPT-4o (OpenAI) was used for text editing and formatting support during the preliminary study phase. All conceptual content, research design, analytical decisions, and interpretation of results were developed by the author. The use of AI tools was limited to technical implementation support and did not extend to the formulation of hypotheses, selection of methodology, or interpretation of findings.</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List Position Effects – RDD Estimates</w:t>
      </w:r>
    </w:p>
    <w:p>
      <w:pPr>
        <w:spacing w:after="200" w:line="360"/>
        <w:jc w:val="both"/>
      </w:pPr>
      <w:r>
        <w:rPr>
          <w:rFonts w:ascii="Arial" w:cs="Arial" w:eastAsia="Arial" w:hAnsi="Arial"/>
          <w:sz w:val="24"/>
          <w:szCs w:val="24"/>
        </w:rPr>
        <w:t xml:space="preserve">Table 6: Heterogeneity by District Magnitude</w:t>
      </w:r>
    </w:p>
    <w:p>
      <w:pPr>
        <w:spacing w:after="200" w:line="360"/>
        <w:jc w:val="both"/>
      </w:pPr>
      <w:r>
        <w:rPr>
          <w:rFonts w:ascii="Arial" w:cs="Arial" w:eastAsia="Arial" w:hAnsi="Arial"/>
          <w:sz w:val="24"/>
          <w:szCs w:val="24"/>
        </w:rPr>
        <w:t xml:space="preserve">Table 7: McCrary Density Tests</w:t>
      </w:r>
    </w:p>
    <w:p>
      <w:pPr>
        <w:spacing w:after="200" w:line="360"/>
        <w:jc w:val="both"/>
      </w:pPr>
      <w:r>
        <w:rPr>
          <w:rFonts w:ascii="Arial" w:cs="Arial" w:eastAsia="Arial" w:hAnsi="Arial"/>
          <w:sz w:val="24"/>
          <w:szCs w:val="24"/>
        </w:rPr>
        <w:t xml:space="preserve">Table 8: Placebo Cutoff Tests</w:t>
      </w:r>
    </w:p>
    <w:p>
      <w:pPr>
        <w:spacing w:after="200" w:line="360"/>
        <w:jc w:val="both"/>
      </w:pPr>
      <w:r>
        <w:rPr>
          <w:rFonts w:ascii="Arial" w:cs="Arial" w:eastAsia="Arial" w:hAnsi="Arial"/>
          <w:sz w:val="24"/>
          <w:szCs w:val="24"/>
        </w:rPr>
        <w:t xml:space="preserve">Table 9: Donut-Hole Robustness</w:t>
      </w:r>
    </w:p>
    <w:p>
      <w:pPr>
        <w:spacing w:after="200" w:line="360"/>
        <w:jc w:val="both"/>
      </w:pPr>
      <w:r>
        <w:rPr>
          <w:rFonts w:ascii="Arial" w:cs="Arial" w:eastAsia="Arial" w:hAnsi="Arial"/>
          <w:sz w:val="24"/>
          <w:szCs w:val="24"/>
        </w:rPr>
        <w:t xml:space="preserve">Table 10: Polynomial Order Comparison</w:t>
      </w:r>
    </w:p>
    <w:p>
      <w:pPr>
        <w:spacing w:after="200" w:line="360"/>
        <w:jc w:val="both"/>
      </w:pPr>
      <w:r>
        <w:rPr>
          <w:rFonts w:ascii="Arial" w:cs="Arial" w:eastAsia="Arial" w:hAnsi="Arial"/>
          <w:sz w:val="24"/>
          <w:szCs w:val="24"/>
        </w:rPr>
        <w:t xml:space="preserve">Table 11: Covariate Balance at the Cutoff</w:t>
      </w:r>
    </w:p>
    <w:p>
      <w:pPr>
        <w:spacing w:after="200" w:line="360"/>
        <w:jc w:val="both"/>
      </w:pPr>
      <w:r>
        <w:rPr>
          <w:rFonts w:ascii="Arial" w:cs="Arial" w:eastAsia="Arial" w:hAnsi="Arial"/>
          <w:sz w:val="24"/>
          <w:szCs w:val="24"/>
        </w:rPr>
        <w:t xml:space="preserve">Table 12: Cross-Country Comparison of Incumbency Advantage Estimates</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advantage for Democratic candidates winning close US House races, established this approach as a credible method for causal identification.</w:t>
      </w:r>
    </w:p>
    <w:p>
      <w:pPr>
        <w:spacing w:after="200" w:line="360"/>
        <w:jc w:val="both"/>
      </w:pPr>
      <w:r>
        <w:rPr>
          <w:rFonts w:ascii="Arial" w:cs="Arial" w:eastAsia="Arial" w:hAnsi="Arial"/>
          <w:sz w:val="24"/>
          <w:szCs w:val="24"/>
        </w:rPr>
        <w:t xml:space="preserve">However, the vast majority of democracies worldwide employ some form of proportional representation (PR), where seats are allocated to parties in proportion to their vote shares. In these systems, the mechanisms underlying incumbency advantage may differ substantially from majoritarian contexts. Under PR, voters typically choose between party lists rather than individual candidates, the personal vote may play a diminished role, and the institutional channels through which incumbency operates—such as name recognition, constituency service, and media visibility—may be filtered through party organizations.</w:t>
      </w:r>
    </w:p>
    <w:p>
      <w:pPr>
        <w:spacing w:after="200" w:line="360"/>
        <w:jc w:val="both"/>
      </w:pPr>
      <w:r>
        <w:rPr>
          <w:rFonts w:ascii="Arial" w:cs="Arial" w:eastAsia="Arial" w:hAnsi="Arial"/>
          <w:sz w:val="24"/>
          <w:szCs w:val="24"/>
        </w:rPr>
        <w:t xml:space="preserve">Spain provides an ideal setting for studying incumbency effects in a PR system. The country uses a closed-list PR system with the D’Hondt method for seat allocation in its lower chamber (Congreso de los Diputados). Of the 52 electoral constituencies, 50 multi-member provinces use D’Hondt proportional allocation, while Ceuta and Melilla are single-member plurality districts. This institutional design generates quasi-experimental variation at the margin of seat allocation: parties that barely win versus barely lose a marginal seat in a given province are, on average, comparable in terms of observable and unobservable characteristics, yet they differ in their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main research question:</w:t>
      </w:r>
    </w:p>
    <w:p>
      <w:pPr>
        <w:spacing w:after="200" w:line="360"/>
        <w:jc w:val="both"/>
      </w:pPr>
      <w:r>
        <w:rPr>
          <w:rFonts w:ascii="Arial" w:cs="Arial" w:eastAsia="Arial" w:hAnsi="Arial"/>
          <w:b/>
          <w:bCs/>
          <w:sz w:val="24"/>
          <w:szCs w:val="24"/>
        </w:rPr>
        <w:t xml:space="preserve">Main RQ: </w:t>
      </w:r>
      <w:r>
        <w:rPr>
          <w:rFonts w:ascii="Arial" w:cs="Arial" w:eastAsia="Arial" w:hAnsi="Arial"/>
          <w:sz w:val="24"/>
          <w:szCs w:val="24"/>
        </w:rPr>
        <w:t xml:space="preserve">How does narrowly winning a parliamentary seat affect a candidate’s future electoral prospects in Spain’s proportional representation system?</w:t>
      </w:r>
    </w:p>
    <w:p>
      <w:pPr>
        <w:spacing w:after="200" w:line="360"/>
        <w:jc w:val="both"/>
      </w:pPr>
      <w:r>
        <w:rPr>
          <w:rFonts w:ascii="Arial" w:cs="Arial" w:eastAsia="Arial" w:hAnsi="Arial"/>
          <w:sz w:val="24"/>
          <w:szCs w:val="24"/>
        </w:rPr>
        <w:t xml:space="preserve">This question is decomposed into four sub-questions:</w:t>
      </w:r>
    </w:p>
    <w:p>
      <w:pPr>
        <w:spacing w:after="200" w:line="360"/>
        <w:jc w:val="both"/>
      </w:pPr>
      <w:r>
        <w:rPr>
          <w:rFonts w:ascii="Arial" w:cs="Arial" w:eastAsia="Arial" w:hAnsi="Arial"/>
          <w:b/>
          <w:bCs/>
          <w:sz w:val="24"/>
          <w:szCs w:val="24"/>
        </w:rPr>
        <w:t xml:space="preserve">SQ1: </w:t>
      </w:r>
      <w:r>
        <w:rPr>
          <w:rFonts w:ascii="Arial" w:cs="Arial" w:eastAsia="Arial" w:hAnsi="Arial"/>
          <w:sz w:val="24"/>
          <w:szCs w:val="24"/>
        </w:rPr>
        <w:t xml:space="preserve">How can electoral closeness be accurately measured at the candidate level in Spain’s closed-list PR system?</w:t>
      </w:r>
    </w:p>
    <w:p>
      <w:pPr>
        <w:spacing w:after="200" w:line="360"/>
        <w:jc w:val="both"/>
      </w:pPr>
      <w:r>
        <w:rPr>
          <w:rFonts w:ascii="Arial" w:cs="Arial" w:eastAsia="Arial" w:hAnsi="Arial"/>
          <w:b/>
          <w:bCs/>
          <w:sz w:val="24"/>
          <w:szCs w:val="24"/>
        </w:rPr>
        <w:t xml:space="preserve">SQ2: </w:t>
      </w:r>
      <w:r>
        <w:rPr>
          <w:rFonts w:ascii="Arial" w:cs="Arial" w:eastAsia="Arial" w:hAnsi="Arial"/>
          <w:sz w:val="24"/>
          <w:szCs w:val="24"/>
        </w:rPr>
        <w:t xml:space="preserve">Does narrowly winning a seat causally increase the probability of running again and/or being elected in the next election cycle (the incumbency advantage)?</w:t>
      </w:r>
    </w:p>
    <w:p>
      <w:pPr>
        <w:spacing w:after="200" w:line="360"/>
        <w:jc w:val="both"/>
      </w:pPr>
      <w:r>
        <w:rPr>
          <w:rFonts w:ascii="Arial" w:cs="Arial" w:eastAsia="Arial" w:hAnsi="Arial"/>
          <w:b/>
          <w:bCs/>
          <w:sz w:val="24"/>
          <w:szCs w:val="24"/>
        </w:rPr>
        <w:t xml:space="preserve">SQ3: </w:t>
      </w:r>
      <w:r>
        <w:rPr>
          <w:rFonts w:ascii="Arial" w:cs="Arial" w:eastAsia="Arial" w:hAnsi="Arial"/>
          <w:sz w:val="24"/>
          <w:szCs w:val="24"/>
        </w:rPr>
        <w:t xml:space="preserve">How does the incumbency advantage differ across electoral districts of varying sizes (district magnitudes)?</w:t>
      </w:r>
    </w:p>
    <w:p>
      <w:pPr>
        <w:spacing w:after="200" w:line="360"/>
        <w:jc w:val="both"/>
      </w:pPr>
      <w:r>
        <w:rPr>
          <w:rFonts w:ascii="Arial" w:cs="Arial" w:eastAsia="Arial" w:hAnsi="Arial"/>
          <w:b/>
          <w:bCs/>
          <w:sz w:val="24"/>
          <w:szCs w:val="24"/>
        </w:rPr>
        <w:t xml:space="preserve">SQ4: </w:t>
      </w:r>
      <w:r>
        <w:rPr>
          <w:rFonts w:ascii="Arial" w:cs="Arial" w:eastAsia="Arial" w:hAnsi="Arial"/>
          <w:sz w:val="24"/>
          <w:szCs w:val="24"/>
        </w:rPr>
        <w:t xml:space="preserve">To what extent does incumbency affect a candidate’s future position on party lists?</w:t>
      </w:r>
    </w:p>
    <w:p>
      <w:pPr>
        <w:spacing w:after="200" w:line="360"/>
        <w:jc w:val="both"/>
      </w:pPr>
      <w:r>
        <w:rPr>
          <w:rFonts w:ascii="Arial" w:cs="Arial" w:eastAsia="Arial" w:hAnsi="Arial"/>
          <w:sz w:val="24"/>
          <w:szCs w:val="24"/>
        </w:rPr>
        <w:t xml:space="preserve">Each outcome in this design captures a substantively distinct dimension of the incumbency advantage. The extensive margin—whether candidates reappear on a party list—reflects the party organization’s decision to retain experienced candidates versus cycling in newcomers, a process with direct implications for legislative professionalization and policy continuity. If incumbency mechanically increases retention, legislatures become more experienced but potentially less responsive to voter preferences for renewal. The intensive margin—whether candidates win conditional on running—captures the electoral return to party-level incumbency and speaks to whether holding office genuinely improves a party’s competitive position or merely reflects selection effects. Finally, list position in closed-list PR systems is the single most important determinant of an individual candidate’s election probability, since voters cannot alter the ordering. Studying how incumbency affects list placement reveals whether parties use their gatekeeper power to reward experience, creating self-reinforcing career advantages for incumbents.</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going beyond a straightforward application of the Luechinger, Schelker, and Schmid (2024) methodology to a new country.</w:t>
      </w:r>
    </w:p>
    <w:p>
      <w:pPr>
        <w:spacing w:after="200" w:line="360"/>
        <w:jc w:val="both"/>
      </w:pPr>
      <w:r>
        <w:rPr>
          <w:rFonts w:ascii="Arial" w:cs="Arial" w:eastAsia="Arial" w:hAnsi="Arial"/>
          <w:sz w:val="24"/>
          <w:szCs w:val="24"/>
        </w:rPr>
        <w:t xml:space="preserve">First, Spain offers a theoretically informative test case that differs from the countries for which incumbency advantages under PR have been estimated in important ways. Luechinger, Schelker, and Schmid (2024) study Switzerland’s open-list PR system with panachage, where voters can freely modify party lists and cast personal preference votes; any incumbency effect there could operate through the personal vote channel. Spain’s closed-list system shuts down this channel entirely: voters choose between sealed party lists and cannot influence which individual candidates are elected. If an incumbency advantage persists even when voters have no ability to reward or punish individual incumbents, it must operate through party-level mechanisms—organizational resources, demonstrated viability, and gatekeeper decisions about list composition—rather than through the personal vote. Spain therefore provides a clean test of whether party-mediated incumbency effects exist independently of candidate-centered electoral incentives.</w:t>
      </w:r>
    </w:p>
    <w:p>
      <w:pPr>
        <w:spacing w:after="200" w:line="360"/>
        <w:jc w:val="both"/>
      </w:pPr>
      <w:r>
        <w:rPr>
          <w:rFonts w:ascii="Arial" w:cs="Arial" w:eastAsia="Arial" w:hAnsi="Arial"/>
          <w:sz w:val="24"/>
          <w:szCs w:val="24"/>
        </w:rPr>
        <w:t xml:space="preserve">Second, Spain’s institutional features generate analytical variation not available in other studied contexts. The 50 PR provinces range from 2-seat districts (e.g., Soria) to 37-seat megadistricts (Madrid), providing within-country variation in district magnitude that allows a direct test of whether incumbency advantages are modulated by the competitiveness of the seat allocation environment. Furthermore, Spain’s party system underwent dramatic fragmentation during the sample period (2004–2023), with the emergence of Podemos and Ciudadanos breaking the traditional PSOE–PP duopoly. This provides a dynamic multi-party setting absent from the Swiss and Norwegian contexts studied previously.</w:t>
      </w:r>
    </w:p>
    <w:p>
      <w:pPr>
        <w:spacing w:after="200" w:line="360"/>
        <w:jc w:val="both"/>
      </w:pPr>
      <w:r>
        <w:rPr>
          <w:rFonts w:ascii="Arial" w:cs="Arial" w:eastAsia="Arial" w:hAnsi="Arial"/>
          <w:sz w:val="24"/>
          <w:szCs w:val="24"/>
        </w:rPr>
        <w:t xml:space="preserve">Third, this thesis extends the analysis beyond the standard runs-next/wins-next outcomes by investigating list-position effects—a question unique to closed-list PR systems and one that directly probes the party-gatekeeper mechanism. If parties reward marginal-seat winners with more favorable list positions in subsequent elections, this reveals a concrete organizational channel through which incumbency perpetuates itself.</w:t>
      </w:r>
    </w:p>
    <w:p>
      <w:pPr>
        <w:spacing w:after="200" w:line="360"/>
        <w:jc w:val="both"/>
      </w:pPr>
      <w:r>
        <w:rPr>
          <w:rFonts w:ascii="Arial" w:cs="Arial" w:eastAsia="Arial" w:hAnsi="Arial"/>
          <w:sz w:val="24"/>
          <w:szCs w:val="24"/>
        </w:rPr>
        <w:t xml:space="preserve">Fourth, by implementing a comprehensive battery of robustness checks—placebo cutoff tests, donut-hole restrictions, polynomial order sensitivity, bandwidth sensitivity, and McCrary density tests—and by tracking individual candidates across elections via a person-identifier linkage algorithm, this thesis establishes the credibility of the empirical design in a context where such validation has not been performed before.</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indicate a substantial incumbency advantage in Spain’s PR system. Candidates whose party barely wins a marginal seat are approximately 28 percentage points more likely to reappear on a party list in the next election and 19 percentage points more likely to win a seat. There is suggestive evidence that winning a marginal seat also leads to more favorable list positions, and the effect is present across districts of varying magnitudes. These effects are highly statistically significant and robust across multiple specifications. The near-perfect first-stage relationship confirms that winning the marginal seat almost perfectly determines incumbency status, validating the research design.</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Erikson’s (1971) early observation that incumbent members of the US Congress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advantage for the winning party in close US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Eggers and Spirling (2017) documented significant incumbency advantages in the British House of Commons, demonstrating that the phenomenon extends beyond the US context. Caughey and Sekhon (2011) raised concerns about potential sorting near the cutoff in close US elections, though subsequent work has generally validated the RDD approach with appropriate controls. Klasnja and Titiunik (2017) broadened the comparative evidence by estimating incumbency effects in Brazilian mayoral elections, finding that in some developing-democracy contexts the incumbency advantage can be negative—incumbents are actually penalized—highlighting that the direction and magnitude of incumbency effects are context-dependent rather than universal.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Before reviewing the PR-specific literature, it is worth articulating why the three outcomes examined in this thesis—reappearance on a party list, re-election, and list-position improvement—are substantively interesting. The first outcome, reappearance (the extensive margin), captures whether winning a marginal seat affects whether the party fields the candidate again at all; this matters because democratic competition depends on viable alternatives, and if winning a seat makes parties more likely to persist in a province, it could entrench existing parties and reduce contestability. The second outcome, re-election (the intensive margin), measures whether the electoral boost translates into actual seat gains, with direct implications for political turnover and accountability: a large intensive-margin effect implies that marginal incumbents are systematically re-elected, reducing the responsiveness of representation to changing voter preferences. The third outcome, list position, is uniquely important in closed-list PR systems because it reveals the internal party decision-making process; if parties systematically promote marginal-seat winners to safer list positions, this constitutes a concrete organizational mechanism through which incumbency self-perpetuates, independent of any voter-level channel.</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often attenuated in PR systems, especially those with closed party lists where voters cannot choose among individual candidates within a party. Nonetheless, parties that win representation in a district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w:t>
      </w:r>
    </w:p>
    <w:p>
      <w:pPr>
        <w:spacing w:after="200" w:line="360"/>
        <w:jc w:val="both"/>
      </w:pPr>
      <w:r>
        <w:rPr>
          <w:rFonts w:ascii="Arial" w:cs="Arial" w:eastAsia="Arial" w:hAnsi="Arial"/>
          <w:sz w:val="24"/>
          <w:szCs w:val="24"/>
        </w:rPr>
        <w:t xml:space="preserve">Fiva and Røhr (2018) provide important evidence from Norwegian local elections, a setting with open-list PR where personal preference votes can alter the party-determined list ordering. Using an RDD framework at the individual candidate level, they find that incumbency significantly increases the probability of being ranked higher on the party list and of being re-elected. Crucially, most of the incumbency advantage operates through improved list positions assigned by party organizations rather than through direct voter preferences. This finding is particularly relevant for the present study: if party gatekeepers drive incumbency advantages even in open-list systems where voters can override list orderings, the effect should be at least as strong in Spain’s closed-list system where parties have complete control over candidate rankings.</w:t>
      </w:r>
    </w:p>
    <w:p>
      <w:pPr>
        <w:spacing w:after="200" w:line="360"/>
        <w:jc w:val="both"/>
      </w:pPr>
      <w:r>
        <w:rPr>
          <w:rFonts w:ascii="Arial" w:cs="Arial" w:eastAsia="Arial" w:hAnsi="Arial"/>
          <w:sz w:val="24"/>
          <w:szCs w:val="24"/>
        </w:rPr>
        <w:t xml:space="preserve">A key gap in this emerging literature concerns the decomposition of the incumbency advantage into its constituent channels. Most studies report a single reduced-form effect on vote shares or seat wins, but the total effect may mask distinct mechanisms. Distinguishing the extensive margin (whether a party’s candidates reappear at all) from the intensive margin (whether they win conditional on running) is important because the two channels have different policy implications: a large extensive-margin effect suggests that incumbency operates through party viability and organizational persistence, while a large intensive-margin effect points to direct electoral benefits such as voter loyalty or resource advantages. Furthermore, in closed-list PR systems, the party’s internal decision about list composition—specifically, where to place candidates on the list—is a theoretically distinct channel that mediates between party-level incumbency status and individual candidate outcomes (Hazan and Rahat, 2010; Galasso and Nannicini, 2011). Examining this channel requires tracking individual candidates across elections and observing changes in their list positions, which this thesis does.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the relationship between electoral rules and party system fragmentation, and the strategic behavior of parties under the D’Hondt method. However, to the best of my knowledge, no prior study has applied the RDD framework with the Luechinger, Schelker, and Schmid (2024) closeness measure to estimate the incumbency advantage in Spanish congressional elections. This thesis fills that gap.</w:t>
      </w:r>
    </w:p>
    <w:p>
      <w:pPr>
        <w:spacing w:after="200" w:line="360"/>
        <w:jc w:val="both"/>
      </w:pPr>
      <w:r>
        <w:rPr>
          <w:rFonts w:ascii="Arial" w:cs="Arial" w:eastAsia="Arial" w:hAnsi="Arial"/>
          <w:sz w:val="24"/>
          <w:szCs w:val="24"/>
        </w:rPr>
        <w:t xml:space="preserve">Spain is a particularly interesting case for several reasons. First, the 50 PR provinces vary substantially in district magnitude, from small provinces electing two or three members to large multi-member districts such as Madrid and Barcelona, providing variation in the competitiveness and proportionality of seat allocation. Second, Spain uses a closed-list system where voters cannot express preferences for individual candidates, meaning that any incumbency effect operates primarily through the party rather than individual candidate channels. Third, the Spanish party system has undergone significant transformation during the period studied (2004–2023), including the rise of new parties such as Podemos and Ciudadanos, providing a dynamic political context.</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 Each is grounded in established theoretical mechanisms from the incumbency advantage literature.</w:t>
      </w:r>
    </w:p>
    <w:p>
      <w:pPr>
        <w:spacing w:after="200" w:line="360"/>
        <w:jc w:val="both"/>
      </w:pPr>
      <w:r>
        <w:rPr>
          <w:rFonts w:ascii="Arial" w:cs="Arial" w:eastAsia="Arial" w:hAnsi="Arial"/>
          <w:b/>
          <w:bCs/>
          <w:sz w:val="24"/>
          <w:szCs w:val="24"/>
        </w:rPr>
        <w:t xml:space="preserve">H1 (Extensive margin): </w:t>
      </w:r>
      <w:r>
        <w:rPr>
          <w:rFonts w:ascii="Arial" w:cs="Arial" w:eastAsia="Arial" w:hAnsi="Arial"/>
          <w:sz w:val="24"/>
          <w:szCs w:val="24"/>
        </w:rPr>
        <w:t xml:space="preserve">Candidates whose party barely wins a marginal seat are more likely to reappear on the party list in the subsequent election.</w:t>
      </w:r>
    </w:p>
    <w:p>
      <w:pPr>
        <w:spacing w:after="200" w:line="360"/>
        <w:jc w:val="both"/>
      </w:pPr>
      <w:r>
        <w:rPr>
          <w:rFonts w:ascii="Arial" w:cs="Arial" w:eastAsia="Arial" w:hAnsi="Arial"/>
          <w:sz w:val="24"/>
          <w:szCs w:val="24"/>
        </w:rPr>
        <w:t xml:space="preserve">The theoretical basis for this hypothesis draws on two established mechanisms. First, the “scare-off” or deterrence effect (Cox and Katz, 1996; Ansolabehere and Snyder, 2002): parties that hold a seat may deter competitors and signal viability, encouraging their own candidates to stand again while discouraging exit. Second, the resource channel: winning representation provides access to parliamentary budgets, staff, and media platforms (Erikson, 1971), reducing the fixed costs of contesting the next election. In PR systems with closed lists, these resources accrue primarily to the party organization rather than individual candidates, but they still shape the party’s decision to field candidates in a given province. Empirically, Luechinger, Schelker, and Schmid (2024) find a large extensive-margin effect in Swiss PR elections, suggesting that this channel is operative beyond majoritarian settings.</w:t>
      </w:r>
    </w:p>
    <w:p>
      <w:pPr>
        <w:spacing w:after="200" w:line="360"/>
        <w:jc w:val="both"/>
      </w:pPr>
      <w:r>
        <w:rPr>
          <w:rFonts w:ascii="Arial" w:cs="Arial" w:eastAsia="Arial" w:hAnsi="Arial"/>
          <w:b/>
          <w:bCs/>
          <w:sz w:val="24"/>
          <w:szCs w:val="24"/>
        </w:rPr>
        <w:t xml:space="preserve">H2 (Intensive margin): </w:t>
      </w:r>
      <w:r>
        <w:rPr>
          <w:rFonts w:ascii="Arial" w:cs="Arial" w:eastAsia="Arial" w:hAnsi="Arial"/>
          <w:sz w:val="24"/>
          <w:szCs w:val="24"/>
        </w:rPr>
        <w:t xml:space="preserve">Candidates whose party barely wins a marginal seat are more likely to win a seat in the subsequent election.</w:t>
      </w:r>
    </w:p>
    <w:p>
      <w:pPr>
        <w:spacing w:after="200" w:line="360"/>
        <w:jc w:val="both"/>
      </w:pPr>
      <w:r>
        <w:rPr>
          <w:rFonts w:ascii="Arial" w:cs="Arial" w:eastAsia="Arial" w:hAnsi="Arial"/>
          <w:sz w:val="24"/>
          <w:szCs w:val="24"/>
        </w:rPr>
        <w:t xml:space="preserve">Beyond simply running again, the incumbency advantage literature identifies several channels through which holding office improves subsequent electoral performance. Gelman and King (1990) formalize the “quality advantage”: incumbent parties benefit from demonstrated competence and policy delivery. Lee (2008) argues that close-election RDD captures the combined effect of all incumbency channels—name recognition, constituency service, media exposure, pork-barrel spending—without needing to decompose them individually. In a closed-list PR system, the intensive-margin effect should reflect party-level rather than candidate-level advantages: voters reward or punish the party’s record, and the D’Hondt mechanism translates aggregate vote gains into additional seats.</w:t>
      </w:r>
    </w:p>
    <w:p>
      <w:pPr>
        <w:spacing w:after="200" w:line="360"/>
        <w:jc w:val="both"/>
      </w:pPr>
      <w:r>
        <w:rPr>
          <w:rFonts w:ascii="Arial" w:cs="Arial" w:eastAsia="Arial" w:hAnsi="Arial"/>
          <w:b/>
          <w:bCs/>
          <w:sz w:val="24"/>
          <w:szCs w:val="24"/>
        </w:rPr>
        <w:t xml:space="preserve">H3 (List-position channel): </w:t>
      </w:r>
      <w:r>
        <w:rPr>
          <w:rFonts w:ascii="Arial" w:cs="Arial" w:eastAsia="Arial" w:hAnsi="Arial"/>
          <w:sz w:val="24"/>
          <w:szCs w:val="24"/>
        </w:rPr>
        <w:t xml:space="preserve">Candidates whose party barely wins a marginal seat receive more favorable (higher) list positions in subsequent elections.</w:t>
      </w:r>
    </w:p>
    <w:p>
      <w:pPr>
        <w:spacing w:after="200" w:line="360"/>
        <w:jc w:val="both"/>
      </w:pPr>
      <w:r>
        <w:rPr>
          <w:rFonts w:ascii="Arial" w:cs="Arial" w:eastAsia="Arial" w:hAnsi="Arial"/>
          <w:sz w:val="24"/>
          <w:szCs w:val="24"/>
        </w:rPr>
        <w:t xml:space="preserve">This hypothesis probes a mechanism specific to closed-list PR systems and draws on the selectorate theory of candidate selection (Hazan and Rahat, 2010). In closed-list systems, party gatekeepers—rather than voters—determine list rankings. Theoretical models of intra-party competition predict that parties reward candidates who have demonstrated electability and accumulated legislative experience with more prominent list positions (Galasso and Nannicini, 2011). If incumbency experience serves as a signal of candidate quality to party selectors, then marginal-seat winners should receive better list placements in the next election. This hypothesis is testable only among candidates who reappear on a party list, making it conditional on the extensive margin. The list-position channel has not been examined in previous RDD studies of incumbency under PR, making it a novel contribution of this thesis.</w:t>
      </w:r>
    </w:p>
    <w:p>
      <w:pPr>
        <w:spacing w:after="200" w:line="360"/>
        <w:jc w:val="both"/>
      </w:pPr>
      <w:r>
        <w:rPr>
          <w:rFonts w:ascii="Arial" w:cs="Arial" w:eastAsia="Arial" w:hAnsi="Arial"/>
          <w:b/>
          <w:bCs/>
          <w:sz w:val="24"/>
          <w:szCs w:val="24"/>
        </w:rPr>
        <w:t xml:space="preserve">H4 (District magnitude heterogeneity): </w:t>
      </w:r>
      <w:r>
        <w:rPr>
          <w:rFonts w:ascii="Arial" w:cs="Arial" w:eastAsia="Arial" w:hAnsi="Arial"/>
          <w:sz w:val="24"/>
          <w:szCs w:val="24"/>
        </w:rPr>
        <w:t xml:space="preserve">The incumbency advantage varies with district magnitude, with stronger effects expected in low-magnitude districts.</w:t>
      </w:r>
    </w:p>
    <w:p>
      <w:pPr>
        <w:spacing w:after="200" w:line="360"/>
        <w:jc w:val="both"/>
      </w:pPr>
      <w:r>
        <w:rPr>
          <w:rFonts w:ascii="Arial" w:cs="Arial" w:eastAsia="Arial" w:hAnsi="Arial"/>
          <w:sz w:val="24"/>
          <w:szCs w:val="24"/>
        </w:rPr>
        <w:t xml:space="preserve">The theoretical prediction follows from the mechanical properties of proportional seat allocation. Taagepera and Shugart (1989) show that as district magnitude decreases, the effective threshold for winning a seat increases, making each seat more valuable and competition for the marginal seat more intense. In small-magnitude districts (2–4 seats), each seat represents a large share of the province’s representation, amplifying the organizational and visibility returns to holding office. Conversely, in large-magnitude districts (e.g., Madrid with 36–37 seats), the marginal seat represents a smaller share of total representation, potentially attenuating incumbency effects. Empirically, this heterogeneity test speaks to the external validity debate in the RDD literature: if effects are confined to a particular district type, the policy implications differ from a finding of broad, systemic incumbency advantages.</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of the Spanish system make it well-suited for this analysis. First, parties cannot precisely control their vote totals, especially in close races, meaning that assignment near the cutoff approximates random assignment. Second, the large number of province-election observations across multiple elections provides sufficient statistical power. Third, the closed-list system means that individual candidate characteristics are less likely to confound the incumbency effects being estimated, as the running variable is determined by the party’s aggregate performance rather than individual candidate attributes. The analysis is restricted to the 50 multi-member PR provinces; the single-member plurality districts of Ceuta and Melilla are excluded because the D’Hondt closeness measure is not applicable to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I estimate the incumbency effect using a regression discontinuity design (RDD). The RDD exploits the fact that treatment—here, holding a parliamentary seat—is determined by whether a continuous running variable crosses a known cutoff. Under the assumption that potential outcomes are continuous at the cutoff, any discontinuity in observed outcomes can be attributed to the causal effect of treatment (Hahn, Todd, and Van der Klaauw, 2001; Imbens and Lemieux, 2008).</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is simply the vote margin between winner and runner-up. In PR systems with D’Hondt allocation, defining closeness requires the approach developed by Luechinger, Schelker, and Schmid (2024, Section 2.1).</w:t>
      </w:r>
    </w:p>
    <w:p>
      <w:pPr>
        <w:spacing w:after="200" w:line="360"/>
        <w:jc w:val="both"/>
      </w:pPr>
      <w:r>
        <w:rPr>
          <w:rFonts w:ascii="Arial" w:cs="Arial" w:eastAsia="Arial" w:hAnsi="Arial"/>
          <w:sz w:val="24"/>
          <w:szCs w:val="24"/>
        </w:rPr>
        <w:t xml:space="preserve">For each party j in a province with n seats, the party margin for seat i is defined as:</w:t>
      </w:r>
    </w:p>
    <w:p>
      <w:pPr>
        <w:spacing w:after="200" w:line="360"/>
        <w:jc w:val="center"/>
      </w:pPr>
      <w:r>
        <w:rPr>
          <w:rFonts w:ascii="Arial" w:cs="Arial" w:eastAsia="Arial" w:hAnsi="Arial"/>
          <w:i/>
          <w:iCs/>
          <w:sz w:val="24"/>
          <w:szCs w:val="24"/>
        </w:rPr>
        <w:t xml:space="preserve">party_margin(i, j) = votes_j − i × d*(i, j)</w:t>
      </w:r>
    </w:p>
    <w:p>
      <w:pPr>
        <w:spacing w:after="200" w:line="360"/>
        <w:jc w:val="both"/>
      </w:pPr>
      <w:r>
        <w:rPr>
          <w:rFonts w:ascii="Arial" w:cs="Arial" w:eastAsia="Arial" w:hAnsi="Arial"/>
          <w:sz w:val="24"/>
          <w:szCs w:val="24"/>
        </w:rPr>
        <w:t xml:space="preserve">where d*(i, j) is the D’Hondt ratio of the rival party that would displace party j’s i-th seat. Formally, d*(i, j) is the (n − i + 1)-th largest D’Hondt ratio among all other parties. This quantity tells us how many votes party j could lose (if positive) or would need to gain (if negative) for its i-th seat to change hands.</w:t>
      </w:r>
    </w:p>
    <w:p>
      <w:pPr>
        <w:spacing w:after="200" w:line="360"/>
        <w:jc w:val="both"/>
      </w:pPr>
      <w:r>
        <w:rPr>
          <w:rFonts w:ascii="Arial" w:cs="Arial" w:eastAsia="Arial" w:hAnsi="Arial"/>
          <w:sz w:val="24"/>
          <w:szCs w:val="24"/>
        </w:rPr>
        <w:t xml:space="preserve">In a closed-list system like Spain’s, voters cannot reorder candidates within a party list. This means there is no candidate margin (Section 2.2 of Luechinger et al. does not apply). Instead, the running variable for a candidate at list position p on party j’s list is simply party_margin(i = p, j). Each candidate thus receives a unique running variable reflecting how close they personally are to a seat threshold:</w:t>
      </w:r>
    </w:p>
    <w:p>
      <w:pPr>
        <w:spacing w:after="200" w:line="360"/>
        <w:jc w:val="both"/>
      </w:pPr>
      <w:r>
        <w:rPr>
          <w:rFonts w:ascii="Arial" w:cs="Arial" w:eastAsia="Arial" w:hAnsi="Arial"/>
          <w:sz w:val="24"/>
          <w:szCs w:val="24"/>
        </w:rPr>
        <w:t xml:space="preserve">• </w:t>
      </w:r>
      <w:r>
        <w:rPr>
          <w:rFonts w:ascii="Arial" w:cs="Arial" w:eastAsia="Arial" w:hAnsi="Arial"/>
          <w:sz w:val="24"/>
          <w:szCs w:val="24"/>
        </w:rPr>
        <w:t xml:space="preserve">Position 1 (top of list): large positive margin — safely elected.</w:t>
      </w:r>
    </w:p>
    <w:p>
      <w:pPr>
        <w:spacing w:after="200" w:line="360"/>
        <w:jc w:val="both"/>
      </w:pPr>
      <w:r>
        <w:rPr>
          <w:rFonts w:ascii="Arial" w:cs="Arial" w:eastAsia="Arial" w:hAnsi="Arial"/>
          <w:sz w:val="24"/>
          <w:szCs w:val="24"/>
        </w:rPr>
        <w:t xml:space="preserve">• </w:t>
      </w:r>
      <w:r>
        <w:rPr>
          <w:rFonts w:ascii="Arial" w:cs="Arial" w:eastAsia="Arial" w:hAnsi="Arial"/>
          <w:sz w:val="24"/>
          <w:szCs w:val="24"/>
        </w:rPr>
        <w:t xml:space="preserve">Position = seats won (last elected): small positive margin — the truly marginal candidate.</w:t>
      </w:r>
    </w:p>
    <w:p>
      <w:pPr>
        <w:spacing w:after="200" w:line="360"/>
        <w:jc w:val="both"/>
      </w:pPr>
      <w:r>
        <w:rPr>
          <w:rFonts w:ascii="Arial" w:cs="Arial" w:eastAsia="Arial" w:hAnsi="Arial"/>
          <w:sz w:val="24"/>
          <w:szCs w:val="24"/>
        </w:rPr>
        <w:t xml:space="preserve">• </w:t>
      </w:r>
      <w:r>
        <w:rPr>
          <w:rFonts w:ascii="Arial" w:cs="Arial" w:eastAsia="Arial" w:hAnsi="Arial"/>
          <w:sz w:val="24"/>
          <w:szCs w:val="24"/>
        </w:rPr>
        <w:t xml:space="preserve">Position = seats won + 1 (first non-elected): small negative margin — barely missed out.</w:t>
      </w:r>
    </w:p>
    <w:p>
      <w:pPr>
        <w:spacing w:after="200" w:line="360"/>
        <w:jc w:val="both"/>
      </w:pPr>
      <w:r>
        <w:rPr>
          <w:rFonts w:ascii="Arial" w:cs="Arial" w:eastAsia="Arial" w:hAnsi="Arial"/>
          <w:sz w:val="24"/>
          <w:szCs w:val="24"/>
        </w:rPr>
        <w:t xml:space="preserve">• </w:t>
      </w:r>
      <w:r>
        <w:rPr>
          <w:rFonts w:ascii="Arial" w:cs="Arial" w:eastAsia="Arial" w:hAnsi="Arial"/>
          <w:sz w:val="24"/>
          <w:szCs w:val="24"/>
        </w:rPr>
        <w:t xml:space="preserve">Lower positions: increasingly negative margins.</w:t>
      </w:r>
    </w:p>
    <w:p>
      <w:pPr>
        <w:spacing w:after="200" w:line="360"/>
        <w:jc w:val="both"/>
      </w:pPr>
      <w:r>
        <w:rPr>
          <w:rFonts w:ascii="Arial" w:cs="Arial" w:eastAsia="Arial" w:hAnsi="Arial"/>
          <w:sz w:val="24"/>
          <w:szCs w:val="24"/>
        </w:rPr>
        <w:t xml:space="preserve">The running variable is normalized by dividing by the number of eligible voters in the province, making it comparable across districts of different sizes. The cutoff is at zero; the treatment indicator equals one when the normalized margin is non-negative (i.e., the candidate holds a seat). This means that only candidates near the boundary of their party’s seat allocation—those at or adjacent to the marginal seat—fall within a narrow bandwidth around the cutoff. Candidates safely elected at the top of the list or far down an unsuccessful list have large absolute margins and are excluded by the bandwidth restriction.</w:t>
      </w:r>
    </w:p>
    <w:p>
      <w:pPr>
        <w:spacing w:after="200" w:line="360"/>
        <w:jc w:val="both"/>
      </w:pPr>
      <w:r>
        <w:rPr>
          <w:rFonts w:ascii="Arial" w:cs="Arial" w:eastAsia="Arial" w:hAnsi="Arial"/>
          <w:sz w:val="24"/>
          <w:szCs w:val="24"/>
        </w:rPr>
        <w:t xml:space="preserve">To illustrate: in Madrid in 2004, the largest party won 17 seats. The candidate at list position 17 had a normalized margin of +0.007 (barely elected), while the candidate at position 18 had a margin of −0.036 (barely not elected). The candidate at position 1, by contrast, had a margin of +0.340—far outside any reasonable bandwidth. The RDD therefore compares candidates close to the margin of seat allocation, where treatment assignment is quasi-random.</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use local linear regression with a triangular kernel within a bandwidth around the cutoff. The estimating equation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Xᵢ is the running variable, and Tᵢ = 1(Xᵢ ≥ 0). The parameter τ captures the incumbency effect at the cutoff. Three outcomes are considered: (i) whether the candidate reappears on a party list in the subsequent election (runs next), (ii) whether the candidate wins a seat (wins next), and (iii) the candidate’s list position in the subsequent election (list position next), conditional on reappearing. Candidates are tracked across elections using a person-identifier linkage algorithm combining exact name matching with fuzzy similarity and LinkTransformer embeddings.</w:t>
      </w:r>
    </w:p>
    <w:p>
      <w:pPr>
        <w:spacing w:after="200" w:line="360"/>
        <w:jc w:val="both"/>
      </w:pPr>
      <w:r>
        <w:rPr>
          <w:rFonts w:ascii="Arial" w:cs="Arial" w:eastAsia="Arial" w:hAnsi="Arial"/>
          <w:sz w:val="24"/>
          <w:szCs w:val="24"/>
        </w:rPr>
        <w:t xml:space="preserve">The primary bandwidth is 0.05 (normalized vote margin). I also report results using the bias-corrected bandwidth selector of Calonico, Cattaneo, and Titiunik (2014) and a grid of alternative bandwidths from 0.025 to 0.10. Standard errors are clustered at the province-election level with t-distribution inference (Cameron, Gelbach, and Miller, 2008). The estimation is implemented in Python using the rdrobust package (Calonico, Cattaneo, and Titiunik, 2014) for bandwidth selection and bias-corrected confidence intervals.</w:t>
      </w:r>
    </w:p>
    <w:p>
      <w:pPr>
        <w:spacing w:after="200" w:line="360"/>
        <w:jc w:val="both"/>
      </w:pPr>
      <w:r>
        <w:rPr>
          <w:rFonts w:ascii="Arial" w:cs="Arial" w:eastAsia="Arial" w:hAnsi="Arial"/>
          <w:sz w:val="24"/>
          <w:szCs w:val="24"/>
        </w:rPr>
        <w:t xml:space="preserve">I also estimate a fuzzy RDD specification, instrumenting actual incumbency status with the treatment indicator. The first-stage relationship is near-perfect (τ ≈ 0.98), so the sharp and fuzzy estimates are nearly identical. I report both specifications for completeness.</w:t>
      </w:r>
    </w:p>
    <w:p>
      <w:pPr>
        <w:pStyle w:val="Heading2"/>
        <w:spacing w:after="180" w:before="360"/>
      </w:pPr>
      <w:r>
        <w:rPr>
          <w:rFonts w:ascii="Arial" w:cs="Arial" w:eastAsia="Arial" w:hAnsi="Arial"/>
          <w:b/>
          <w:bCs/>
          <w:sz w:val="28"/>
          <w:szCs w:val="28"/>
        </w:rPr>
        <w:t xml:space="preserve">4.4 Validity Tests</w:t>
      </w:r>
    </w:p>
    <w:p>
      <w:pPr>
        <w:spacing w:after="200" w:line="360"/>
        <w:jc w:val="both"/>
      </w:pPr>
      <w:r>
        <w:rPr>
          <w:rFonts w:ascii="Arial" w:cs="Arial" w:eastAsia="Arial" w:hAnsi="Arial"/>
          <w:sz w:val="24"/>
          <w:szCs w:val="24"/>
        </w:rPr>
        <w:t xml:space="preserve">I implement three standard tests: (i) McCrary (2008) density tests for manipulation of the running variable at the cutoff; (ii) covariate balance tests checking whether pre-determined characteristics (gender, list position, party votes, constituency size, blank vote shares) exhibit discontinuities at the cutoff; and (iii) placebo cutoff tests estimating the RDD at non-zero thresholds where no treatment effect should exist.</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comprehensive data from Spanish congressional elections held between 2004 and 2023, covering eight general elections (2004, 2008, 2011, 2015, 2016, 2019 April, 2019 November, and 2023). The analysis is restricted to the 50 multi-member provinces where the D’Hondt method applies, excluding the single-member plurality districts of Ceuta and Melilla. The primary data sources include official election results from Spain’s Electoral Board (Junta Electoral Central), providing detailed vote counts by party, province, and election. Candidate-level data, including names, party affiliations, and list positions, are obtained from official candidate lists.</w:t>
      </w:r>
    </w:p>
    <w:p>
      <w:pPr>
        <w:spacing w:after="200" w:line="360"/>
        <w:jc w:val="both"/>
      </w:pPr>
      <w:r>
        <w:rPr>
          <w:rFonts w:ascii="Arial" w:cs="Arial" w:eastAsia="Arial" w:hAnsi="Arial"/>
          <w:sz w:val="24"/>
          <w:szCs w:val="24"/>
        </w:rPr>
        <w:t xml:space="preserve">The raw dataset covers approximately 35,000 candidate-election records across 8 elections, 50 PR provinces, and over 100 distinct party labels. Following the procedure described in Chapter 4, each candidate receives a position-specific running variable based on the D’Hondt party margin for their list position. The person-identifier linkage algorithm successfully matched candidates across consecutive election cycles with a high degree of accuracy; manual spot-checks of a random sample of 200 linked pairs confirmed a match accuracy exceeding 95%. Cases that could not be linked with confidence—due to common names, name changes, or incomplete records—were flagged and excluded from the linked sample rather than being assigned probabilistic matches, ensuring that measurement error in the outcome variables is minimized.</w:t>
      </w:r>
    </w:p>
    <w:p>
      <w:pPr>
        <w:spacing w:after="200" w:line="360"/>
        <w:jc w:val="both"/>
      </w:pPr>
      <w:r>
        <w:rPr>
          <w:rFonts w:ascii="Arial" w:cs="Arial" w:eastAsia="Arial" w:hAnsi="Arial"/>
          <w:sz w:val="24"/>
          <w:szCs w:val="24"/>
        </w:rPr>
        <w:t xml:space="preserve">The unit of analysis is the candidate-election, representing an individual candidate’s participation in a specific election. As described in Section 4.2, each candidate receives a unique running variable—the normalized party margin for their specific list position—so that only candidates near the boundary of their party’s seat allocation fall within the analysis bandwidth. Outcomes are tracked at the individual candidate level using the person-identifier linkage algorithm, enabling the analysis of personal reappearance, re-election, and list-position dynamics.</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candidate-election observations within the analysis window (running variable between −0.05 and +0.05). Because the outcome variables (runs next, wins next, list position next) require observing the candidate’s status in the subsequent election, candidates from the 2023 election—the most recent in the sample—cannot be included in the estimation sample: no post-2023 election has yet occurred to provide t+1 outcomes. The 2023 election data enter the analysis exclusively as the t+1 outcome election for candidates from the November 2019 cohort. After linking outcomes to the subsequent election via the person-identifier algorithm, the estimation sample for the “runs next” and “wins next” outcomes contains 2,118 observations spanning the 2004 through November 2019 election cohorts. The list-position outcome is available only for the subset of candidates who reappear on a party list in the subsequent election.</w:t>
      </w:r>
    </w:p>
    <w:p>
      <w:pPr>
        <w:spacing w:after="200" w:line="360"/>
        <w:jc w:val="both"/>
      </w:pPr>
      <w:r>
        <w:rPr>
          <w:rFonts w:ascii="Arial" w:cs="Arial" w:eastAsia="Arial" w:hAnsi="Arial"/>
          <w:sz w:val="24"/>
          <w:szCs w:val="24"/>
        </w:rPr>
        <w:t xml:space="preserve">The sample is distributed across elections as follows: 2004 (262 obs.), 2008 (276), 2011 (286), 2015 (338), 2016 (326), April 2019 (326), November 2019 (304), and 2023 (294). The increase in observations from 2015 onward reflects Spain’s party system fragmentation, as new parties (Podemos, Ciudadanos, Vox) generated additional competitive party-province races near the D’Hondt threshold. The sample spans all 50 PR provinces, with the largest contributions from high-magnitude provinces (Madrid, Barcelona, Valencia) where multiple parties compete for marginal seats. Approximately 59% of observations fall below the cutoff (parties that narrowly missed the marginal seat) and 41% above (parties that narrowly won it), reflecting the asymmetric density of competitive races.</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robust bias-corrected optimal bandwidth selector of Calonico, Cattaneo, and Titiunik (2014),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CCT optimal bandwidth (Calonico, Cattaneo, and Titiunik, 2014).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Table 2 reports the CCT bias-corrected optimal bandwidth results: the sharp RDD estimate for the probability of running in the next election is 0.278 (SE = 0.033, p &lt; 0.001) at the CCT-selected bandwidth of 0.112, and the effect on winning a seat is 0.196 (SE = 0.039, p &lt; 0.001) at a CCT bandwidth of 0.068. However, the preferred workhorse specification throughout this thesis uses a fixed bandwidth of BW = 0.05, which yields estimates of 0.285 and 0.186 for the two outcomes respectively. The slight differences between the CCT and fixed-bandwidth estimates reflect the narrower analysis window and are well within sampling variability. I use BW = 0.05 as the primary specification because it provides a consistent and transparent window across all analyses, facilitating direct comparability across tables; the CCT results serve as a complementary robustness check confirming that the data-driven bandwidth yields similar conclusions (see Table 3 for the full bandwidth sensitivity grid).</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0.985 for the “runs next” specification and 0.981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displays the first-stage relationship, showing that crossing the cutoff almost perfectly determines actual election status. The near-complete separation between the two sides—with election probabilities jumping from near zero to near one—validates the research design and confirms that the sharp and fuzzy RDD specifications should yield similar estimates.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For the “runs next” outcome, the sharp estimate ranges from 0.276 to 0.347 as the bandwidth narrows from 0.100 to 0.025, with the expected pattern of larger estimates (but also larger standard errors) at narrower bandwidths. The “wins next” effect shows a similar pattern, ranging from 0.185 to 0.238 across bandwidths. Critically, all estimates remain statistically significant at conventional levels across the full range of bandwidths, providing confidence in the robustness of the findings.</w:t>
      </w:r>
    </w:p>
    <w:p>
      <w:pPr>
        <w:spacing w:after="200" w:line="360"/>
        <w:jc w:val="both"/>
      </w:pPr>
      <w:r>
        <w:rPr>
          <w:rFonts w:ascii="Arial" w:cs="Arial" w:eastAsia="Arial" w:hAnsi="Arial"/>
          <w:sz w:val="24"/>
          <w:szCs w:val="24"/>
        </w:rPr>
        <w:t xml:space="preserve">Figure 5 visualizes this stability. The point estimates and 95% confidence intervals are plotted against bandwidth, clearly showing that the effect is consistently above zero and that the confidence bands never include zero at any bandwidth.</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The point estimate for “runs next” is 0.285 regardless of clustering, with standard errors ranging from 0.048 to 0.050. For “wins next,” the estimate is 0.186 with standard errors between 0.045 and 0.047. The virtually identical standard errors across clustering levels indicate that within-cluster correlation does not substantially inflate variance, likely because the running variable already incorporates province-election-level information.</w:t>
      </w:r>
    </w:p>
    <w:p>
      <w:pPr>
        <w:pStyle w:val="Heading2"/>
        <w:spacing w:after="180" w:before="360"/>
      </w:pPr>
      <w:r>
        <w:rPr>
          <w:rFonts w:ascii="Arial" w:cs="Arial" w:eastAsia="Arial" w:hAnsi="Arial"/>
          <w:b/>
          <w:bCs/>
          <w:sz w:val="28"/>
          <w:szCs w:val="28"/>
        </w:rPr>
        <w:t xml:space="preserve">6.4 List Position Effects (SQ4)</w:t>
      </w:r>
    </w:p>
    <w:p>
      <w:pPr>
        <w:spacing w:after="200" w:line="360"/>
        <w:jc w:val="both"/>
      </w:pPr>
      <w:r>
        <w:rPr>
          <w:rFonts w:ascii="Arial" w:cs="Arial" w:eastAsia="Arial" w:hAnsi="Arial"/>
          <w:sz w:val="24"/>
          <w:szCs w:val="24"/>
        </w:rPr>
        <w:t xml:space="preserve">A distinctive feature of closed-list PR systems is that party organizations determine the ordering of candidates on the list, and this ordering directly determines which candidates are elected given the number of seats the party wins. Hypothesis H3 posits that incumbency—operationalized as the party barely winning a marginal seat—leads to more favorable list positions for candidates in the subsequent election. This outcome is inherently conditional: list position in the next election is only observed for candidates who reappear on a party list, making this a selected-sample analysis.</w:t>
      </w:r>
    </w:p>
    <w:p>
      <w:pPr>
        <w:spacing w:after="200" w:line="360"/>
        <w:jc w:val="both"/>
      </w:pPr>
      <w:r>
        <w:rPr>
          <w:rFonts w:ascii="Arial" w:cs="Arial" w:eastAsia="Arial" w:hAnsi="Arial"/>
          <w:sz w:val="24"/>
          <w:szCs w:val="24"/>
        </w:rPr>
        <w:t xml:space="preserve">Table 5 presents the RDD estimates for two list-position outcomes: list_pos_next (the candidate’s raw list position in the subsequent election) and list_pos_change (the change in list position from the current to the subsequent election, where negative values indicate an improvement). The estimates are reported across the bandwidth grid with province-election clustered standard errors.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List Position Effects – RDD Estimates (Conditional on Running Again)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1100"/>
        <w:gridCol w:w="1100"/>
        <w:gridCol w:w="1100"/>
        <w:gridCol w:w="900"/>
      </w:tblGrid>
      <w:tr>
        <w:tc>
          <w:tcPr>
            <w:tcW w:type="dxa" w:w="17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4.180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−0.013 (0.635)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3.859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−0.770 (0.469)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3.594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3.096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−0.946* (0.463)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3.490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2.967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−0.895* (0.454)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1.472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0.859 (0.525)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0.103</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1.204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−0.148 (0.456)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0.745</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−0.498 (0.408)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0.224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1.026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−0.761 (0.407)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Conditional on the candidate reappearing on a party list. Negative τ for list_pos_next indicates a better (higher) list position. * p &lt; 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list-position analysis reveals that candidates whose party barely wins a marginal seat tend to receive more favorable list positions in the subsequent election. At the baseline bandwidth of 0.05, the point estimate for list_pos_next is −0.77 positions (SE = 0.47, p = 0.10), indicating that candidates on the winning side of the cutoff are placed approximately 0.8 positions higher on the list, though the effect narrowly misses statistical significance at conventional levels. At the wider bandwidth of 0.075, the estimate strengthens to −0.95 positions (SE = 0.46, p = 0.04), reaching significance at the 5% level. The list_pos_change estimates show a similar directional pattern but are less precisely estimated, with the largest bandwidth (0.10) approaching significance at the 10% level (τ = −0.76, p = 0.06). These results, observed among the 864 candidates (at BW = 0.05) who reappear on a party list, are consistent with parties rewarding incumbency experience in their list-ordering decisions, though the evidence is suggestive at the narrower bandwidths and becomes more robust as the window expands.</w:t>
      </w:r>
    </w:p>
    <w:p>
      <w:pPr>
        <w:pStyle w:val="Heading2"/>
        <w:spacing w:after="180" w:before="360"/>
      </w:pPr>
      <w:r>
        <w:rPr>
          <w:rFonts w:ascii="Arial" w:cs="Arial" w:eastAsia="Arial" w:hAnsi="Arial"/>
          <w:b/>
          <w:bCs/>
          <w:sz w:val="28"/>
          <w:szCs w:val="28"/>
        </w:rPr>
        <w:t xml:space="preserve">6.5 Heterogeneity by District Magnitude (SQ3)</w:t>
      </w:r>
    </w:p>
    <w:p>
      <w:pPr>
        <w:spacing w:after="200" w:line="360"/>
        <w:jc w:val="both"/>
      </w:pPr>
      <w:r>
        <w:rPr>
          <w:rFonts w:ascii="Arial" w:cs="Arial" w:eastAsia="Arial" w:hAnsi="Arial"/>
          <w:sz w:val="24"/>
          <w:szCs w:val="24"/>
        </w:rPr>
        <w:t xml:space="preserve">Sub-question 3 asks whether the incumbency advantage varies across districts of different sizes. District magnitude—the number of seats allocated to a province—is a key institutional parameter that shapes the competitiveness and proportionality of elections. In small-magnitude districts (2–4 seats), the effective threshold for winning a seat is high, competition is intense, and a single seat can represent a large share of the province’s representation. In large-magnitude districts (10+ seats), the threshold is lower, and the marginal seat represents a smaller fraction of total representation.</w:t>
      </w:r>
    </w:p>
    <w:p>
      <w:pPr>
        <w:spacing w:after="200" w:line="360"/>
        <w:jc w:val="both"/>
      </w:pPr>
      <w:r>
        <w:rPr>
          <w:rFonts w:ascii="Arial" w:cs="Arial" w:eastAsia="Arial" w:hAnsi="Arial"/>
          <w:sz w:val="24"/>
          <w:szCs w:val="24"/>
        </w:rPr>
        <w:t xml:space="preserve">To investigate this heterogeneity, I split the analysis sample at the median district magnitude and re-estimate the main RDD specification separately for high-magnitude and low-magnitude provinces. Table 6 presents the results.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Heterogeneity by District Magnitude – RDD Estimates (BW = 0.05)</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900"/>
        <w:gridCol w:w="1100"/>
        <w:gridCol w:w="1100"/>
        <w:gridCol w:w="1200"/>
        <w:gridCol w:w="9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Subgroup</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0.264*** (0.069)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0.307*** (0.070)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0.137* (0.066)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0.244*** (0.067)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Median district magnitude = 8 seats. * p &lt; 0.05, *** p &lt; 0.001.</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heterogeneity analysis reveals that the incumbency advantage is present and statistically significant in both high-magnitude and low-magnitude districts (split at the median of 8 seats). For the extensive margin (runs next), the point estimate is 0.264 (p &lt; 0.001) in high-magnitude districts and 0.307 (p &lt; 0.001) in low-magnitude districts. The pattern is more pronounced for the intensive margin (wins next): the effect is 0.244 (p &lt; 0.001) in low-magnitude districts but only 0.137 (p = 0.04) in high-magnitude districts. This difference is consistent with the idea that winning a marginal seat matters more in smaller provinces where competition for fewer seats is fiercer and each seat represents a larger share of the province’s representation. Despite these differences in magnitude, the broad pattern is clear: the incumbency advantage is a general phenomenon across Spain’s diverse district magnitudes rather than being driven by a particular type of constituency.</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McCrary density tests provide no evidence of manipulation of the running variable. The log-density discontinuity estimates range from −0.081 to 0.123, none of which is statistically significant (all p-values well above conventional significance levels). The implied density ratios at the cutoff are close to one, indicating no bunching of observations just above or below the threshold. This is consistent with the expectation that parties cannot precisely control the vote margin that determines marginal seat allocation.</w:t>
      </w:r>
    </w:p>
    <w:p>
      <w:pPr>
        <w:spacing w:after="200" w:line="360"/>
        <w:jc w:val="both"/>
      </w:pPr>
      <w:r>
        <w:rPr>
          <w:rFonts w:ascii="Arial" w:cs="Arial" w:eastAsia="Arial" w:hAnsi="Arial"/>
          <w:sz w:val="24"/>
          <w:szCs w:val="24"/>
        </w:rPr>
        <w:t xml:space="preserve">Figure 4 provides a visual representation of the running variable distribution. The histogram shows no visible bunching at the cutoff, with roughly symmetric frequency counts on either side, further supporting the absence of manipulation.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While the point estimates attenuate somewhat as the donut radius increases—consistent with moving further from the cutoff where local treatment effects may differ—the qualitative conclusions are unchanged. The “runs next” effect ranges from 0.215 to 0.273 across donut specifications, and “wins next” ranges from 0.158 to 0.167, all statistically significant.</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10: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local-quadratic estimates are broadly consistent with the linear specification. For “runs next,” the quadratic estimate is somewhat larger (0.329 vs. 0.285) but within the confidence intervals. For “wins next,” the estimates are nearly identical (0.180 vs. 0.186). Both specifications yield statistically significant effects, indicating that the results are not driven by the choice of polynomial order.</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11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11: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at the cutoff. Blank vote share, list position, and log party votes show no significant discontinuity (all p &gt; 0.30). The female share covariate shows a statistically significant difference at the 0.05 bandwidth (p = 0.009), though this effect attenuates at larger bandwidths and is not robust across all specifications. Party seats shows significance (p = 0.015), but this is partly mechanical given that winning the marginal seat directly increases seat count. Overall, the balance evidence supports the validity of the design.</w:t>
      </w:r>
    </w:p>
    <w:p>
      <w:pPr>
        <w:spacing w:after="200" w:line="360"/>
        <w:jc w:val="both"/>
      </w:pPr>
      <w:r>
        <w:rPr>
          <w:rFonts w:ascii="Arial" w:cs="Arial" w:eastAsia="Arial" w:hAnsi="Arial"/>
          <w:sz w:val="24"/>
          <w:szCs w:val="24"/>
        </w:rPr>
        <w:t xml:space="preserve">Figure 6 provides a visual summary of the covariate balance tests. The coefficient plot shows RDD estimates and 95% confidence intervals for each covariate. Covariates highlighted in red indicate statistical significance at the 5% level; blue indicates insignificance. Most confidence intervals comfortably include zero.</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findings reveal a substantial incumbency advantage in Spain’s proportional representation system. Winning a marginal seat increases the probability of running in the next election by about 28 percentage points and the probability of winning by about 19 percentage points. These effects are large in magnitude and comparable to incumbency advantages documented in majoritarian systems, though direct cross-system comparisons should be made cautiously due to differences in institutional context and measurement.</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This is consistent with the idea that winning representation provides parties with organizational resources, visibility,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incumbency advantage in this PR setting. First, parties that win a seat gain access to parliamentary resources, media visibility, and policy influence that can be leveraged for future campaigns. Second, winning a seat signals electoral viability to potential donors, party members, and voters, creating a self-reinforcing cycle of support. Third, in a closed-list system, the party organization rather than individual candidates is the primary beneficiary of incumbency, potentially leading to stronger party-level effects than would be observed in open-list or candidate-centered systems.</w:t>
      </w:r>
    </w:p>
    <w:p>
      <w:pPr>
        <w:spacing w:after="200" w:line="360"/>
        <w:jc w:val="both"/>
      </w:pPr>
      <w:r>
        <w:rPr>
          <w:rFonts w:ascii="Arial" w:cs="Arial" w:eastAsia="Arial" w:hAnsi="Arial"/>
          <w:sz w:val="24"/>
          <w:szCs w:val="24"/>
        </w:rPr>
        <w:t xml:space="preserve">The list-position analysis (SQ4) adds a further dimension to the mechanisms discussion. In closed-list PR systems, party gatekeepers decide which candidates receive prominent list positions. The suggestive evidence that incumbency leads to more favorable list positions indicates that party organizations internalize the electoral experience of their candidates when constructing subsequent lists, which could be a channel through which individual-level incumbency effects are mediated.</w:t>
      </w:r>
    </w:p>
    <w:p>
      <w:pPr>
        <w:spacing w:after="200" w:line="360"/>
        <w:jc w:val="both"/>
      </w:pPr>
      <w:r>
        <w:rPr>
          <w:rFonts w:ascii="Arial" w:cs="Arial" w:eastAsia="Arial" w:hAnsi="Arial"/>
          <w:sz w:val="24"/>
          <w:szCs w:val="24"/>
        </w:rPr>
        <w:t xml:space="preserve">The heterogeneity analysis (SQ3) indicates that the incumbency advantage is a broad phenomenon rather than an artifact of a particular district type. The fact that effects are present in both high- and low-magnitude districts suggests that the mechanisms operate across different competitive environments, although the relative importance of specific channels (visibility, resource access, party coordination) may vary with district size.</w:t>
      </w:r>
    </w:p>
    <w:p>
      <w:pPr>
        <w:spacing w:after="200" w:line="360"/>
        <w:jc w:val="both"/>
      </w:pPr>
      <w:r>
        <w:rPr>
          <w:rFonts w:ascii="Arial" w:cs="Arial" w:eastAsia="Arial" w:hAnsi="Arial"/>
          <w:sz w:val="24"/>
          <w:szCs w:val="24"/>
        </w:rPr>
        <w:t xml:space="preserve">The near-perfect first stage (τ ≈ 0.98) is an important finding in itself. It confirms that the D’Hondt allocation mechanism operates almost deterministically at the margin: parties that barely cross the threshold for a marginal seat are almost certainly elected, while those that barely miss it are almost certainly not. This near-perfect compliance validates the sharp RDD approach and confirms that the design cleanly identifies the incumbency effect.</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Placing these results alongside existing estimates reveals both the generality of the incumbency advantage phenomenon and the distinctive features of the Spanish case. Table 12 summarizes the key cross-country comparisons.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12: Cross-Country Comparison of Incumbency Advantage Estimates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200"/>
        <w:gridCol w:w="1400"/>
        <w:gridCol w:w="19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Study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Country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System</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List type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Estimate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Lee (2008)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USA</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≈38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Eggers &amp; Spirling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UK</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Dano et al. (2022)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France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Two-round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Luechinger et al. (2024)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Switzerland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Re-election</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Fiva &amp; Røhr (2018)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Norway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(open-list)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Re-election</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Klasnja &amp; Titiunik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Brazil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Majoritarian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Negative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28.5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Wins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18.6 pp</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FPTP = First Past the Post; PR = Proportional Representation. All estimates use regression discontinuity designs. ‘Significant +’ indicates a statistically significant positive incumbency effect where exact magnitude is not directly comparable due to different outcome definitions. Spanish estimates use BW = 0.05 with clustered standard errors.</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In majoritarian systems, Lee (2008) found a roughly 38 percentage point party-level incumbency advantage in US House elections—substantially larger than the Spanish estimate, but operating in a fundamentally different institutional environment where incumbents benefit from personal name recognition, constituency service, and campaign finance advantages tied directly to the individual candidate.</w:t>
      </w:r>
    </w:p>
    <w:p>
      <w:pPr>
        <w:spacing w:after="200" w:line="360"/>
        <w:jc w:val="both"/>
      </w:pPr>
      <w:r>
        <w:rPr>
          <w:rFonts w:ascii="Arial" w:cs="Arial" w:eastAsia="Arial" w:hAnsi="Arial"/>
          <w:sz w:val="24"/>
          <w:szCs w:val="24"/>
        </w:rPr>
        <w:t xml:space="preserve">Among PR systems, Luechinger, Schelker, and Schmid (2024) report significant incumbency effects in Swiss cantonal elections using the same closeness measure employed here. A direct comparison is instructive: Switzerland uses open-list PR with panachage, meaning voters can express individual candidate preferences. Any Swiss incumbency effect could plausibly flow through the personal vote channel—voters recognizing and preferring individual incumbents. The finding that Spain’s closed-list system produces incumbency effects of broadly comparable magnitude suggests that party-level mechanisms (organizational resources, demonstrated viability, gatekeeper decisions) are sufficient to generate incumbency advantages even when the personal vote channel is shut down. This is a substantively important result, because it implies that incumbency advantages under PR are not merely a reflection of candidate-centered politics leaking into proportional systems, but rather a systemic feature of how parties behave when they gain representation.</w:t>
      </w:r>
    </w:p>
    <w:p>
      <w:pPr>
        <w:spacing w:after="200" w:line="360"/>
        <w:jc w:val="both"/>
      </w:pPr>
      <w:r>
        <w:rPr>
          <w:rFonts w:ascii="Arial" w:cs="Arial" w:eastAsia="Arial" w:hAnsi="Arial"/>
          <w:sz w:val="24"/>
          <w:szCs w:val="24"/>
        </w:rPr>
        <w:t xml:space="preserve">Fiva and Røhr (2018) estimated incumbency effects in Norwegian local elections under open-list PR and found that incumbents receive significantly better list positions and higher re-election rates. Their key insight is that the party’s list-ordering decision—rather than voter preference votes—accounts for the bulk of the incumbency advantage. Spain’s closed-list system eliminates the voter-preference channel entirely, yet the magnitude of the Spanish estimates is broadly comparable to the Norwegian results. This cross-country comparison strongly suggests that party-mediated mechanisms—rather than personal vote effects—are the primary driver of incumbency advantages in PR systems, regardless of whether the list is open or closed.</w:t>
      </w:r>
    </w:p>
    <w:p>
      <w:pPr>
        <w:spacing w:after="200" w:line="360"/>
        <w:jc w:val="both"/>
      </w:pPr>
      <w:r>
        <w:rPr>
          <w:rFonts w:ascii="Arial" w:cs="Arial" w:eastAsia="Arial" w:hAnsi="Arial"/>
          <w:sz w:val="24"/>
          <w:szCs w:val="24"/>
        </w:rPr>
        <w:t xml:space="preserve">Klasnja and Titiunik (2017) documented negative incumbency effects in Brazilian mayoral elections, where incumbents in certain contexts actually perform worse than non-incumbents. This finding underscores that incumbency advantages are not universal but depend on institutional and political context. The positive and substantial Spanish estimates contrast with the Brazilian pattern and align more closely with the European democracies (Switzerland, Norway) where institutional stability and established party organizations provide the infrastructure through which incumbency advantages operate.</w:t>
      </w:r>
    </w:p>
    <w:p>
      <w:pPr>
        <w:spacing w:after="200" w:line="360"/>
        <w:jc w:val="both"/>
      </w:pPr>
      <w:r>
        <w:rPr>
          <w:rFonts w:ascii="Arial" w:cs="Arial" w:eastAsia="Arial" w:hAnsi="Arial"/>
          <w:sz w:val="24"/>
          <w:szCs w:val="24"/>
        </w:rPr>
        <w:t xml:space="preserve">Dano et al. (2022) documented incumbency effects in French legislative elections—a two-round majoritarian system with multi-party competition. Their finding that incumbency affects both the probability of running again and the probability of winning parallels the Spanish results, despite the very different electoral rules. The relative magnitudes in Spain—a larger effect on running (~28 pp) than on winning (~19 pp)—suggest that a substantial portion of the advantage operates through selection into candidacy rather than through improved electoral performance conditional on running. This extensive-margin channel has received less attention in the literature and may be particularly important in PR systems, where party organizations serve as gatekeepers to candidacy.</w:t>
      </w:r>
    </w:p>
    <w:p>
      <w:pPr>
        <w:spacing w:after="200" w:line="360"/>
        <w:jc w:val="both"/>
      </w:pPr>
      <w:r>
        <w:rPr>
          <w:rFonts w:ascii="Arial" w:cs="Arial" w:eastAsia="Arial" w:hAnsi="Arial"/>
          <w:sz w:val="24"/>
          <w:szCs w:val="24"/>
        </w:rPr>
        <w:t xml:space="preserve">The heterogeneity results add a further comparative dimension. The finding that incumbency effects are present in both high- and low-magnitude districts, but somewhat stronger in low-magnitude provinces, is consistent with theoretical predictions: in smaller districts where each seat represents a larger share of representation, the marginal value of incumbency is higher, and the competitive dynamics of D’Hondt allocation create sharper distinctions between winning and losing parties.</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although each candidate receives a position-specific running variable (the D’Hondt party margin for their list position), the running variable is ultimately determined by the party’s aggregate vote total, meaning that individual candidate characteristics do not independently affect treatment assignment. Second, the list-position outcome is inherently conditional on reappearing on a party list, introducing a sample selection concern: if winning a marginal seat also affects the probability of reappearing, the list-position estimates may reflect both the direct effect on list placement and the compositional effect of who appears on the list. Third, while the balance tests are generally supportive, the significant imbalance in female share at narrow bandwidths warrants caution. Fourth, the sample period (2004–2023) includes significant political disruptions in Spain, including the emergence of new parties and a financial crisis, which may affect the external validity of the estimates. Fifth,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A further scope limitation concerns party-level heterogeneity. The preliminary study proposed examining how the incumbency advantage varies across parties, and the supervisor feedback specifically flagged this dimension. The final thesis focuses on district magnitude heterogeneity rather than party heterogeneity for two reasons: first, splitting the already limited RDD sample (2,118 observations at BW = 0.05) by individual party yields subgroups too small for reliable local linear estimation, particularly for smaller parties where the number of marginal-seat observations is in the single digits; second, the dramatic party system fragmentation during the sample period—with Podemos and Ciudadanos emerging mid-sample and subsequently merging or declining—means that party-level subgroups are not stable across the full 2004–2023 period, complicating interpretation. A broader left–right block comparison would partially address this but raises its own classification challenges given coalition dynamics. This remains an important avenue for future work, potentially using a larger multi-country dataset that pools Spanish data with other closed-list PR systems.</w:t>
      </w:r>
    </w:p>
    <w:p>
      <w:pPr>
        <w:spacing w:after="200" w:line="360"/>
        <w:jc w:val="both"/>
      </w:pPr>
      <w:r>
        <w:rPr>
          <w:rFonts w:ascii="Arial" w:cs="Arial" w:eastAsia="Arial" w:hAnsi="Arial"/>
          <w:sz w:val="24"/>
          <w:szCs w:val="24"/>
        </w:rPr>
        <w:t xml:space="preserve">Future work could also extend this analysis by exploiting within-party variation in list positions to isolate individual-level mechanisms, and by extending the framework to other closed-list PR systems for comparative analysis.</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provides the first comprehensive estimates of the party-level incumbency advantage in Spain’s proportional representation system, with outcomes tracked at the individual candidate level. Using a regression discontinuity design adapted for PR systems following Luechinger, Schelker, and Schmid (2024), I exploit the quasi-random assignment of marginal seats under the D’Hondt method to identify the causal effect of a party’s winning a seat on its candidates’ subsequent electoral outcomes.</w:t>
      </w:r>
    </w:p>
    <w:p>
      <w:pPr>
        <w:spacing w:after="200" w:line="360"/>
        <w:jc w:val="both"/>
      </w:pPr>
      <w:r>
        <w:rPr>
          <w:rFonts w:ascii="Arial" w:cs="Arial" w:eastAsia="Arial" w:hAnsi="Arial"/>
          <w:sz w:val="24"/>
          <w:szCs w:val="24"/>
        </w:rPr>
        <w:t xml:space="preserve">The results are clear and robust: candidates whose party barely wins a marginal seat are approximately 28 percentage points more likely to reappear on a party list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Beyond these core findings, the analysis reveals suggestive evidence that winning a marginal seat leads to more favorable list positions in subsequent elections, pointing to a mechanism through which party organizations reward incumbency experience. The heterogeneity analysis shows that the incumbency advantage is present across districts of varying magnitudes, indicating that it is a systemic feature of Spain’s electoral landscape rather than an artifact of a particular district type.</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that operate through both candidate reappearance and list-position channels.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person-level linking algorithms for tracking candidates across elections, and the comprehensive robustness framework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Angrist, J. D., &amp; Pischke, J.-S. (2015). Mastering ’metrics: The path from cause to effect. Princeton University Press.</w:t>
      </w:r>
    </w:p>
    <w:p>
      <w:pPr>
        <w:spacing w:after="200" w:line="360"/>
        <w:jc w:val="both"/>
      </w:pPr>
      <w:r>
        <w:rPr>
          <w:rFonts w:ascii="Arial" w:cs="Arial" w:eastAsia="Arial" w:hAnsi="Arial"/>
          <w:sz w:val="24"/>
          <w:szCs w:val="24"/>
        </w:rPr>
        <w:t xml:space="preserve">Ansolabehere, S., &amp; Snyder, J. M. (2002). The incumbency advantage in U.S. elections: An analysis of state and federal offices, 1942–2000. Election Law Journal, 1(3), 315–338.</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Cox, G. W., &amp; Katz, J. N. (1996). Why did the incumbency advantage in U.S. House elections grow? American Journal of Political Science, 40(2), 478–497.</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Eggers, A. C., &amp; Spirling, A. (2017). Incumbency effects and the strength of party preferences: Evidence from multiparty elections in the United Kingdom. The Journal of Politics, 79(3), 903–920.</w:t>
      </w:r>
    </w:p>
    <w:p>
      <w:pPr>
        <w:spacing w:after="200" w:line="360"/>
        <w:jc w:val="both"/>
      </w:pPr>
      <w:r>
        <w:rPr>
          <w:rFonts w:ascii="Arial" w:cs="Arial" w:eastAsia="Arial" w:hAnsi="Arial"/>
          <w:sz w:val="24"/>
          <w:szCs w:val="24"/>
        </w:rPr>
        <w:t xml:space="preserve">Erikson, R. S. (1971). The advantage of incumbency in congressional elections. Polity, 3(3), 395–405.</w:t>
      </w:r>
    </w:p>
    <w:p>
      <w:pPr>
        <w:spacing w:after="200" w:line="360"/>
        <w:jc w:val="both"/>
      </w:pPr>
      <w:r>
        <w:rPr>
          <w:rFonts w:ascii="Arial" w:cs="Arial" w:eastAsia="Arial" w:hAnsi="Arial"/>
          <w:sz w:val="24"/>
          <w:szCs w:val="24"/>
        </w:rPr>
        <w:t xml:space="preserve">Fiva, J. H., &amp; Røhr, H. A. (2018). Climbing the ranks: Incumbency effects in party-list systems. European Economic Review, 101, 142–156.</w:t>
      </w:r>
    </w:p>
    <w:p>
      <w:pPr>
        <w:spacing w:after="200" w:line="360"/>
        <w:jc w:val="both"/>
      </w:pPr>
      <w:r>
        <w:rPr>
          <w:rFonts w:ascii="Arial" w:cs="Arial" w:eastAsia="Arial" w:hAnsi="Arial"/>
          <w:sz w:val="24"/>
          <w:szCs w:val="24"/>
        </w:rPr>
        <w:t xml:space="preserve">Galasso, V., &amp; Nannicini, T. (2011). Competing on good politicians. American Political Science Review, 105(1), 79–99.</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Hahn, J., Todd, P., &amp; Van der Klaauw, W. (2001). Identification and estimation of treatment effects with a regression-discontinuity design. Econometrica, 69(1), 201–209.</w:t>
      </w:r>
    </w:p>
    <w:p>
      <w:pPr>
        <w:spacing w:after="200" w:line="360"/>
        <w:jc w:val="both"/>
      </w:pPr>
      <w:r>
        <w:rPr>
          <w:rFonts w:ascii="Arial" w:cs="Arial" w:eastAsia="Arial" w:hAnsi="Arial"/>
          <w:sz w:val="24"/>
          <w:szCs w:val="24"/>
        </w:rPr>
        <w:t xml:space="preserve">Hazan, R. Y., &amp; Rahat, G. (2010). Democracy within parties: Candidate selection methods and their political consequences. Oxford University Press.</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Imbens, G. W., &amp; Lemieux, T. (2008). Regression discontinuity designs: A guide to practice. Journal of Econometrics, 142(2), 615–635.</w:t>
      </w:r>
    </w:p>
    <w:p>
      <w:pPr>
        <w:spacing w:after="200" w:line="360"/>
        <w:jc w:val="both"/>
      </w:pPr>
      <w:r>
        <w:rPr>
          <w:rFonts w:ascii="Arial" w:cs="Arial" w:eastAsia="Arial" w:hAnsi="Arial"/>
          <w:sz w:val="24"/>
          <w:szCs w:val="24"/>
        </w:rPr>
        <w:t xml:space="preserve">Klasnja, M., &amp; Titiunik, R. (2017). The incumbency curse: Weak parties, term limits, and unfulfilled accountability. American Political Science Review, 111(1), 129–148.</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pPr>
        <w:spacing w:after="200" w:line="360"/>
        <w:jc w:val="both"/>
      </w:pPr>
      <w:r>
        <w:rPr>
          <w:rFonts w:ascii="Arial" w:cs="Arial" w:eastAsia="Arial" w:hAnsi="Arial"/>
          <w:sz w:val="24"/>
          <w:szCs w:val="24"/>
        </w:rPr>
        <w:t xml:space="preserve">Taagepera, R., &amp; Shugart, M. S. (1989). Seats and votes: The effects and determinants of electoral systems. Yale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d57ed2a4f872bfe13f3080f9707cea81c71b77.png"/><Relationship Id="rId10" Type="http://schemas.openxmlformats.org/officeDocument/2006/relationships/image" Target="media/c0dd3be1e37a3a852ff32eeb5bb4e60b63a591ce.png"/><Relationship Id="rId11" Type="http://schemas.openxmlformats.org/officeDocument/2006/relationships/image" Target="media/091d907633e1f9af9ba995453b666a9c54e35be2.png"/><Relationship Id="rId12" Type="http://schemas.openxmlformats.org/officeDocument/2006/relationships/image" Target="media/baf1da95306f5a4c81c9647581f9fd66c3b87e4a.png"/><Relationship Id="rId13" Type="http://schemas.openxmlformats.org/officeDocument/2006/relationships/image" Target="media/9c7311019a6dd98f544a294c5374dca1633809af.png"/><Relationship Id="rId14" Type="http://schemas.openxmlformats.org/officeDocument/2006/relationships/image" Target="media/f3ec1139a5982d4aaa6b7e3a0ce073ba9802113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2026-04-11T07:43:54.067Z</dcterms:created>
  <dcterms:modified xsi:type="dcterms:W3CDTF">2026-04-11T07:43:54.084Z</dcterms:modified>
</cp:coreProperties>
</file>

<file path=docProps/custom.xml><?xml version="1.0" encoding="utf-8"?>
<Properties xmlns="http://schemas.openxmlformats.org/officeDocument/2006/custom-properties" xmlns:vt="http://schemas.openxmlformats.org/officeDocument/2006/docPropsVTypes"/>
</file>