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Sales Funnel Report — July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IMAI platform · self-serve + sales-led funnels · measured 2026-07-21 via Mixpanel (project 3432835) · dollar figures: Stripe self-serve engine only (excludes Cardcom + manual/Close deals; unverified vs Stripe dashboard, Q28)</w:t>
      </w:r>
    </w:p>
    <w:p>
      <w:pPr>
        <w:pBdr>
          <w:bottom w:val="single" w:color="1F4E79" w:sz="8"/>
        </w:pBdr>
        <w:spacing w:after="2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funnel's biggest leak is still the top: ~85–88% of signups never reach the card page, unchanged in every month measured — and this segment emits zero events (uninstrumented).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Trial quality collapsed under the April–May signup surge, then recovered: cohorted trial→paid fell 35% (Feb) → 24% (Mar) → 11% (Apr) → 10% (May), then rebounded to 20% in June — the best absolute month ever (44 conversions) with signup volume still high. Whatever changed around June is worth identifying and codifying.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abuse gate is heavy-handed in top markets: 31% of all card-enterers blocked Apr–Jul (US 22%, UK 31%, Brazil 35%, Philippines 49%). Stripe failures confirm a real abuse wave (May: 634 failed vs 120 succeeded charges) that receded in June.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Sales-led wins doubled in May–June (16 Won/month vs ~7 before) and renewal wins are now tracked. But sales top-of-funnel is flat: ~25–39 scheduled meetings/month despite the 5× signup surge.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Stripe self-serve revenue is in decline despite the funnel wins: gross succeeded charges fell from ~$150.8k/mo (Nov 2025) to ~$67.3k/mo (Jun 2026). Payers recovered off the February trough (86 → 119 by June) but revenue-per-payer fell ~$874 → ~$565 — new self-serve cohorts buy smaller plans than the legacy base churning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 $ value (Stripe, trailing 12 months): the average payer is worth $2,549 in total charges; median $959; p90 $5,489; 3.35 successful charges per payer.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Expansion remains a vacuum (2–5 upgrades/month); active trial cancels improved from 60% of trials (May) to 41% (June).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2. Funnel A — self-serve, monthly cohorts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signup → Free Trial Signup → new_subscription_payment (unique users; 14-day conversion window from trial start; per calendar-month trial cohort). All cohort windows are complete — July is shown for volume only.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50"/>
        <w:gridCol w:w="950"/>
        <w:gridCol w:w="1300"/>
        <w:gridCol w:w="1000"/>
        <w:gridCol w:w="1450"/>
        <w:gridCol w:w="800"/>
        <w:gridCol w:w="1150"/>
        <w:gridCol w:w="1550"/>
      </w:tblGrid>
      <w:tr>
        <w:trPr>
          <w:tblHeader/>
        </w:trPr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0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Signups</w:t>
            </w:r>
          </w:p>
        </w:tc>
        <w:tc>
          <w:tcPr>
            <w:tcW w:type="dxa" w:w="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Trials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Signup→trial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</w:t>
            </w:r>
          </w:p>
        </w:tc>
        <w:tc>
          <w:tcPr>
            <w:tcW w:type="dxa" w:w="1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Trial→paid 14d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convert</w:t>
            </w:r>
          </w:p>
        </w:tc>
        <w:tc>
          <w:tcPr>
            <w:tcW w:type="dxa" w:w="1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 cancels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2026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12.9%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6.9 d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 (pre-event)</w:t>
            </w:r>
          </w:p>
        </w:tc>
      </w:tr>
      <w:tr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2026</w:t>
            </w:r>
          </w:p>
        </w:tc>
        <w:tc>
          <w:tcPr>
            <w:tcW w:type="dxa" w:w="1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13.6%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6.1 d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 (born Apr 22)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 2026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1,033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17.9%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11%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9.3 d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(partial)</w:t>
            </w:r>
          </w:p>
        </w:tc>
      </w:tr>
      <w:tr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May 2026</w:t>
            </w:r>
          </w:p>
        </w:tc>
        <w:tc>
          <w:tcPr>
            <w:tcW w:type="dxa" w:w="1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1,837</w:t>
            </w:r>
          </w:p>
        </w:tc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11.8%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10.9 d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 (60%)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Jun 2026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1,527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14.5%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6.6 d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 (41%)</w:t>
            </w:r>
          </w:p>
        </w:tc>
      </w:tr>
      <w:tr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Jul → 20</w:t>
            </w:r>
          </w:p>
        </w:tc>
        <w:tc>
          <w:tcPr>
            <w:tcW w:type="dxa" w:w="1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1,387</w:t>
            </w:r>
          </w:p>
        </w:tc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(partial)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(censored)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April–May dip is a cohort-quality story, not noise. </w:t>
      </w:r>
      <w:r>
        <w:rPr>
          <w:rFonts w:ascii="Calibri" w:cs="Calibri" w:eastAsia="Calibri" w:hAnsi="Calibri"/>
          <w:sz w:val="22"/>
          <w:szCs w:val="22"/>
        </w:rPr>
        <w:t xml:space="preserve">As signups grew 5×, conversion fell to ~10% and average time-to-convert stretched to 10.9 days (past the day-7 autocharge — delayed/retried charges), while gate blocks and Stripe failures peaked. June reversed all three at once: 20% conversion, 6.6-day time-to-convert (autocharge-shaped again), blocks down to 69. The blended "13.6%" figure (Apr–Jul aggregate) hides this swing — use monthly cohorts for decisions. Signup→trial shows no trend (11.8–17.9%): the top-of-funnel cliff is structural.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2.1 Abuse gate (geo proxy — block reasons unavailable in Mixpanel, Q27)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Apr 1 – Jul 20, unique users. Blocked share = blocked / (blocked + trials passed).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400"/>
        <w:gridCol w:w="290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Trials passed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 share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United States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United Kingdom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Brazil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Turkey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Philippines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49%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countries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705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Cross-check: Stripe Payment Attempt failures (total events) ran 296 (Apr) → 634 (May) → 260 (Jun) against a stable 104–126 succeeded — a genuine abuse wave met the gate. The open question is precision, answerable only from logs-DB block payloads (Q3/Q27).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2.2 Trial friction → conversion (events born 2026-06-30 — first 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July 1–20 cohort (86 trials): 40% opened the unlock modal; modal-openers converted 15% (5/34) vs 13% cohort baseline (11/86). No lift evidence yet; samples tiny; re-run with two full cohorts in September.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3. Self-serve dollars — Stripe engine only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the Stripe→Mixpanel integration — Payment Attempt with Status='succeeded', Amount Charged in whole USD (unit validated against the value distribution: plan-price shapes 99/499/599/1199/1200 plus custom amounts; failed charges log $0 and are excluded). NOT covered: Cardcom (IL) self-serve and all manual/invoiced Close deals — the majority of paying accounts. Completeness vs the Stripe dashboard is unverified (Q28) — treat as directional until cross-checked.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100"/>
        <w:gridCol w:w="2100"/>
        <w:gridCol w:w="1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Gross revenue (succeeded)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Unique payers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/ payer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Refunds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 2025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$150,836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$882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$12,267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 2025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$139,038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$874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$7,240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$100,438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$791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$6,209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2026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$78,271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$910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$3,396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$74,628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$848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$1,419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 2026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$86,764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$876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$9,142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May 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$80,210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$743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$2,126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Jun 2026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$67,258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$565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$3,021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Jul → 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$50,672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$792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$1,896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Stripe engine shrank ~55% Nov→Jun while the funnel improved. Payers bottomed in February (86) and recovered every month since (119 by June), but revenue/payer fell to $565 — the new cohorts skew to $99/$499 while higher-value legacy payers roll off. July’s partial pace (~$76k full-month equivalent) suggests stabilization.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 value (trailing 12 months, all Stripe payers): average total charged $2,549; median $959; p90 $5,489; 3.35 succeeded charges per payer. Use the median for a typical self-serve customer — the mean is pulled up by a heavy tail (custom charges up to $7,500 observed).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Observed price points don’t match the documented $99/$499/$1200 list: Apr–Jul mix includes $599×69, $175×42, $959×27 — undocumented price points; confirm which plans these are. [Q28]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Refunds run ~2–8% of gross ($1.4k–$12.3k/month; April spiked to $9.1k during the abuse wave).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4. Funnel B — sales-led (Close CRM mirrors — approximate)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Stage events are Close pipeline mirrors without status_id (ambiguous across the Sales and CS pipelines, Q6) — read as volumes, not a strict funnel. Early-stage mirroring only began April 2026.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850"/>
        <w:gridCol w:w="850"/>
        <w:gridCol w:w="850"/>
        <w:gridCol w:w="850"/>
        <w:gridCol w:w="850"/>
        <w:gridCol w:w="850"/>
        <w:gridCol w:w="850"/>
        <w:gridCol w:w="890"/>
      </w:tblGrid>
      <w:tr>
        <w:trPr>
          <w:tblHeader/>
        </w:trPr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(uniques/mo)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Jan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Feb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May</w:t>
            </w:r>
          </w:p>
        </w:tc>
        <w:tc>
          <w:tcPr>
            <w:tcW w:type="dxa" w:w="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Jun</w:t>
            </w:r>
          </w:p>
        </w:tc>
        <w:tc>
          <w:tcPr>
            <w:tcW w:type="dxa" w:w="89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Jul→20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89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Discovery / Demo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Proposal / Buying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9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Won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Won (Renewed/Expanded)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89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Show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9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Scheduled Meeting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Won volume doubled in May–June (16/month vs 2–9 before); Won:Lost improved from ~1:1 (Dec–Apr) to ~1.6:1 (May–Jun); renewal wins now visible (20 in May, 14 in June).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Scheduled meetings are flat at 25–39/month across the entire period — sales top-of-funnel did not grow with the 5× signup surge.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Demo bookings per rep run 2–10/month with a high cancel share; answered_scheduled_ai_agent_call spiked to 23 in June (vs 0–3 before) — the AI-agent call motion got real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Early stages (Identification/Qualification → Demo → Proposal) are too young and thin (single digits) for stage-conversion or velocity claims yet.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5. What’s blocked and why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33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Unblocks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 dollars (Cardcom + manual deals; MRR, NRR)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 user_payments + IMAI Close org (Q6); Stripe-integration completeness unverified (Q28)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full revenue picture (Stripe-only view is partial)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Abuse-gate false-positive rate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Block payloads stripped from Mixpanel (Q27); needs logs DB (Q3)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Gate precision audit + recovery path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Signup→card behavioral diagnosis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Segment uninstrumented — no events between signup and card result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single biggest funnel lever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stage velocity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Mirrors lack status_id; only ~3 months of stage history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True sales-funnel conversion rates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6. Recommendations (evidence-linked)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Instrument the signup→card gap (pricing page view, card form opened, card form abandoned). ~85–88% of signups vanish here invisibly, every month. [§2]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 and codify the June fix: conversion doubled (10%→20%) at constant volume. Diff June vs May — gate config, traffic sources, onboarding changes. If it was gate tuning, that quantifies the gate’s prior false-positive cost. [§2]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gate precision in top markets once logs-DB access lands (Q3): US/UK block rates of 22–31% are hard to justify as pure fraud. [§2.1]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Grow sales top-of-funnel: meetings are flat at ~30/month through a 5× demand surge. Route high-intent trial users (unlock-modal openers — 40% of trials) into the booking flow; the trial_book_call CTA fires ~3×/month, i.e. it is effectively invisible. [§3, §2.2]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Scale the AI-agent call motion if June’s 23 answered calls correlate with the June conversion/Won jump — measurable next month. [§3]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Attack the revenue-mix decline, not just conversion counts: verify the Stripe trend vs the Stripe dashboard (Q28), then decide whether the fix is pricing/packaging (new cohorts buy small), win-back of high-value churned payers, or expansion. Record conversion months at low first-charge values cannot replace $874-ARPU legacy payers 1:1. [§3]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the expansion motion: 2–5 upgrades/month; limit/upgrade instrumentation is trial-only, so paying users hitting plan ceilings are invisible and unprompted — and it is the direct counter to falling revenue-per-payer. [§2, §3]</w:t>
      </w:r>
    </w:p>
    <w:p>
      <w:pPr>
        <w:pBdr>
          <w:top w:val="single" w:color="AAAAAA" w:sz="4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Sources: Mixpanel project 3432835 queried live 2026-07-21 — monthly insights (unique users) for funnel and CRM-mirror events; per-cohort funnels reports (14-day window) Feb–Jun; geo breakdown of free_trial_blocked vs Free Trial Signup Apr 1–Jul 20; Payment Attempt by Status. Method: docs-events-audit/prompts/sales-funnel-report-prompt.md. Dollar figures come solely from the Stripe→Mixpanel integration (Amount Charged, Status=succeeded): Stripe self-serve only, unverified vs the Stripe dashboard (Q28). Webhook-event dollars remain unusable (stripped, Q27; ~36% coverage). Complete revenue requires prod user_payments + Close.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2026-07-21T10:21:56.011Z</dcterms:created>
  <dcterms:modified xsi:type="dcterms:W3CDTF">2026-07-21T10:21:56.011Z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