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spacing w:after="20"/>
      </w:pPr>
      <w:r>
        <w:rPr>
          <w:b/>
          <w:color w:val="172554"/>
          <w:sz w:val="48"/>
          <w:szCs w:val="48"/>
        </w:rPr>
        <w:t xml:space="preserve">CaratOS</w:t>
      </w:r>
    </w:p>
    <w:p>
      <w:pPr>
        <w:pStyle w:val="Subtitle"/>
        <w:jc w:val="center"/>
        <w:spacing w:after="160"/>
      </w:pPr>
      <w:r>
        <w:rPr>
          <w:b/>
          <w:color w:val="2563EB"/>
          <w:sz w:val="30"/>
          <w:szCs w:val="30"/>
        </w:rPr>
        <w:t xml:space="preserve">System Design and Flow — Simple Guide</w:t>
      </w:r>
    </w:p>
    <w:p>
      <w:pPr>
        <w:pStyle w:val="Normal"/>
        <w:jc w:val="center"/>
        <w:spacing w:after="220"/>
      </w:pPr>
      <w:r>
        <w:rPr>
          <w:i/>
          <w:color w:val="64748B"/>
        </w:rPr>
        <w:t xml:space="preserve">For business owners, sales teams, interns and non-technical reviewers</w:t>
      </w:r>
    </w:p>
    <w:p>
      <w:pPr>
        <w:pStyle w:val="Heading1"/>
        <w:spacing w:after="90"/>
      </w:pPr>
      <w:r>
        <w:rPr/>
        <w:t xml:space="preserve">CaratOS in one sentence</w:t>
      </w:r>
    </w:p>
    <w:p>
      <w:pPr>
        <w:pStyle w:val="Normal"/>
        <w:pBdr>
          <w:left w:val="single" w:sz="18" w:space="8" w:color="2563EB"/>
        </w:pBdr>
        <w:shd w:val="clear" w:color="auto" w:fill="EFF6FF"/>
        <w:spacing w:after="170"/>
      </w:pPr>
      <w:r>
        <w:rPr>
          <w:b/>
        </w:rPr>
        <w:t xml:space="preserve">CaratOS is one central system that collects customer enquiries from many places, keeps each company’s data separate, helps staff and AI work on the enquiry, sends approved replies, connects existing business software, and shows what produced a sale.</w:t>
      </w:r>
    </w:p>
    <w:p>
      <w:pPr>
        <w:pStyle w:val="Heading1"/>
        <w:spacing w:after="90"/>
      </w:pPr>
      <w:r>
        <w:rPr/>
        <w:t xml:space="preserve">The complete picture</w:t>
      </w:r>
    </w:p>
    <w:tbl>
      <w:tblPr>
        <w:tblW w:w="9300" w:type="dxa"/>
        <w:tblLayout w:type="fixed"/>
      </w:tblPr>
      <w:tblGrid>
        <w:gridCol w:w="2325"/>
        <w:gridCol w:w="2325"/>
        <w:gridCol w:w="2325"/>
        <w:gridCol w:w="2325"/>
      </w:tblGrid>
      <w:tr>
        <w:tc>
          <w:tcPr>
            <w:tcW w:w="2325" w:type="dxa"/>
            <w:shd w:val="clear" w:fill="DBEAFE"/>
            <w:tcMar>
              <w:top w:w="120" w:type="dxa"/>
              <w:left w:w="120" w:type="dxa"/>
              <w:bottom w:w="120" w:type="dxa"/>
              <w:right w:w="120" w:type="dxa"/>
            </w:tcMar>
          </w:tcPr>
          <w:p>
            <w:pPr>
              <w:jc w:val="center"/>
              <w:spacing w:after="0"/>
            </w:pPr>
            <w:r>
              <w:rPr>
                <w:b/>
                <w:color w:val="172554"/>
                <w:sz w:val="20"/>
                <w:szCs w:val="20"/>
              </w:rPr>
              <w:t xml:space="preserve">Meta Lead Ads</w:t>
            </w:r>
          </w:p>
        </w:tc>
        <w:tc>
          <w:tcPr>
            <w:tcW w:w="2325" w:type="dxa"/>
            <w:shd w:val="clear" w:fill="DCFCE7"/>
            <w:tcMar>
              <w:top w:w="120" w:type="dxa"/>
              <w:left w:w="120" w:type="dxa"/>
              <w:bottom w:w="120" w:type="dxa"/>
              <w:right w:w="120" w:type="dxa"/>
            </w:tcMar>
          </w:tcPr>
          <w:p>
            <w:pPr>
              <w:jc w:val="center"/>
              <w:spacing w:after="0"/>
            </w:pPr>
            <w:r>
              <w:rPr>
                <w:b/>
                <w:color w:val="172554"/>
                <w:sz w:val="20"/>
                <w:szCs w:val="20"/>
              </w:rPr>
              <w:t xml:space="preserve">WhatsApp</w:t>
            </w:r>
          </w:p>
        </w:tc>
        <w:tc>
          <w:tcPr>
            <w:tcW w:w="2325" w:type="dxa"/>
            <w:shd w:val="clear" w:fill="F3E8FF"/>
            <w:tcMar>
              <w:top w:w="120" w:type="dxa"/>
              <w:left w:w="120" w:type="dxa"/>
              <w:bottom w:w="120" w:type="dxa"/>
              <w:right w:w="120" w:type="dxa"/>
            </w:tcMar>
          </w:tcPr>
          <w:p>
            <w:pPr>
              <w:jc w:val="center"/>
              <w:spacing w:after="0"/>
            </w:pPr>
            <w:r>
              <w:rPr>
                <w:b/>
                <w:color w:val="172554"/>
                <w:sz w:val="20"/>
                <w:szCs w:val="20"/>
              </w:rPr>
              <w:t xml:space="preserve">Website / Walk-in</w:t>
            </w:r>
          </w:p>
        </w:tc>
        <w:tc>
          <w:tcPr>
            <w:tcW w:w="2325" w:type="dxa"/>
            <w:shd w:val="clear" w:fill="FEF3C7"/>
            <w:tcMar>
              <w:top w:w="120" w:type="dxa"/>
              <w:left w:w="120" w:type="dxa"/>
              <w:bottom w:w="120" w:type="dxa"/>
              <w:right w:w="120" w:type="dxa"/>
            </w:tcMar>
          </w:tcPr>
          <w:p>
            <w:pPr>
              <w:jc w:val="center"/>
              <w:spacing w:after="0"/>
            </w:pPr>
            <w:r>
              <w:rPr>
                <w:b/>
                <w:color w:val="172554"/>
                <w:sz w:val="20"/>
                <w:szCs w:val="20"/>
              </w:rPr>
              <w:t xml:space="preserve">Tally / BUSY / Gati / Excel</w:t>
            </w:r>
          </w:p>
        </w:tc>
      </w:tr>
    </w:tbl>
    <w:p>
      <w:pPr>
        <w:pStyle w:val="Normal"/>
        <w:jc w:val="center"/>
        <w:spacing w:after="20"/>
      </w:pPr>
      <w:r>
        <w:rPr>
          <w:b/>
          <w:color w:val="2563EB"/>
          <w:sz w:val="28"/>
          <w:szCs w:val="28"/>
        </w:rPr>
        <w:t xml:space="preserve">↓</w:t>
      </w:r>
    </w:p>
    <w:tbl>
      <w:tblPr>
        <w:tblW w:w="9300" w:type="dxa"/>
        <w:tblLayout w:type="fixed"/>
      </w:tblPr>
      <w:tblGrid>
        <w:gridCol w:w="9300"/>
      </w:tblGrid>
      <w:tr>
        <w:tc>
          <w:tcPr>
            <w:tcW w:w="9300" w:type="dxa"/>
            <w:shd w:val="clear" w:fill="E0F2FE"/>
            <w:tcMar>
              <w:top w:w="120" w:type="dxa"/>
              <w:left w:w="120" w:type="dxa"/>
              <w:bottom w:w="120" w:type="dxa"/>
              <w:right w:w="120" w:type="dxa"/>
            </w:tcMar>
          </w:tcPr>
          <w:p>
            <w:pPr>
              <w:jc w:val="center"/>
              <w:spacing w:after="0"/>
            </w:pPr>
            <w:r>
              <w:rPr>
                <w:b/>
                <w:color w:val="172554"/>
                <w:sz w:val="20"/>
                <w:szCs w:val="20"/>
              </w:rPr>
              <w:t xml:space="preserve">Secure entry gate
Checks signature, tenant and duplicates</w:t>
            </w:r>
          </w:p>
        </w:tc>
      </w:tr>
    </w:tbl>
    <w:p>
      <w:pPr>
        <w:pStyle w:val="Normal"/>
        <w:jc w:val="center"/>
        <w:spacing w:after="20"/>
      </w:pPr>
      <w:r>
        <w:rPr>
          <w:b/>
          <w:color w:val="2563EB"/>
          <w:sz w:val="28"/>
          <w:szCs w:val="28"/>
        </w:rPr>
        <w:t xml:space="preserve">↓</w:t>
      </w:r>
    </w:p>
    <w:tbl>
      <w:tblPr>
        <w:tblW w:w="9300" w:type="dxa"/>
        <w:tblLayout w:type="fixed"/>
      </w:tblPr>
      <w:tblGrid>
        <w:gridCol w:w="9300"/>
      </w:tblGrid>
      <w:tr>
        <w:tc>
          <w:tcPr>
            <w:tcW w:w="9300" w:type="dxa"/>
            <w:shd w:val="clear" w:fill="DBEAFE"/>
            <w:tcMar>
              <w:top w:w="120" w:type="dxa"/>
              <w:left w:w="120" w:type="dxa"/>
              <w:bottom w:w="120" w:type="dxa"/>
              <w:right w:w="120" w:type="dxa"/>
            </w:tcMar>
          </w:tcPr>
          <w:p>
            <w:pPr>
              <w:jc w:val="center"/>
              <w:spacing w:after="0"/>
            </w:pPr>
            <w:r>
              <w:rPr>
                <w:b/>
                <w:color w:val="172554"/>
                <w:sz w:val="20"/>
                <w:szCs w:val="20"/>
              </w:rPr>
              <w:t xml:space="preserve">Universal CRM
Customer • Lead • Conversation • Activity</w:t>
            </w:r>
          </w:p>
        </w:tc>
      </w:tr>
    </w:tbl>
    <w:p>
      <w:pPr>
        <w:pStyle w:val="Normal"/>
        <w:jc w:val="center"/>
        <w:spacing w:after="20"/>
      </w:pPr>
      <w:r>
        <w:rPr>
          <w:b/>
          <w:color w:val="2563EB"/>
          <w:sz w:val="28"/>
          <w:szCs w:val="28"/>
        </w:rPr>
        <w:t xml:space="preserve">↓</w:t>
      </w:r>
    </w:p>
    <w:tbl>
      <w:tblPr>
        <w:tblW w:w="9300" w:type="dxa"/>
        <w:tblLayout w:type="fixed"/>
      </w:tblPr>
      <w:tblGrid>
        <w:gridCol w:w="3100"/>
        <w:gridCol w:w="3100"/>
        <w:gridCol w:w="3100"/>
      </w:tblGrid>
      <w:tr>
        <w:tc>
          <w:tcPr>
            <w:tcW w:w="3100" w:type="dxa"/>
            <w:shd w:val="clear" w:fill="EDE9FE"/>
            <w:tcMar>
              <w:top w:w="120" w:type="dxa"/>
              <w:left w:w="120" w:type="dxa"/>
              <w:bottom w:w="120" w:type="dxa"/>
              <w:right w:w="120" w:type="dxa"/>
            </w:tcMar>
          </w:tcPr>
          <w:p>
            <w:pPr>
              <w:jc w:val="center"/>
              <w:spacing w:after="0"/>
            </w:pPr>
            <w:r>
              <w:rPr>
                <w:b/>
                <w:color w:val="172554"/>
                <w:sz w:val="20"/>
                <w:szCs w:val="20"/>
              </w:rPr>
              <w:t xml:space="preserve">AI + Knowledge
Draft and score</w:t>
            </w:r>
          </w:p>
        </w:tc>
        <w:tc>
          <w:tcPr>
            <w:tcW w:w="3100" w:type="dxa"/>
            <w:shd w:val="clear" w:fill="DCFCE7"/>
            <w:tcMar>
              <w:top w:w="120" w:type="dxa"/>
              <w:left w:w="120" w:type="dxa"/>
              <w:bottom w:w="120" w:type="dxa"/>
              <w:right w:w="120" w:type="dxa"/>
            </w:tcMar>
          </w:tcPr>
          <w:p>
            <w:pPr>
              <w:jc w:val="center"/>
              <w:spacing w:after="0"/>
            </w:pPr>
            <w:r>
              <w:rPr>
                <w:b/>
                <w:color w:val="172554"/>
                <w:sz w:val="20"/>
                <w:szCs w:val="20"/>
              </w:rPr>
              <w:t xml:space="preserve">Human Team
Review and decide</w:t>
            </w:r>
          </w:p>
        </w:tc>
        <w:tc>
          <w:tcPr>
            <w:tcW w:w="3100" w:type="dxa"/>
            <w:shd w:val="clear" w:fill="FEF3C7"/>
            <w:tcMar>
              <w:top w:w="120" w:type="dxa"/>
              <w:left w:w="120" w:type="dxa"/>
              <w:bottom w:w="120" w:type="dxa"/>
              <w:right w:w="120" w:type="dxa"/>
            </w:tcMar>
          </w:tcPr>
          <w:p>
            <w:pPr>
              <w:jc w:val="center"/>
              <w:spacing w:after="0"/>
            </w:pPr>
            <w:r>
              <w:rPr>
                <w:b/>
                <w:color w:val="172554"/>
                <w:sz w:val="20"/>
                <w:szCs w:val="20"/>
              </w:rPr>
              <w:t xml:space="preserve">Rules
Route to branch/person</w:t>
            </w:r>
          </w:p>
        </w:tc>
      </w:tr>
    </w:tbl>
    <w:p>
      <w:pPr>
        <w:pStyle w:val="Normal"/>
        <w:jc w:val="center"/>
        <w:spacing w:after="20"/>
      </w:pPr>
      <w:r>
        <w:rPr>
          <w:b/>
          <w:color w:val="2563EB"/>
          <w:sz w:val="28"/>
          <w:szCs w:val="28"/>
        </w:rPr>
        <w:t xml:space="preserve">↓</w:t>
      </w:r>
    </w:p>
    <w:tbl>
      <w:tblPr>
        <w:tblW w:w="9300" w:type="dxa"/>
        <w:tblLayout w:type="fixed"/>
      </w:tblPr>
      <w:tblGrid>
        <w:gridCol w:w="9300"/>
      </w:tblGrid>
      <w:tr>
        <w:tc>
          <w:tcPr>
            <w:tcW w:w="9300" w:type="dxa"/>
            <w:shd w:val="clear" w:fill="FCE7F3"/>
            <w:tcMar>
              <w:top w:w="120" w:type="dxa"/>
              <w:left w:w="120" w:type="dxa"/>
              <w:bottom w:w="120" w:type="dxa"/>
              <w:right w:w="120" w:type="dxa"/>
            </w:tcMar>
          </w:tcPr>
          <w:p>
            <w:pPr>
              <w:jc w:val="center"/>
              <w:spacing w:after="0"/>
            </w:pPr>
            <w:r>
              <w:rPr>
                <w:b/>
                <w:color w:val="172554"/>
                <w:sz w:val="20"/>
                <w:szCs w:val="20"/>
              </w:rPr>
              <w:t xml:space="preserve">Consent + Outbox
Policy check • Queue • Retry</w:t>
            </w:r>
          </w:p>
        </w:tc>
      </w:tr>
    </w:tbl>
    <w:p>
      <w:pPr>
        <w:pStyle w:val="Normal"/>
        <w:jc w:val="center"/>
        <w:spacing w:after="20"/>
      </w:pPr>
      <w:r>
        <w:rPr>
          <w:b/>
          <w:color w:val="2563EB"/>
          <w:sz w:val="28"/>
          <w:szCs w:val="28"/>
        </w:rPr>
        <w:t xml:space="preserve">↓</w:t>
      </w:r>
    </w:p>
    <w:tbl>
      <w:tblPr>
        <w:tblW w:w="9300" w:type="dxa"/>
        <w:tblLayout w:type="fixed"/>
      </w:tblPr>
      <w:tblGrid>
        <w:gridCol w:w="3100"/>
        <w:gridCol w:w="3100"/>
        <w:gridCol w:w="3100"/>
      </w:tblGrid>
      <w:tr>
        <w:tc>
          <w:tcPr>
            <w:tcW w:w="3100" w:type="dxa"/>
            <w:shd w:val="clear" w:fill="DCFCE7"/>
            <w:tcMar>
              <w:top w:w="120" w:type="dxa"/>
              <w:left w:w="120" w:type="dxa"/>
              <w:bottom w:w="120" w:type="dxa"/>
              <w:right w:w="120" w:type="dxa"/>
            </w:tcMar>
          </w:tcPr>
          <w:p>
            <w:pPr>
              <w:jc w:val="center"/>
              <w:spacing w:after="0"/>
            </w:pPr>
            <w:r>
              <w:rPr>
                <w:b/>
                <w:color w:val="172554"/>
                <w:sz w:val="20"/>
                <w:szCs w:val="20"/>
              </w:rPr>
              <w:t xml:space="preserve">WhatsApp / future channels</w:t>
            </w:r>
          </w:p>
        </w:tc>
        <w:tc>
          <w:tcPr>
            <w:tcW w:w="3100" w:type="dxa"/>
            <w:shd w:val="clear" w:fill="E0F2FE"/>
            <w:tcMar>
              <w:top w:w="120" w:type="dxa"/>
              <w:left w:w="120" w:type="dxa"/>
              <w:bottom w:w="120" w:type="dxa"/>
              <w:right w:w="120" w:type="dxa"/>
            </w:tcMar>
          </w:tcPr>
          <w:p>
            <w:pPr>
              <w:jc w:val="center"/>
              <w:spacing w:after="0"/>
            </w:pPr>
            <w:r>
              <w:rPr>
                <w:b/>
                <w:color w:val="172554"/>
                <w:sz w:val="20"/>
                <w:szCs w:val="20"/>
              </w:rPr>
              <w:t xml:space="preserve">Delivery receipts</w:t>
            </w:r>
          </w:p>
        </w:tc>
        <w:tc>
          <w:tcPr>
            <w:tcW w:w="3100" w:type="dxa"/>
            <w:shd w:val="clear" w:fill="FEF3C7"/>
            <w:tcMar>
              <w:top w:w="120" w:type="dxa"/>
              <w:left w:w="120" w:type="dxa"/>
              <w:bottom w:w="120" w:type="dxa"/>
              <w:right w:w="120" w:type="dxa"/>
            </w:tcMar>
          </w:tcPr>
          <w:p>
            <w:pPr>
              <w:jc w:val="center"/>
              <w:spacing w:after="0"/>
            </w:pPr>
            <w:r>
              <w:rPr>
                <w:b/>
                <w:color w:val="172554"/>
                <w:sz w:val="20"/>
                <w:szCs w:val="20"/>
              </w:rPr>
              <w:t xml:space="preserve">Spend + Sales → ROAS</w:t>
            </w:r>
          </w:p>
        </w:tc>
      </w:tr>
    </w:tbl>
    <w:p>
      <w:pPr>
        <w:pStyle w:val="Normal"/>
        <w:spacing w:after="170"/>
      </w:pPr>
      <w:r>
        <w:rPr>
          <w:i/>
          <w:color w:val="475569"/>
        </w:rPr>
        <w:t xml:space="preserve">Important: data does not jump directly from Meta or an ERP into business records. It first passes through security, ownership, duplicate and mapping checks.</w:t>
      </w:r>
    </w:p>
    <w:p>
      <w:pPr>
        <w:pStyle w:val="Heading1"/>
        <w:spacing w:after="90"/>
      </w:pPr>
      <w:r>
        <w:rPr/>
        <w:t xml:space="preserve">The main building blocks</w:t>
      </w:r>
    </w:p>
    <w:tbl>
      <w:tblPr>
        <w:tblW w:w="0" w:type="auto"/>
        <w:tblBorders>
          <w:top w:val="single" w:sz="5" w:color="CBD5E1"/>
          <w:left w:val="single" w:sz="5" w:color="CBD5E1"/>
          <w:bottom w:val="single" w:sz="5" w:color="CBD5E1"/>
          <w:right w:val="single" w:sz="5" w:color="CBD5E1"/>
          <w:insideH w:val="single" w:sz="4" w:color="E2E8F0"/>
          <w:insideV w:val="single" w:sz="4" w:color="E2E8F0"/>
        </w:tblBorders>
        <w:tblLayout w:type="fixed"/>
      </w:tblPr>
      <w:tblGrid>
        <w:gridCol w:w="2100"/>
        <w:gridCol w:w="2900"/>
        <w:gridCol w:w="4300"/>
      </w:tblGrid>
      <w:tr>
        <w:tc>
          <w:tcPr>
            <w:tcW w:w="2100" w:type="dxa"/>
            <w:shd w:val="clear" w:fill="172554"/>
            <w:tcMar>
              <w:top w:w="120" w:type="dxa"/>
              <w:left w:w="120" w:type="dxa"/>
              <w:bottom w:w="120" w:type="dxa"/>
              <w:right w:w="120" w:type="dxa"/>
            </w:tcMar>
          </w:tcPr>
          <w:p>
            <w:pPr>
              <w:spacing w:after="0"/>
            </w:pPr>
            <w:r>
              <w:rPr>
                <w:b/>
                <w:color w:val="FFFFFF"/>
                <w:sz w:val="20"/>
                <w:szCs w:val="20"/>
              </w:rPr>
              <w:t xml:space="preserve">Part</w:t>
            </w:r>
          </w:p>
        </w:tc>
        <w:tc>
          <w:tcPr>
            <w:tcW w:w="2900" w:type="dxa"/>
            <w:shd w:val="clear" w:fill="172554"/>
            <w:tcMar>
              <w:top w:w="120" w:type="dxa"/>
              <w:left w:w="120" w:type="dxa"/>
              <w:bottom w:w="120" w:type="dxa"/>
              <w:right w:w="120" w:type="dxa"/>
            </w:tcMar>
          </w:tcPr>
          <w:p>
            <w:pPr>
              <w:spacing w:after="0"/>
            </w:pPr>
            <w:r>
              <w:rPr>
                <w:b/>
                <w:color w:val="FFFFFF"/>
                <w:sz w:val="20"/>
                <w:szCs w:val="20"/>
              </w:rPr>
              <w:t xml:space="preserve">Simple meaning</w:t>
            </w:r>
          </w:p>
        </w:tc>
        <w:tc>
          <w:tcPr>
            <w:tcW w:w="4300" w:type="dxa"/>
            <w:shd w:val="clear" w:fill="172554"/>
            <w:tcMar>
              <w:top w:w="120" w:type="dxa"/>
              <w:left w:w="120" w:type="dxa"/>
              <w:bottom w:w="120" w:type="dxa"/>
              <w:right w:w="120" w:type="dxa"/>
            </w:tcMar>
          </w:tcPr>
          <w:p>
            <w:pPr>
              <w:spacing w:after="0"/>
            </w:pPr>
            <w:r>
              <w:rPr>
                <w:b/>
                <w:color w:val="FFFFFF"/>
                <w:sz w:val="20"/>
                <w:szCs w:val="20"/>
              </w:rPr>
              <w:t xml:space="preserve">What it does</w:t>
            </w:r>
          </w:p>
        </w:tc>
      </w:tr>
      <w:tr>
        <w:tc>
          <w:tcPr>
            <w:tcW w:w="2100" w:type="dxa"/>
            <w:shd w:val="clear" w:fill="FFFFFF"/>
            <w:tcMar>
              <w:top w:w="120" w:type="dxa"/>
              <w:left w:w="120" w:type="dxa"/>
              <w:bottom w:w="120" w:type="dxa"/>
              <w:right w:w="120" w:type="dxa"/>
            </w:tcMar>
          </w:tcPr>
          <w:p>
            <w:pPr>
              <w:spacing w:after="0"/>
            </w:pPr>
            <w:r>
              <w:rPr>
                <w:color w:val="0F172A"/>
                <w:sz w:val="20"/>
                <w:szCs w:val="20"/>
              </w:rPr>
              <w:t xml:space="preserve">Frontend</w:t>
            </w:r>
          </w:p>
        </w:tc>
        <w:tc>
          <w:tcPr>
            <w:tcW w:w="2900" w:type="dxa"/>
            <w:shd w:val="clear" w:fill="FFFFFF"/>
            <w:tcMar>
              <w:top w:w="120" w:type="dxa"/>
              <w:left w:w="120" w:type="dxa"/>
              <w:bottom w:w="120" w:type="dxa"/>
              <w:right w:w="120" w:type="dxa"/>
            </w:tcMar>
          </w:tcPr>
          <w:p>
            <w:pPr>
              <w:spacing w:after="0"/>
            </w:pPr>
            <w:r>
              <w:rPr>
                <w:color w:val="0F172A"/>
                <w:sz w:val="20"/>
                <w:szCs w:val="20"/>
              </w:rPr>
              <w:t xml:space="preserve">The screens staff use.</w:t>
            </w:r>
          </w:p>
        </w:tc>
        <w:tc>
          <w:tcPr>
            <w:tcW w:w="4300" w:type="dxa"/>
            <w:shd w:val="clear" w:fill="FFFFFF"/>
            <w:tcMar>
              <w:top w:w="120" w:type="dxa"/>
              <w:left w:w="120" w:type="dxa"/>
              <w:bottom w:w="120" w:type="dxa"/>
              <w:right w:w="120" w:type="dxa"/>
            </w:tcMar>
          </w:tcPr>
          <w:p>
            <w:pPr>
              <w:spacing w:after="0"/>
            </w:pPr>
            <w:r>
              <w:rPr>
                <w:color w:val="0F172A"/>
                <w:sz w:val="20"/>
                <w:szCs w:val="20"/>
              </w:rPr>
              <w:t xml:space="preserve">Login, CRM inbox, customer records, integrations, reports and settings.</w:t>
            </w:r>
          </w:p>
        </w:tc>
      </w:tr>
      <w:tr>
        <w:tc>
          <w:tcPr>
            <w:tcW w:w="2100" w:type="dxa"/>
            <w:shd w:val="clear" w:fill="F8FAFC"/>
            <w:tcMar>
              <w:top w:w="120" w:type="dxa"/>
              <w:left w:w="120" w:type="dxa"/>
              <w:bottom w:w="120" w:type="dxa"/>
              <w:right w:w="120" w:type="dxa"/>
            </w:tcMar>
          </w:tcPr>
          <w:p>
            <w:pPr>
              <w:spacing w:after="0"/>
            </w:pPr>
            <w:r>
              <w:rPr>
                <w:color w:val="0F172A"/>
                <w:sz w:val="20"/>
                <w:szCs w:val="20"/>
              </w:rPr>
              <w:t xml:space="preserve">Backend</w:t>
            </w:r>
          </w:p>
        </w:tc>
        <w:tc>
          <w:tcPr>
            <w:tcW w:w="2900" w:type="dxa"/>
            <w:shd w:val="clear" w:fill="F8FAFC"/>
            <w:tcMar>
              <w:top w:w="120" w:type="dxa"/>
              <w:left w:w="120" w:type="dxa"/>
              <w:bottom w:w="120" w:type="dxa"/>
              <w:right w:w="120" w:type="dxa"/>
            </w:tcMar>
          </w:tcPr>
          <w:p>
            <w:pPr>
              <w:spacing w:after="0"/>
            </w:pPr>
            <w:r>
              <w:rPr>
                <w:color w:val="0F172A"/>
                <w:sz w:val="20"/>
                <w:szCs w:val="20"/>
              </w:rPr>
              <w:t xml:space="preserve">The control room.</w:t>
            </w:r>
          </w:p>
        </w:tc>
        <w:tc>
          <w:tcPr>
            <w:tcW w:w="4300" w:type="dxa"/>
            <w:shd w:val="clear" w:fill="F8FAFC"/>
            <w:tcMar>
              <w:top w:w="120" w:type="dxa"/>
              <w:left w:w="120" w:type="dxa"/>
              <w:bottom w:w="120" w:type="dxa"/>
              <w:right w:w="120" w:type="dxa"/>
            </w:tcMar>
          </w:tcPr>
          <w:p>
            <w:pPr>
              <w:spacing w:after="0"/>
            </w:pPr>
            <w:r>
              <w:rPr>
                <w:color w:val="0F172A"/>
                <w:sz w:val="20"/>
                <w:szCs w:val="20"/>
              </w:rPr>
              <w:t xml:space="preserve">Checks permissions, applies business rules and connects all services.</w:t>
            </w:r>
          </w:p>
        </w:tc>
      </w:tr>
      <w:tr>
        <w:tc>
          <w:tcPr>
            <w:tcW w:w="2100" w:type="dxa"/>
            <w:shd w:val="clear" w:fill="FFFFFF"/>
            <w:tcMar>
              <w:top w:w="120" w:type="dxa"/>
              <w:left w:w="120" w:type="dxa"/>
              <w:bottom w:w="120" w:type="dxa"/>
              <w:right w:w="120" w:type="dxa"/>
            </w:tcMar>
          </w:tcPr>
          <w:p>
            <w:pPr>
              <w:spacing w:after="0"/>
            </w:pPr>
            <w:r>
              <w:rPr>
                <w:color w:val="0F172A"/>
                <w:sz w:val="20"/>
                <w:szCs w:val="20"/>
              </w:rPr>
              <w:t xml:space="preserve">PostgreSQL database</w:t>
            </w:r>
          </w:p>
        </w:tc>
        <w:tc>
          <w:tcPr>
            <w:tcW w:w="2900" w:type="dxa"/>
            <w:shd w:val="clear" w:fill="FFFFFF"/>
            <w:tcMar>
              <w:top w:w="120" w:type="dxa"/>
              <w:left w:w="120" w:type="dxa"/>
              <w:bottom w:w="120" w:type="dxa"/>
              <w:right w:w="120" w:type="dxa"/>
            </w:tcMar>
          </w:tcPr>
          <w:p>
            <w:pPr>
              <w:spacing w:after="0"/>
            </w:pPr>
            <w:r>
              <w:rPr>
                <w:color w:val="0F172A"/>
                <w:sz w:val="20"/>
                <w:szCs w:val="20"/>
              </w:rPr>
              <w:t xml:space="preserve">The permanent filing cabinet.</w:t>
            </w:r>
          </w:p>
        </w:tc>
        <w:tc>
          <w:tcPr>
            <w:tcW w:w="4300" w:type="dxa"/>
            <w:shd w:val="clear" w:fill="FFFFFF"/>
            <w:tcMar>
              <w:top w:w="120" w:type="dxa"/>
              <w:left w:w="120" w:type="dxa"/>
              <w:bottom w:w="120" w:type="dxa"/>
              <w:right w:w="120" w:type="dxa"/>
            </w:tcMar>
          </w:tcPr>
          <w:p>
            <w:pPr>
              <w:spacing w:after="0"/>
            </w:pPr>
            <w:r>
              <w:rPr>
                <w:color w:val="0F172A"/>
                <w:sz w:val="20"/>
                <w:szCs w:val="20"/>
              </w:rPr>
              <w:t xml:space="preserve">Stores tenants, users, customers, leads, messages, jobs, consent, spend and audit records.</w:t>
            </w:r>
          </w:p>
        </w:tc>
      </w:tr>
      <w:tr>
        <w:tc>
          <w:tcPr>
            <w:tcW w:w="2100" w:type="dxa"/>
            <w:shd w:val="clear" w:fill="F8FAFC"/>
            <w:tcMar>
              <w:top w:w="120" w:type="dxa"/>
              <w:left w:w="120" w:type="dxa"/>
              <w:bottom w:w="120" w:type="dxa"/>
              <w:right w:w="120" w:type="dxa"/>
            </w:tcMar>
          </w:tcPr>
          <w:p>
            <w:pPr>
              <w:spacing w:after="0"/>
            </w:pPr>
            <w:r>
              <w:rPr>
                <w:color w:val="0F172A"/>
                <w:sz w:val="20"/>
                <w:szCs w:val="20"/>
              </w:rPr>
              <w:t xml:space="preserve">Integration registry</w:t>
            </w:r>
          </w:p>
        </w:tc>
        <w:tc>
          <w:tcPr>
            <w:tcW w:w="2900" w:type="dxa"/>
            <w:shd w:val="clear" w:fill="F8FAFC"/>
            <w:tcMar>
              <w:top w:w="120" w:type="dxa"/>
              <w:left w:w="120" w:type="dxa"/>
              <w:bottom w:w="120" w:type="dxa"/>
              <w:right w:w="120" w:type="dxa"/>
            </w:tcMar>
          </w:tcPr>
          <w:p>
            <w:pPr>
              <w:spacing w:after="0"/>
            </w:pPr>
            <w:r>
              <w:rPr>
                <w:color w:val="0F172A"/>
                <w:sz w:val="20"/>
                <w:szCs w:val="20"/>
              </w:rPr>
              <w:t xml:space="preserve">The connection register.</w:t>
            </w:r>
          </w:p>
        </w:tc>
        <w:tc>
          <w:tcPr>
            <w:tcW w:w="4300" w:type="dxa"/>
            <w:shd w:val="clear" w:fill="F8FAFC"/>
            <w:tcMar>
              <w:top w:w="120" w:type="dxa"/>
              <w:left w:w="120" w:type="dxa"/>
              <w:bottom w:w="120" w:type="dxa"/>
              <w:right w:w="120" w:type="dxa"/>
            </w:tcMar>
          </w:tcPr>
          <w:p>
            <w:pPr>
              <w:spacing w:after="0"/>
            </w:pPr>
            <w:r>
              <w:rPr>
                <w:color w:val="0F172A"/>
                <w:sz w:val="20"/>
                <w:szCs w:val="20"/>
              </w:rPr>
              <w:t xml:space="preserve">Records which company connected which provider and keeps credentials encrypted.</w:t>
            </w:r>
          </w:p>
        </w:tc>
      </w:tr>
      <w:tr>
        <w:tc>
          <w:tcPr>
            <w:tcW w:w="2100" w:type="dxa"/>
            <w:shd w:val="clear" w:fill="FFFFFF"/>
            <w:tcMar>
              <w:top w:w="120" w:type="dxa"/>
              <w:left w:w="120" w:type="dxa"/>
              <w:bottom w:w="120" w:type="dxa"/>
              <w:right w:w="120" w:type="dxa"/>
            </w:tcMar>
          </w:tcPr>
          <w:p>
            <w:pPr>
              <w:spacing w:after="0"/>
            </w:pPr>
            <w:r>
              <w:rPr>
                <w:color w:val="0F172A"/>
                <w:sz w:val="20"/>
                <w:szCs w:val="20"/>
              </w:rPr>
              <w:t xml:space="preserve">Webhook intake</w:t>
            </w:r>
          </w:p>
        </w:tc>
        <w:tc>
          <w:tcPr>
            <w:tcW w:w="2900" w:type="dxa"/>
            <w:shd w:val="clear" w:fill="FFFFFF"/>
            <w:tcMar>
              <w:top w:w="120" w:type="dxa"/>
              <w:left w:w="120" w:type="dxa"/>
              <w:bottom w:w="120" w:type="dxa"/>
              <w:right w:w="120" w:type="dxa"/>
            </w:tcMar>
          </w:tcPr>
          <w:p>
            <w:pPr>
              <w:spacing w:after="0"/>
            </w:pPr>
            <w:r>
              <w:rPr>
                <w:color w:val="0F172A"/>
                <w:sz w:val="20"/>
                <w:szCs w:val="20"/>
              </w:rPr>
              <w:t xml:space="preserve">The secure receiving desk.</w:t>
            </w:r>
          </w:p>
        </w:tc>
        <w:tc>
          <w:tcPr>
            <w:tcW w:w="4300" w:type="dxa"/>
            <w:shd w:val="clear" w:fill="FFFFFF"/>
            <w:tcMar>
              <w:top w:w="120" w:type="dxa"/>
              <w:left w:w="120" w:type="dxa"/>
              <w:bottom w:w="120" w:type="dxa"/>
              <w:right w:w="120" w:type="dxa"/>
            </w:tcMar>
          </w:tcPr>
          <w:p>
            <w:pPr>
              <w:spacing w:after="0"/>
            </w:pPr>
            <w:r>
              <w:rPr>
                <w:color w:val="0F172A"/>
                <w:sz w:val="20"/>
                <w:szCs w:val="20"/>
              </w:rPr>
              <w:t xml:space="preserve">Checks provider signatures, stores events first and rejects duplicates.</w:t>
            </w:r>
          </w:p>
        </w:tc>
      </w:tr>
      <w:tr>
        <w:tc>
          <w:tcPr>
            <w:tcW w:w="2100" w:type="dxa"/>
            <w:shd w:val="clear" w:fill="F8FAFC"/>
            <w:tcMar>
              <w:top w:w="120" w:type="dxa"/>
              <w:left w:w="120" w:type="dxa"/>
              <w:bottom w:w="120" w:type="dxa"/>
              <w:right w:w="120" w:type="dxa"/>
            </w:tcMar>
          </w:tcPr>
          <w:p>
            <w:pPr>
              <w:spacing w:after="0"/>
            </w:pPr>
            <w:r>
              <w:rPr>
                <w:color w:val="0F172A"/>
                <w:sz w:val="20"/>
                <w:szCs w:val="20"/>
              </w:rPr>
              <w:t xml:space="preserve">CRM</w:t>
            </w:r>
          </w:p>
        </w:tc>
        <w:tc>
          <w:tcPr>
            <w:tcW w:w="2900" w:type="dxa"/>
            <w:shd w:val="clear" w:fill="F8FAFC"/>
            <w:tcMar>
              <w:top w:w="120" w:type="dxa"/>
              <w:left w:w="120" w:type="dxa"/>
              <w:bottom w:w="120" w:type="dxa"/>
              <w:right w:w="120" w:type="dxa"/>
            </w:tcMar>
          </w:tcPr>
          <w:p>
            <w:pPr>
              <w:spacing w:after="0"/>
            </w:pPr>
            <w:r>
              <w:rPr>
                <w:color w:val="0F172A"/>
                <w:sz w:val="20"/>
                <w:szCs w:val="20"/>
              </w:rPr>
              <w:t xml:space="preserve">The shared customer workspace.</w:t>
            </w:r>
          </w:p>
        </w:tc>
        <w:tc>
          <w:tcPr>
            <w:tcW w:w="4300" w:type="dxa"/>
            <w:shd w:val="clear" w:fill="F8FAFC"/>
            <w:tcMar>
              <w:top w:w="120" w:type="dxa"/>
              <w:left w:w="120" w:type="dxa"/>
              <w:bottom w:w="120" w:type="dxa"/>
              <w:right w:w="120" w:type="dxa"/>
            </w:tcMar>
          </w:tcPr>
          <w:p>
            <w:pPr>
              <w:spacing w:after="0"/>
            </w:pPr>
            <w:r>
              <w:rPr>
                <w:color w:val="0F172A"/>
                <w:sz w:val="20"/>
                <w:szCs w:val="20"/>
              </w:rPr>
              <w:t xml:space="preserve">Combines identity, lead, conversation, ownership, tasks and activity.</w:t>
            </w:r>
          </w:p>
        </w:tc>
      </w:tr>
      <w:tr>
        <w:tc>
          <w:tcPr>
            <w:tcW w:w="2100" w:type="dxa"/>
            <w:shd w:val="clear" w:fill="FFFFFF"/>
            <w:tcMar>
              <w:top w:w="120" w:type="dxa"/>
              <w:left w:w="120" w:type="dxa"/>
              <w:bottom w:w="120" w:type="dxa"/>
              <w:right w:w="120" w:type="dxa"/>
            </w:tcMar>
          </w:tcPr>
          <w:p>
            <w:pPr>
              <w:spacing w:after="0"/>
            </w:pPr>
            <w:r>
              <w:rPr>
                <w:color w:val="0F172A"/>
                <w:sz w:val="20"/>
                <w:szCs w:val="20"/>
              </w:rPr>
              <w:t xml:space="preserve">Knowledge library</w:t>
            </w:r>
          </w:p>
        </w:tc>
        <w:tc>
          <w:tcPr>
            <w:tcW w:w="2900" w:type="dxa"/>
            <w:shd w:val="clear" w:fill="FFFFFF"/>
            <w:tcMar>
              <w:top w:w="120" w:type="dxa"/>
              <w:left w:w="120" w:type="dxa"/>
              <w:bottom w:w="120" w:type="dxa"/>
              <w:right w:w="120" w:type="dxa"/>
            </w:tcMar>
          </w:tcPr>
          <w:p>
            <w:pPr>
              <w:spacing w:after="0"/>
            </w:pPr>
            <w:r>
              <w:rPr>
                <w:color w:val="0F172A"/>
                <w:sz w:val="20"/>
                <w:szCs w:val="20"/>
              </w:rPr>
              <w:t xml:space="preserve">The company reference shelf.</w:t>
            </w:r>
          </w:p>
        </w:tc>
        <w:tc>
          <w:tcPr>
            <w:tcW w:w="4300" w:type="dxa"/>
            <w:shd w:val="clear" w:fill="FFFFFF"/>
            <w:tcMar>
              <w:top w:w="120" w:type="dxa"/>
              <w:left w:w="120" w:type="dxa"/>
              <w:bottom w:w="120" w:type="dxa"/>
              <w:right w:w="120" w:type="dxa"/>
            </w:tcMar>
          </w:tcPr>
          <w:p>
            <w:pPr>
              <w:spacing w:after="0"/>
            </w:pPr>
            <w:r>
              <w:rPr>
                <w:color w:val="0F172A"/>
                <w:sz w:val="20"/>
                <w:szCs w:val="20"/>
              </w:rPr>
              <w:t xml:space="preserve">Extracts approved PDF/DOC text so AI drafts can use company-specific facts.</w:t>
            </w:r>
          </w:p>
        </w:tc>
      </w:tr>
      <w:tr>
        <w:tc>
          <w:tcPr>
            <w:tcW w:w="2100" w:type="dxa"/>
            <w:shd w:val="clear" w:fill="F8FAFC"/>
            <w:tcMar>
              <w:top w:w="120" w:type="dxa"/>
              <w:left w:w="120" w:type="dxa"/>
              <w:bottom w:w="120" w:type="dxa"/>
              <w:right w:w="120" w:type="dxa"/>
            </w:tcMar>
          </w:tcPr>
          <w:p>
            <w:pPr>
              <w:spacing w:after="0"/>
            </w:pPr>
            <w:r>
              <w:rPr>
                <w:color w:val="0F172A"/>
                <w:sz w:val="20"/>
                <w:szCs w:val="20"/>
              </w:rPr>
              <w:t xml:space="preserve">AI drafting</w:t>
            </w:r>
          </w:p>
        </w:tc>
        <w:tc>
          <w:tcPr>
            <w:tcW w:w="2900" w:type="dxa"/>
            <w:shd w:val="clear" w:fill="F8FAFC"/>
            <w:tcMar>
              <w:top w:w="120" w:type="dxa"/>
              <w:left w:w="120" w:type="dxa"/>
              <w:bottom w:w="120" w:type="dxa"/>
              <w:right w:w="120" w:type="dxa"/>
            </w:tcMar>
          </w:tcPr>
          <w:p>
            <w:pPr>
              <w:spacing w:after="0"/>
            </w:pPr>
            <w:r>
              <w:rPr>
                <w:color w:val="0F172A"/>
                <w:sz w:val="20"/>
                <w:szCs w:val="20"/>
              </w:rPr>
              <w:t xml:space="preserve">A writing assistant, not an automatic salesperson.</w:t>
            </w:r>
          </w:p>
        </w:tc>
        <w:tc>
          <w:tcPr>
            <w:tcW w:w="4300" w:type="dxa"/>
            <w:shd w:val="clear" w:fill="F8FAFC"/>
            <w:tcMar>
              <w:top w:w="120" w:type="dxa"/>
              <w:left w:w="120" w:type="dxa"/>
              <w:bottom w:w="120" w:type="dxa"/>
              <w:right w:w="120" w:type="dxa"/>
            </w:tcMar>
          </w:tcPr>
          <w:p>
            <w:pPr>
              <w:spacing w:after="0"/>
            </w:pPr>
            <w:r>
              <w:rPr>
                <w:color w:val="0F172A"/>
                <w:sz w:val="20"/>
                <w:szCs w:val="20"/>
              </w:rPr>
              <w:t xml:space="preserve">Creates a grounded draft; a human can approve or reject it.</w:t>
            </w:r>
          </w:p>
        </w:tc>
      </w:tr>
      <w:tr>
        <w:tc>
          <w:tcPr>
            <w:tcW w:w="2100" w:type="dxa"/>
            <w:shd w:val="clear" w:fill="FFFFFF"/>
            <w:tcMar>
              <w:top w:w="120" w:type="dxa"/>
              <w:left w:w="120" w:type="dxa"/>
              <w:bottom w:w="120" w:type="dxa"/>
              <w:right w:w="120" w:type="dxa"/>
            </w:tcMar>
          </w:tcPr>
          <w:p>
            <w:pPr>
              <w:spacing w:after="0"/>
            </w:pPr>
            <w:r>
              <w:rPr>
                <w:color w:val="0F172A"/>
                <w:sz w:val="20"/>
                <w:szCs w:val="20"/>
              </w:rPr>
              <w:t xml:space="preserve">Outbox and jobs</w:t>
            </w:r>
          </w:p>
        </w:tc>
        <w:tc>
          <w:tcPr>
            <w:tcW w:w="2900" w:type="dxa"/>
            <w:shd w:val="clear" w:fill="FFFFFF"/>
            <w:tcMar>
              <w:top w:w="120" w:type="dxa"/>
              <w:left w:w="120" w:type="dxa"/>
              <w:bottom w:w="120" w:type="dxa"/>
              <w:right w:w="120" w:type="dxa"/>
            </w:tcMar>
          </w:tcPr>
          <w:p>
            <w:pPr>
              <w:spacing w:after="0"/>
            </w:pPr>
            <w:r>
              <w:rPr>
                <w:color w:val="0F172A"/>
                <w:sz w:val="20"/>
                <w:szCs w:val="20"/>
              </w:rPr>
              <w:t xml:space="preserve">The reliable delivery queue.</w:t>
            </w:r>
          </w:p>
        </w:tc>
        <w:tc>
          <w:tcPr>
            <w:tcW w:w="4300" w:type="dxa"/>
            <w:shd w:val="clear" w:fill="FFFFFF"/>
            <w:tcMar>
              <w:top w:w="120" w:type="dxa"/>
              <w:left w:w="120" w:type="dxa"/>
              <w:bottom w:w="120" w:type="dxa"/>
              <w:right w:w="120" w:type="dxa"/>
            </w:tcMar>
          </w:tcPr>
          <w:p>
            <w:pPr>
              <w:spacing w:after="0"/>
            </w:pPr>
            <w:r>
              <w:rPr>
                <w:color w:val="0F172A"/>
                <w:sz w:val="20"/>
                <w:szCs w:val="20"/>
              </w:rPr>
              <w:t xml:space="preserve">Sends approved work, retries temporary failures and shows permanent failures.</w:t>
            </w:r>
          </w:p>
        </w:tc>
      </w:tr>
      <w:tr>
        <w:tc>
          <w:tcPr>
            <w:tcW w:w="2100" w:type="dxa"/>
            <w:shd w:val="clear" w:fill="F8FAFC"/>
            <w:tcMar>
              <w:top w:w="120" w:type="dxa"/>
              <w:left w:w="120" w:type="dxa"/>
              <w:bottom w:w="120" w:type="dxa"/>
              <w:right w:w="120" w:type="dxa"/>
            </w:tcMar>
          </w:tcPr>
          <w:p>
            <w:pPr>
              <w:spacing w:after="0"/>
            </w:pPr>
            <w:r>
              <w:rPr>
                <w:color w:val="0F172A"/>
                <w:sz w:val="20"/>
                <w:szCs w:val="20"/>
              </w:rPr>
              <w:t xml:space="preserve">Connect agent</w:t>
            </w:r>
          </w:p>
        </w:tc>
        <w:tc>
          <w:tcPr>
            <w:tcW w:w="2900" w:type="dxa"/>
            <w:shd w:val="clear" w:fill="F8FAFC"/>
            <w:tcMar>
              <w:top w:w="120" w:type="dxa"/>
              <w:left w:w="120" w:type="dxa"/>
              <w:bottom w:w="120" w:type="dxa"/>
              <w:right w:w="120" w:type="dxa"/>
            </w:tcMar>
          </w:tcPr>
          <w:p>
            <w:pPr>
              <w:spacing w:after="0"/>
            </w:pPr>
            <w:r>
              <w:rPr>
                <w:color w:val="0F172A"/>
                <w:sz w:val="20"/>
                <w:szCs w:val="20"/>
              </w:rPr>
              <w:t xml:space="preserve">A small bridge inside the client’s office.</w:t>
            </w:r>
          </w:p>
        </w:tc>
        <w:tc>
          <w:tcPr>
            <w:tcW w:w="4300" w:type="dxa"/>
            <w:shd w:val="clear" w:fill="F8FAFC"/>
            <w:tcMar>
              <w:top w:w="120" w:type="dxa"/>
              <w:left w:w="120" w:type="dxa"/>
              <w:bottom w:w="120" w:type="dxa"/>
              <w:right w:w="120" w:type="dxa"/>
            </w:tcMar>
          </w:tcPr>
          <w:p>
            <w:pPr>
              <w:spacing w:after="0"/>
            </w:pPr>
            <w:r>
              <w:rPr>
                <w:color w:val="0F172A"/>
                <w:sz w:val="20"/>
                <w:szCs w:val="20"/>
              </w:rPr>
              <w:t xml:space="preserve">Reads Tally/BUSY/Gati/ODBC data and sends it outward securely to CaratOS.</w:t>
            </w:r>
          </w:p>
        </w:tc>
      </w:tr>
      <w:tr>
        <w:tc>
          <w:tcPr>
            <w:tcW w:w="2100" w:type="dxa"/>
            <w:shd w:val="clear" w:fill="FFFFFF"/>
            <w:tcMar>
              <w:top w:w="120" w:type="dxa"/>
              <w:left w:w="120" w:type="dxa"/>
              <w:bottom w:w="120" w:type="dxa"/>
              <w:right w:w="120" w:type="dxa"/>
            </w:tcMar>
          </w:tcPr>
          <w:p>
            <w:pPr>
              <w:spacing w:after="0"/>
            </w:pPr>
            <w:r>
              <w:rPr>
                <w:color w:val="0F172A"/>
                <w:sz w:val="20"/>
                <w:szCs w:val="20"/>
              </w:rPr>
              <w:t xml:space="preserve">Attribution and ROAS</w:t>
            </w:r>
          </w:p>
        </w:tc>
        <w:tc>
          <w:tcPr>
            <w:tcW w:w="2900" w:type="dxa"/>
            <w:shd w:val="clear" w:fill="FFFFFF"/>
            <w:tcMar>
              <w:top w:w="120" w:type="dxa"/>
              <w:left w:w="120" w:type="dxa"/>
              <w:bottom w:w="120" w:type="dxa"/>
              <w:right w:w="120" w:type="dxa"/>
            </w:tcMar>
          </w:tcPr>
          <w:p>
            <w:pPr>
              <w:spacing w:after="0"/>
            </w:pPr>
            <w:r>
              <w:rPr>
                <w:color w:val="0F172A"/>
                <w:sz w:val="20"/>
                <w:szCs w:val="20"/>
              </w:rPr>
              <w:t xml:space="preserve">The measurement layer.</w:t>
            </w:r>
          </w:p>
        </w:tc>
        <w:tc>
          <w:tcPr>
            <w:tcW w:w="4300" w:type="dxa"/>
            <w:shd w:val="clear" w:fill="FFFFFF"/>
            <w:tcMar>
              <w:top w:w="120" w:type="dxa"/>
              <w:left w:w="120" w:type="dxa"/>
              <w:bottom w:w="120" w:type="dxa"/>
              <w:right w:w="120" w:type="dxa"/>
            </w:tcMar>
          </w:tcPr>
          <w:p>
            <w:pPr>
              <w:spacing w:after="0"/>
            </w:pPr>
            <w:r>
              <w:rPr>
                <w:color w:val="0F172A"/>
                <w:sz w:val="20"/>
                <w:szCs w:val="20"/>
              </w:rPr>
              <w:t xml:space="preserve">Joins ad source, measured spend and sales without inventing missing values.</w:t>
            </w:r>
          </w:p>
        </w:tc>
      </w:tr>
    </w:tbl>
    <w:p>
      <w:pPr>
        <w:pStyle w:val="Heading1"/>
        <w:spacing w:after="90"/>
      </w:pPr>
      <w:r>
        <w:rPr/>
        <w:t xml:space="preserve">Flow 1 — A new lead comes from Meta</w:t>
      </w:r>
    </w:p>
    <w:p>
      <w:pPr>
        <w:pStyle w:val="Normal"/>
        <w:ind w:left="400" w:hanging="300"/>
        <w:spacing w:after="85"/>
      </w:pPr>
      <w:r>
        <w:rPr>
          <w:b/>
          <w:color w:val="2563EB"/>
        </w:rPr>
        <w:t xml:space="preserve">1.  </w:t>
      </w:r>
      <w:r>
        <w:rPr>
          <w:b/>
        </w:rPr>
        <w:t xml:space="preserve">Customer submits a form: </w:t>
      </w:r>
      <w:r>
        <w:rPr/>
        <w:t xml:space="preserve">The person fills a Facebook or Instagram Lead Ad form.</w:t>
      </w:r>
    </w:p>
    <w:p>
      <w:pPr>
        <w:pStyle w:val="Normal"/>
        <w:ind w:left="400" w:hanging="300"/>
        <w:spacing w:after="85"/>
      </w:pPr>
      <w:r>
        <w:rPr>
          <w:b/>
          <w:color w:val="2563EB"/>
        </w:rPr>
        <w:t xml:space="preserve">2.  </w:t>
      </w:r>
      <w:r>
        <w:rPr>
          <w:b/>
        </w:rPr>
        <w:t xml:space="preserve">Meta sends a webhook: </w:t>
      </w:r>
      <w:r>
        <w:rPr/>
        <w:t xml:space="preserve">Meta sends only a notification that a lead exists.</w:t>
      </w:r>
    </w:p>
    <w:p>
      <w:pPr>
        <w:pStyle w:val="Normal"/>
        <w:ind w:left="400" w:hanging="300"/>
        <w:spacing w:after="85"/>
      </w:pPr>
      <w:r>
        <w:rPr>
          <w:b/>
          <w:color w:val="2563EB"/>
        </w:rPr>
        <w:t xml:space="preserve">3.  </w:t>
      </w:r>
      <w:r>
        <w:rPr>
          <w:b/>
        </w:rPr>
        <w:t xml:space="preserve">CaratOS verifies it: </w:t>
      </w:r>
      <w:r>
        <w:rPr/>
        <w:t xml:space="preserve">The system checks the Meta signature and stores the event before doing anything else.</w:t>
      </w:r>
    </w:p>
    <w:p>
      <w:pPr>
        <w:pStyle w:val="Normal"/>
        <w:ind w:left="400" w:hanging="300"/>
        <w:spacing w:after="85"/>
      </w:pPr>
      <w:r>
        <w:rPr>
          <w:b/>
          <w:color w:val="2563EB"/>
        </w:rPr>
        <w:t xml:space="preserve">4.  </w:t>
      </w:r>
      <w:r>
        <w:rPr>
          <w:b/>
        </w:rPr>
        <w:t xml:space="preserve">CaratOS finds the correct company: </w:t>
      </w:r>
      <w:r>
        <w:rPr/>
        <w:t xml:space="preserve">The Page ID is matched to exactly one tenant-owned asset. The webhook cannot choose the tenant itself.</w:t>
      </w:r>
    </w:p>
    <w:p>
      <w:pPr>
        <w:pStyle w:val="Normal"/>
        <w:ind w:left="400" w:hanging="300"/>
        <w:spacing w:after="85"/>
      </w:pPr>
      <w:r>
        <w:rPr>
          <w:b/>
          <w:color w:val="2563EB"/>
        </w:rPr>
        <w:t xml:space="preserve">5.  </w:t>
      </w:r>
      <w:r>
        <w:rPr>
          <w:b/>
        </w:rPr>
        <w:t xml:space="preserve">A background job fetches the lead: </w:t>
      </w:r>
      <w:r>
        <w:rPr/>
        <w:t xml:space="preserve">The encrypted tenant token is used server-side. A temporary Meta error is retried.</w:t>
      </w:r>
    </w:p>
    <w:p>
      <w:pPr>
        <w:pStyle w:val="Normal"/>
        <w:ind w:left="400" w:hanging="300"/>
        <w:spacing w:after="85"/>
      </w:pPr>
      <w:r>
        <w:rPr>
          <w:b/>
          <w:color w:val="2563EB"/>
        </w:rPr>
        <w:t xml:space="preserve">6.  </w:t>
      </w:r>
      <w:r>
        <w:rPr>
          <w:b/>
        </w:rPr>
        <w:t xml:space="preserve">Identity is resolved: </w:t>
      </w:r>
      <w:r>
        <w:rPr/>
        <w:t xml:space="preserve">Phone/email is matched to an existing customer or a new customer is created safely.</w:t>
      </w:r>
    </w:p>
    <w:p>
      <w:pPr>
        <w:pStyle w:val="Normal"/>
        <w:ind w:left="400" w:hanging="300"/>
        <w:spacing w:after="85"/>
      </w:pPr>
      <w:r>
        <w:rPr>
          <w:b/>
          <w:color w:val="2563EB"/>
        </w:rPr>
        <w:t xml:space="preserve">7.  </w:t>
      </w:r>
      <w:r>
        <w:rPr>
          <w:b/>
        </w:rPr>
        <w:t xml:space="preserve">Lead and source are saved: </w:t>
      </w:r>
      <w:r>
        <w:rPr/>
        <w:t xml:space="preserve">The lead is marked meta_ads and available campaign/ad-set/ad evidence is attached. Missing evidence stays blank.</w:t>
      </w:r>
    </w:p>
    <w:p>
      <w:pPr>
        <w:pStyle w:val="Normal"/>
        <w:ind w:left="400" w:hanging="300"/>
        <w:spacing w:after="85"/>
      </w:pPr>
      <w:r>
        <w:rPr>
          <w:b/>
          <w:color w:val="2563EB"/>
        </w:rPr>
        <w:t xml:space="preserve">8.  </w:t>
      </w:r>
      <w:r>
        <w:rPr>
          <w:b/>
        </w:rPr>
        <w:t xml:space="preserve">Routing rules run: </w:t>
      </w:r>
      <w:r>
        <w:rPr/>
        <w:t xml:space="preserve">The enquiry goes to the right branch, manager, salesperson or AI queue.</w:t>
      </w:r>
    </w:p>
    <w:p>
      <w:pPr>
        <w:pStyle w:val="Normal"/>
        <w:pBdr>
          <w:left w:val="single" w:sz="18" w:space="8" w:color="2563EB"/>
        </w:pBdr>
        <w:shd w:val="clear" w:color="auto" w:fill="F0FDF4"/>
        <w:spacing w:after="90"/>
      </w:pPr>
      <w:r>
        <w:rPr>
          <w:b/>
        </w:rPr>
        <w:t xml:space="preserve">Result: one real enquiry appears in the CRM. Replaying the same Meta event must not create another lead.</w:t>
      </w:r>
    </w:p>
    <w:p>
      <w:pPr>
        <w:pStyle w:val="Heading1"/>
        <w:spacing w:after="90"/>
      </w:pPr>
      <w:r>
        <w:rPr/>
        <w:t xml:space="preserve">Flow 2 — A WhatsApp conversation</w:t>
      </w:r>
    </w:p>
    <w:tbl>
      <w:tblPr>
        <w:tblW w:w="9300" w:type="dxa"/>
        <w:tblLayout w:type="fixed"/>
      </w:tblPr>
      <w:tblGrid>
        <w:gridCol w:w="2325"/>
        <w:gridCol w:w="2325"/>
        <w:gridCol w:w="2325"/>
        <w:gridCol w:w="2325"/>
      </w:tblGrid>
      <w:tr>
        <w:tc>
          <w:tcPr>
            <w:tcW w:w="2325" w:type="dxa"/>
            <w:shd w:val="clear" w:fill="DCFCE7"/>
            <w:tcMar>
              <w:top w:w="120" w:type="dxa"/>
              <w:left w:w="120" w:type="dxa"/>
              <w:bottom w:w="120" w:type="dxa"/>
              <w:right w:w="120" w:type="dxa"/>
            </w:tcMar>
          </w:tcPr>
          <w:p>
            <w:pPr>
              <w:jc w:val="center"/>
              <w:spacing w:after="0"/>
            </w:pPr>
            <w:r>
              <w:rPr>
                <w:b/>
                <w:color w:val="172554"/>
                <w:sz w:val="20"/>
                <w:szCs w:val="20"/>
              </w:rPr>
              <w:t xml:space="preserve">Customer message</w:t>
            </w:r>
          </w:p>
        </w:tc>
        <w:tc>
          <w:tcPr>
            <w:tcW w:w="2325" w:type="dxa"/>
            <w:shd w:val="clear" w:fill="E0F2FE"/>
            <w:tcMar>
              <w:top w:w="120" w:type="dxa"/>
              <w:left w:w="120" w:type="dxa"/>
              <w:bottom w:w="120" w:type="dxa"/>
              <w:right w:w="120" w:type="dxa"/>
            </w:tcMar>
          </w:tcPr>
          <w:p>
            <w:pPr>
              <w:jc w:val="center"/>
              <w:spacing w:after="0"/>
            </w:pPr>
            <w:r>
              <w:rPr>
                <w:b/>
                <w:color w:val="172554"/>
                <w:sz w:val="20"/>
                <w:szCs w:val="20"/>
              </w:rPr>
              <w:t xml:space="preserve">Signed webhook</w:t>
            </w:r>
          </w:p>
        </w:tc>
        <w:tc>
          <w:tcPr>
            <w:tcW w:w="2325" w:type="dxa"/>
            <w:shd w:val="clear" w:fill="DBEAFE"/>
            <w:tcMar>
              <w:top w:w="120" w:type="dxa"/>
              <w:left w:w="120" w:type="dxa"/>
              <w:bottom w:w="120" w:type="dxa"/>
              <w:right w:w="120" w:type="dxa"/>
            </w:tcMar>
          </w:tcPr>
          <w:p>
            <w:pPr>
              <w:jc w:val="center"/>
              <w:spacing w:after="0"/>
            </w:pPr>
            <w:r>
              <w:rPr>
                <w:b/>
                <w:color w:val="172554"/>
                <w:sz w:val="20"/>
                <w:szCs w:val="20"/>
              </w:rPr>
              <w:t xml:space="preserve">Correct tenant conversation</w:t>
            </w:r>
          </w:p>
        </w:tc>
        <w:tc>
          <w:tcPr>
            <w:tcW w:w="2325" w:type="dxa"/>
            <w:shd w:val="clear" w:fill="EDE9FE"/>
            <w:tcMar>
              <w:top w:w="120" w:type="dxa"/>
              <w:left w:w="120" w:type="dxa"/>
              <w:bottom w:w="120" w:type="dxa"/>
              <w:right w:w="120" w:type="dxa"/>
            </w:tcMar>
          </w:tcPr>
          <w:p>
            <w:pPr>
              <w:jc w:val="center"/>
              <w:spacing w:after="0"/>
            </w:pPr>
            <w:r>
              <w:rPr>
                <w:b/>
                <w:color w:val="172554"/>
                <w:sz w:val="20"/>
                <w:szCs w:val="20"/>
              </w:rPr>
              <w:t xml:space="preserve">Human / AI draft</w:t>
            </w:r>
          </w:p>
        </w:tc>
      </w:tr>
    </w:tbl>
    <w:p>
      <w:pPr>
        <w:pStyle w:val="Normal"/>
        <w:jc w:val="center"/>
        <w:spacing w:after="20"/>
      </w:pPr>
      <w:r>
        <w:rPr>
          <w:b/>
          <w:color w:val="2563EB"/>
          <w:sz w:val="28"/>
          <w:szCs w:val="28"/>
        </w:rPr>
        <w:t xml:space="preserve">↓ policy and consent check ↓</w:t>
      </w:r>
    </w:p>
    <w:tbl>
      <w:tblPr>
        <w:tblW w:w="9300" w:type="dxa"/>
        <w:tblLayout w:type="fixed"/>
      </w:tblPr>
      <w:tblGrid>
        <w:gridCol w:w="2325"/>
        <w:gridCol w:w="2325"/>
        <w:gridCol w:w="2325"/>
        <w:gridCol w:w="2325"/>
      </w:tblGrid>
      <w:tr>
        <w:tc>
          <w:tcPr>
            <w:tcW w:w="2325" w:type="dxa"/>
            <w:shd w:val="clear" w:fill="FCE7F3"/>
            <w:tcMar>
              <w:top w:w="120" w:type="dxa"/>
              <w:left w:w="120" w:type="dxa"/>
              <w:bottom w:w="120" w:type="dxa"/>
              <w:right w:w="120" w:type="dxa"/>
            </w:tcMar>
          </w:tcPr>
          <w:p>
            <w:pPr>
              <w:jc w:val="center"/>
              <w:spacing w:after="0"/>
            </w:pPr>
            <w:r>
              <w:rPr>
                <w:b/>
                <w:color w:val="172554"/>
                <w:sz w:val="20"/>
                <w:szCs w:val="20"/>
              </w:rPr>
              <w:t xml:space="preserve">Explicit delivery instruction</w:t>
            </w:r>
          </w:p>
        </w:tc>
        <w:tc>
          <w:tcPr>
            <w:tcW w:w="2325" w:type="dxa"/>
            <w:shd w:val="clear" w:fill="FEF3C7"/>
            <w:tcMar>
              <w:top w:w="120" w:type="dxa"/>
              <w:left w:w="120" w:type="dxa"/>
              <w:bottom w:w="120" w:type="dxa"/>
              <w:right w:w="120" w:type="dxa"/>
            </w:tcMar>
          </w:tcPr>
          <w:p>
            <w:pPr>
              <w:jc w:val="center"/>
              <w:spacing w:after="0"/>
            </w:pPr>
            <w:r>
              <w:rPr>
                <w:b/>
                <w:color w:val="172554"/>
                <w:sz w:val="20"/>
                <w:szCs w:val="20"/>
              </w:rPr>
              <w:t xml:space="preserve">Durable outbox job</w:t>
            </w:r>
          </w:p>
        </w:tc>
        <w:tc>
          <w:tcPr>
            <w:tcW w:w="2325" w:type="dxa"/>
            <w:shd w:val="clear" w:fill="DCFCE7"/>
            <w:tcMar>
              <w:top w:w="120" w:type="dxa"/>
              <w:left w:w="120" w:type="dxa"/>
              <w:bottom w:w="120" w:type="dxa"/>
              <w:right w:w="120" w:type="dxa"/>
            </w:tcMar>
          </w:tcPr>
          <w:p>
            <w:pPr>
              <w:jc w:val="center"/>
              <w:spacing w:after="0"/>
            </w:pPr>
            <w:r>
              <w:rPr>
                <w:b/>
                <w:color w:val="172554"/>
                <w:sz w:val="20"/>
                <w:szCs w:val="20"/>
              </w:rPr>
              <w:t xml:space="preserve">WhatsApp accepts</w:t>
            </w:r>
          </w:p>
        </w:tc>
        <w:tc>
          <w:tcPr>
            <w:tcW w:w="2325" w:type="dxa"/>
            <w:shd w:val="clear" w:fill="E0F2FE"/>
            <w:tcMar>
              <w:top w:w="120" w:type="dxa"/>
              <w:left w:w="120" w:type="dxa"/>
              <w:bottom w:w="120" w:type="dxa"/>
              <w:right w:w="120" w:type="dxa"/>
            </w:tcMar>
          </w:tcPr>
          <w:p>
            <w:pPr>
              <w:jc w:val="center"/>
              <w:spacing w:after="0"/>
            </w:pPr>
            <w:r>
              <w:rPr>
                <w:b/>
                <w:color w:val="172554"/>
                <w:sz w:val="20"/>
                <w:szCs w:val="20"/>
              </w:rPr>
              <w:t xml:space="preserve">sent → delivered → read</w:t>
            </w:r>
          </w:p>
        </w:tc>
      </w:tr>
    </w:tbl>
    <w:p>
      <w:pPr>
        <w:pStyle w:val="Normal"/>
        <w:ind w:left="400" w:hanging="240"/>
        <w:spacing w:after="55"/>
      </w:pPr>
      <w:r>
        <w:rPr/>
        <w:t xml:space="preserve">•  A normal text reply is allowed only inside the recorded 24-hour customer-care window.</w:t>
      </w:r>
    </w:p>
    <w:p>
      <w:pPr>
        <w:pStyle w:val="Normal"/>
        <w:ind w:left="400" w:hanging="240"/>
        <w:spacing w:after="55"/>
      </w:pPr>
      <w:r>
        <w:rPr/>
        <w:t xml:space="preserve">•  Outside that window, an approved WhatsApp template is required.</w:t>
      </w:r>
    </w:p>
    <w:p>
      <w:pPr>
        <w:pStyle w:val="Normal"/>
        <w:ind w:left="400" w:hanging="240"/>
        <w:spacing w:after="55"/>
      </w:pPr>
      <w:r>
        <w:rPr/>
        <w:t xml:space="preserve">•  Marketing also requires recorded consent.</w:t>
      </w:r>
    </w:p>
    <w:p>
      <w:pPr>
        <w:pStyle w:val="Normal"/>
        <w:ind w:left="400" w:hanging="240"/>
        <w:spacing w:after="55"/>
      </w:pPr>
      <w:r>
        <w:rPr/>
        <w:t xml:space="preserve">•  STOP/unsubscribe must be recorded before AI or marketing automation runs.</w:t>
      </w:r>
    </w:p>
    <w:p>
      <w:pPr>
        <w:pStyle w:val="Normal"/>
        <w:ind w:left="400" w:hanging="240"/>
        <w:spacing w:after="55"/>
      </w:pPr>
      <w:r>
        <w:rPr/>
        <w:t xml:space="preserve">•  The screen says sent only after WhatsApp accepts the message and returns an ID.</w:t>
      </w:r>
    </w:p>
    <w:p>
      <w:pPr>
        <w:pStyle w:val="Normal"/>
        <w:ind w:left="400" w:hanging="240"/>
        <w:spacing w:after="55"/>
      </w:pPr>
      <w:r>
        <w:rPr/>
        <w:t xml:space="preserve">•  Delivery receipts move the status forward; an old receipt cannot move it backwards.</w:t>
      </w:r>
    </w:p>
    <w:p>
      <w:pPr>
        <w:pStyle w:val="Heading1"/>
        <w:spacing w:after="90"/>
      </w:pPr>
      <w:r>
        <w:rPr/>
        <w:t xml:space="preserve">Flow 3 — How AI helps without taking control</w:t>
      </w:r>
    </w:p>
    <w:p>
      <w:pPr>
        <w:pStyle w:val="Normal"/>
        <w:ind w:left="400" w:hanging="300"/>
        <w:spacing w:after="85"/>
      </w:pPr>
      <w:r>
        <w:rPr>
          <w:b/>
          <w:color w:val="2563EB"/>
        </w:rPr>
        <w:t xml:space="preserve">1.  </w:t>
      </w:r>
      <w:r>
        <w:rPr>
          <w:b/>
        </w:rPr>
        <w:t xml:space="preserve">Screen the message: </w:t>
      </w:r>
      <w:r>
        <w:rPr/>
        <w:t xml:space="preserve">Complaints, legal issues, opt-outs and unsafe cases go directly to a person.</w:t>
      </w:r>
    </w:p>
    <w:p>
      <w:pPr>
        <w:pStyle w:val="Normal"/>
        <w:ind w:left="400" w:hanging="300"/>
        <w:spacing w:after="85"/>
      </w:pPr>
      <w:r>
        <w:rPr>
          <w:b/>
          <w:color w:val="2563EB"/>
        </w:rPr>
        <w:t xml:space="preserve">2.  </w:t>
      </w:r>
      <w:r>
        <w:rPr>
          <w:b/>
        </w:rPr>
        <w:t xml:space="preserve">Search tenant knowledge: </w:t>
      </w:r>
      <w:r>
        <w:rPr/>
        <w:t xml:space="preserve">The system looks only in that company’s ready knowledge documents.</w:t>
      </w:r>
    </w:p>
    <w:p>
      <w:pPr>
        <w:pStyle w:val="Normal"/>
        <w:ind w:left="400" w:hanging="300"/>
        <w:spacing w:after="85"/>
      </w:pPr>
      <w:r>
        <w:rPr>
          <w:b/>
          <w:color w:val="2563EB"/>
        </w:rPr>
        <w:t xml:space="preserve">3.  </w:t>
      </w:r>
      <w:r>
        <w:rPr>
          <w:b/>
        </w:rPr>
        <w:t xml:space="preserve">Ask the configured model: </w:t>
      </w:r>
      <w:r>
        <w:rPr/>
        <w:t xml:space="preserve">The customer message and small relevant reference are sent to the AI provider.</w:t>
      </w:r>
    </w:p>
    <w:p>
      <w:pPr>
        <w:pStyle w:val="Normal"/>
        <w:ind w:left="400" w:hanging="300"/>
        <w:spacing w:after="85"/>
      </w:pPr>
      <w:r>
        <w:rPr>
          <w:b/>
          <w:color w:val="2563EB"/>
        </w:rPr>
        <w:t xml:space="preserve">4.  </w:t>
      </w:r>
      <w:r>
        <w:rPr>
          <w:b/>
        </w:rPr>
        <w:t xml:space="preserve">Check confidence and policy: </w:t>
      </w:r>
      <w:r>
        <w:rPr/>
        <w:t xml:space="preserve">Low-confidence or “needs human” output is discarded.</w:t>
      </w:r>
    </w:p>
    <w:p>
      <w:pPr>
        <w:pStyle w:val="Normal"/>
        <w:ind w:left="400" w:hanging="300"/>
        <w:spacing w:after="85"/>
      </w:pPr>
      <w:r>
        <w:rPr>
          <w:b/>
          <w:color w:val="2563EB"/>
        </w:rPr>
        <w:t xml:space="preserve">5.  </w:t>
      </w:r>
      <w:r>
        <w:rPr>
          <w:b/>
        </w:rPr>
        <w:t xml:space="preserve">Save a draft: </w:t>
      </w:r>
      <w:r>
        <w:rPr/>
        <w:t xml:space="preserve">The draft records provider, model, confidence and knowledge document IDs.</w:t>
      </w:r>
    </w:p>
    <w:p>
      <w:pPr>
        <w:pStyle w:val="Normal"/>
        <w:ind w:left="400" w:hanging="300"/>
        <w:spacing w:after="85"/>
      </w:pPr>
      <w:r>
        <w:rPr>
          <w:b/>
          <w:color w:val="2563EB"/>
        </w:rPr>
        <w:t xml:space="preserve">6.  </w:t>
      </w:r>
      <w:r>
        <w:rPr>
          <w:b/>
        </w:rPr>
        <w:t xml:space="preserve">Human reviews: </w:t>
      </w:r>
      <w:r>
        <w:rPr/>
        <w:t xml:space="preserve">Approval queues it; rejection records a rejection. Approval never means automatic delivery unless an explicit omnichannel instruction exists.</w:t>
      </w:r>
    </w:p>
    <w:p>
      <w:pPr>
        <w:pStyle w:val="Normal"/>
        <w:pBdr>
          <w:left w:val="single" w:sz="18" w:space="8" w:color="2563EB"/>
        </w:pBdr>
        <w:shd w:val="clear" w:color="auto" w:fill="F5F3FF"/>
        <w:spacing w:after="90"/>
      </w:pPr>
      <w:r>
        <w:rPr>
          <w:b/>
        </w:rPr>
        <w:t xml:space="preserve">The AI is an assistant. It cannot approve its own answer, bypass consent or pretend a message was delivered.</w:t>
      </w:r>
    </w:p>
    <w:p>
      <w:pPr>
        <w:pStyle w:val="Heading1"/>
        <w:spacing w:after="90"/>
      </w:pPr>
      <w:r>
        <w:rPr/>
        <w:t xml:space="preserve">Flow 4 — Existing data from Tally, BUSY, Gati or another database</w:t>
      </w:r>
    </w:p>
    <w:tbl>
      <w:tblPr>
        <w:tblW w:w="9300" w:type="dxa"/>
        <w:tblLayout w:type="fixed"/>
      </w:tblPr>
      <w:tblGrid>
        <w:gridCol w:w="9300"/>
      </w:tblGrid>
      <w:tr>
        <w:tc>
          <w:tcPr>
            <w:tcW w:w="9300" w:type="dxa"/>
            <w:shd w:val="clear" w:fill="FEF3C7"/>
            <w:tcMar>
              <w:top w:w="120" w:type="dxa"/>
              <w:left w:w="120" w:type="dxa"/>
              <w:bottom w:w="120" w:type="dxa"/>
              <w:right w:w="120" w:type="dxa"/>
            </w:tcMar>
          </w:tcPr>
          <w:p>
            <w:pPr>
              <w:jc w:val="center"/>
              <w:spacing w:after="0"/>
            </w:pPr>
            <w:r>
              <w:rPr>
                <w:b/>
                <w:color w:val="172554"/>
                <w:sz w:val="20"/>
                <w:szCs w:val="20"/>
              </w:rPr>
              <w:t xml:space="preserve">Client’s software
Read-only access</w:t>
            </w:r>
          </w:p>
        </w:tc>
      </w:tr>
    </w:tbl>
    <w:p>
      <w:pPr>
        <w:pStyle w:val="Normal"/>
        <w:jc w:val="center"/>
        <w:spacing w:after="20"/>
      </w:pPr>
      <w:r>
        <w:rPr>
          <w:b/>
          <w:color w:val="2563EB"/>
          <w:sz w:val="28"/>
          <w:szCs w:val="28"/>
        </w:rPr>
        <w:t xml:space="preserve">↓</w:t>
      </w:r>
    </w:p>
    <w:tbl>
      <w:tblPr>
        <w:tblW w:w="9300" w:type="dxa"/>
        <w:tblLayout w:type="fixed"/>
      </w:tblPr>
      <w:tblGrid>
        <w:gridCol w:w="9300"/>
      </w:tblGrid>
      <w:tr>
        <w:tc>
          <w:tcPr>
            <w:tcW w:w="9300" w:type="dxa"/>
            <w:shd w:val="clear" w:fill="E0F2FE"/>
            <w:tcMar>
              <w:top w:w="120" w:type="dxa"/>
              <w:left w:w="120" w:type="dxa"/>
              <w:bottom w:w="120" w:type="dxa"/>
              <w:right w:w="120" w:type="dxa"/>
            </w:tcMar>
          </w:tcPr>
          <w:p>
            <w:pPr>
              <w:jc w:val="center"/>
              <w:spacing w:after="0"/>
            </w:pPr>
            <w:r>
              <w:rPr>
                <w:b/>
                <w:color w:val="172554"/>
                <w:sz w:val="20"/>
                <w:szCs w:val="20"/>
              </w:rPr>
              <w:t xml:space="preserve">CaratOS Connect Agent
Runs inside client network</w:t>
            </w:r>
          </w:p>
        </w:tc>
      </w:tr>
    </w:tbl>
    <w:p>
      <w:pPr>
        <w:pStyle w:val="Normal"/>
        <w:jc w:val="center"/>
        <w:spacing w:after="20"/>
      </w:pPr>
      <w:r>
        <w:rPr>
          <w:b/>
          <w:color w:val="2563EB"/>
          <w:sz w:val="28"/>
          <w:szCs w:val="28"/>
        </w:rPr>
        <w:t xml:space="preserve">↓</w:t>
      </w:r>
    </w:p>
    <w:tbl>
      <w:tblPr>
        <w:tblW w:w="9300" w:type="dxa"/>
        <w:tblLayout w:type="fixed"/>
      </w:tblPr>
      <w:tblGrid>
        <w:gridCol w:w="9300"/>
      </w:tblGrid>
      <w:tr>
        <w:tc>
          <w:tcPr>
            <w:tcW w:w="9300" w:type="dxa"/>
            <w:shd w:val="clear" w:fill="DBEAFE"/>
            <w:tcMar>
              <w:top w:w="120" w:type="dxa"/>
              <w:left w:w="120" w:type="dxa"/>
              <w:bottom w:w="120" w:type="dxa"/>
              <w:right w:w="120" w:type="dxa"/>
            </w:tcMar>
          </w:tcPr>
          <w:p>
            <w:pPr>
              <w:jc w:val="center"/>
              <w:spacing w:after="0"/>
            </w:pPr>
            <w:r>
              <w:rPr>
                <w:b/>
                <w:color w:val="172554"/>
                <w:sz w:val="20"/>
                <w:szCs w:val="20"/>
              </w:rPr>
              <w:t xml:space="preserve">Outbound encrypted HTTPS
No incoming database port</w:t>
            </w:r>
          </w:p>
        </w:tc>
      </w:tr>
    </w:tbl>
    <w:p>
      <w:pPr>
        <w:pStyle w:val="Normal"/>
        <w:jc w:val="center"/>
        <w:spacing w:after="20"/>
      </w:pPr>
      <w:r>
        <w:rPr>
          <w:b/>
          <w:color w:val="2563EB"/>
          <w:sz w:val="28"/>
          <w:szCs w:val="28"/>
        </w:rPr>
        <w:t xml:space="preserve">↓</w:t>
      </w:r>
    </w:p>
    <w:tbl>
      <w:tblPr>
        <w:tblW w:w="9300" w:type="dxa"/>
        <w:tblLayout w:type="fixed"/>
      </w:tblPr>
      <w:tblGrid>
        <w:gridCol w:w="9300"/>
      </w:tblGrid>
      <w:tr>
        <w:tc>
          <w:tcPr>
            <w:tcW w:w="9300" w:type="dxa"/>
            <w:shd w:val="clear" w:fill="EDE9FE"/>
            <w:tcMar>
              <w:top w:w="120" w:type="dxa"/>
              <w:left w:w="120" w:type="dxa"/>
              <w:bottom w:w="120" w:type="dxa"/>
              <w:right w:w="120" w:type="dxa"/>
            </w:tcMar>
          </w:tcPr>
          <w:p>
            <w:pPr>
              <w:jc w:val="center"/>
              <w:spacing w:after="0"/>
            </w:pPr>
            <w:r>
              <w:rPr>
                <w:b/>
                <w:color w:val="172554"/>
                <w:sz w:val="20"/>
                <w:szCs w:val="20"/>
              </w:rPr>
              <w:t xml:space="preserve">Preview + mapping + duplicate checks</w:t>
            </w:r>
          </w:p>
        </w:tc>
      </w:tr>
    </w:tbl>
    <w:p>
      <w:pPr>
        <w:pStyle w:val="Normal"/>
        <w:jc w:val="center"/>
        <w:spacing w:after="20"/>
      </w:pPr>
      <w:r>
        <w:rPr>
          <w:b/>
          <w:color w:val="2563EB"/>
          <w:sz w:val="28"/>
          <w:szCs w:val="28"/>
        </w:rPr>
        <w:t xml:space="preserve">↓</w:t>
      </w:r>
    </w:p>
    <w:tbl>
      <w:tblPr>
        <w:tblW w:w="9300" w:type="dxa"/>
        <w:tblLayout w:type="fixed"/>
      </w:tblPr>
      <w:tblGrid>
        <w:gridCol w:w="9300"/>
      </w:tblGrid>
      <w:tr>
        <w:tc>
          <w:tcPr>
            <w:tcW w:w="9300" w:type="dxa"/>
            <w:shd w:val="clear" w:fill="DCFCE7"/>
            <w:tcMar>
              <w:top w:w="120" w:type="dxa"/>
              <w:left w:w="120" w:type="dxa"/>
              <w:bottom w:w="120" w:type="dxa"/>
              <w:right w:w="120" w:type="dxa"/>
            </w:tcMar>
          </w:tcPr>
          <w:p>
            <w:pPr>
              <w:jc w:val="center"/>
              <w:spacing w:after="0"/>
            </w:pPr>
            <w:r>
              <w:rPr>
                <w:b/>
                <w:color w:val="172554"/>
                <w:sz w:val="20"/>
                <w:szCs w:val="20"/>
              </w:rPr>
              <w:t xml:space="preserve">Approved sync into neutral CaratOS records</w:t>
            </w:r>
          </w:p>
        </w:tc>
      </w:tr>
    </w:tbl>
    <w:p>
      <w:pPr>
        <w:pStyle w:val="Normal"/>
        <w:ind w:left="400" w:hanging="240"/>
        <w:spacing w:after="55"/>
      </w:pPr>
      <w:r>
        <w:rPr/>
        <w:t xml:space="preserve">•  CaratOS does not directly open the client’s database to the internet.</w:t>
      </w:r>
    </w:p>
    <w:p>
      <w:pPr>
        <w:pStyle w:val="Normal"/>
        <w:ind w:left="400" w:hanging="240"/>
        <w:spacing w:after="55"/>
      </w:pPr>
      <w:r>
        <w:rPr/>
        <w:t xml:space="preserve">•  The agent reads through a client-approved, preferably read-only account.</w:t>
      </w:r>
    </w:p>
    <w:p>
      <w:pPr>
        <w:pStyle w:val="Normal"/>
        <w:ind w:left="400" w:hanging="240"/>
        <w:spacing w:after="55"/>
      </w:pPr>
      <w:r>
        <w:rPr/>
        <w:t xml:space="preserve">•  Every client can have its own mapping profile without changing the universal CRM.</w:t>
      </w:r>
    </w:p>
    <w:p>
      <w:pPr>
        <w:pStyle w:val="Normal"/>
        <w:ind w:left="400" w:hanging="240"/>
        <w:spacing w:after="55"/>
      </w:pPr>
      <w:r>
        <w:rPr/>
        <w:t xml:space="preserve">•  Tally/BUSY starter profiles currently focus on customers and products; more entities are enabled only after real-client mapping.</w:t>
      </w:r>
    </w:p>
    <w:p>
      <w:pPr>
        <w:pStyle w:val="Normal"/>
        <w:ind w:left="400" w:hanging="240"/>
        <w:spacing w:after="55"/>
      </w:pPr>
      <w:r>
        <w:rPr/>
        <w:t xml:space="preserve">•  If no supported software exists, CSV/Excel upload is the fallback.</w:t>
      </w:r>
    </w:p>
    <w:p>
      <w:pPr>
        <w:pStyle w:val="Normal"/>
        <w:ind w:left="400" w:hanging="240"/>
        <w:spacing w:after="55"/>
      </w:pPr>
      <w:r>
        <w:rPr/>
        <w:t xml:space="preserve">•  Preview and reconciliation happen before automatic schedules are enabled.</w:t>
      </w:r>
    </w:p>
    <w:p>
      <w:pPr>
        <w:pStyle w:val="Heading1"/>
        <w:spacing w:after="90"/>
      </w:pPr>
      <w:r>
        <w:rPr/>
        <w:t xml:space="preserve">Flow 5 — How ROAS is calculated</w:t>
      </w:r>
    </w:p>
    <w:tbl>
      <w:tblPr>
        <w:tblW w:w="9300" w:type="dxa"/>
        <w:tblLayout w:type="fixed"/>
      </w:tblPr>
      <w:tblGrid>
        <w:gridCol w:w="3100"/>
        <w:gridCol w:w="3100"/>
        <w:gridCol w:w="3100"/>
      </w:tblGrid>
      <w:tr>
        <w:tc>
          <w:tcPr>
            <w:tcW w:w="3100" w:type="dxa"/>
            <w:shd w:val="clear" w:fill="FEF3C7"/>
            <w:tcMar>
              <w:top w:w="120" w:type="dxa"/>
              <w:left w:w="120" w:type="dxa"/>
              <w:bottom w:w="120" w:type="dxa"/>
              <w:right w:w="120" w:type="dxa"/>
            </w:tcMar>
          </w:tcPr>
          <w:p>
            <w:pPr>
              <w:jc w:val="center"/>
              <w:spacing w:after="0"/>
            </w:pPr>
            <w:r>
              <w:rPr>
                <w:b/>
                <w:color w:val="172554"/>
                <w:sz w:val="20"/>
                <w:szCs w:val="20"/>
              </w:rPr>
              <w:t xml:space="preserve">Meta Ads Insights
Measured spend</w:t>
            </w:r>
          </w:p>
        </w:tc>
        <w:tc>
          <w:tcPr>
            <w:tcW w:w="3100" w:type="dxa"/>
            <w:shd w:val="clear" w:fill="DBEAFE"/>
            <w:tcMar>
              <w:top w:w="120" w:type="dxa"/>
              <w:left w:w="120" w:type="dxa"/>
              <w:bottom w:w="120" w:type="dxa"/>
              <w:right w:w="120" w:type="dxa"/>
            </w:tcMar>
          </w:tcPr>
          <w:p>
            <w:pPr>
              <w:jc w:val="center"/>
              <w:spacing w:after="0"/>
            </w:pPr>
            <w:r>
              <w:rPr>
                <w:b/>
                <w:color w:val="172554"/>
                <w:sz w:val="20"/>
                <w:szCs w:val="20"/>
              </w:rPr>
              <w:t xml:space="preserve">CRM attribution
Which ad brought the lead</w:t>
            </w:r>
          </w:p>
        </w:tc>
        <w:tc>
          <w:tcPr>
            <w:tcW w:w="3100" w:type="dxa"/>
            <w:shd w:val="clear" w:fill="DCFCE7"/>
            <w:tcMar>
              <w:top w:w="120" w:type="dxa"/>
              <w:left w:w="120" w:type="dxa"/>
              <w:bottom w:w="120" w:type="dxa"/>
              <w:right w:w="120" w:type="dxa"/>
            </w:tcMar>
          </w:tcPr>
          <w:p>
            <w:pPr>
              <w:jc w:val="center"/>
              <w:spacing w:after="0"/>
            </w:pPr>
            <w:r>
              <w:rPr>
                <w:b/>
                <w:color w:val="172554"/>
                <w:sz w:val="20"/>
                <w:szCs w:val="20"/>
              </w:rPr>
              <w:t xml:space="preserve">Sales
Measured revenue</w:t>
            </w:r>
          </w:p>
        </w:tc>
      </w:tr>
    </w:tbl>
    <w:p>
      <w:pPr>
        <w:pStyle w:val="Normal"/>
        <w:jc w:val="center"/>
        <w:spacing w:after="20"/>
      </w:pPr>
      <w:r>
        <w:rPr>
          <w:b/>
          <w:color w:val="2563EB"/>
          <w:sz w:val="28"/>
          <w:szCs w:val="28"/>
        </w:rPr>
        <w:t xml:space="preserve">↓</w:t>
      </w:r>
    </w:p>
    <w:tbl>
      <w:tblPr>
        <w:tblW w:w="9300" w:type="dxa"/>
        <w:tblLayout w:type="fixed"/>
      </w:tblPr>
      <w:tblGrid>
        <w:gridCol w:w="9300"/>
      </w:tblGrid>
      <w:tr>
        <w:tc>
          <w:tcPr>
            <w:tcW w:w="9300" w:type="dxa"/>
            <w:shd w:val="clear" w:fill="FCE7F3"/>
            <w:tcMar>
              <w:top w:w="120" w:type="dxa"/>
              <w:left w:w="120" w:type="dxa"/>
              <w:bottom w:w="120" w:type="dxa"/>
              <w:right w:w="120" w:type="dxa"/>
            </w:tcMar>
          </w:tcPr>
          <w:p>
            <w:pPr>
              <w:jc w:val="center"/>
              <w:spacing w:after="0"/>
            </w:pPr>
            <w:r>
              <w:rPr>
                <w:b/>
                <w:color w:val="172554"/>
                <w:sz w:val="20"/>
                <w:szCs w:val="20"/>
              </w:rPr>
              <w:t xml:space="preserve">Coverage and currency checks</w:t>
            </w:r>
          </w:p>
        </w:tc>
      </w:tr>
    </w:tbl>
    <w:p>
      <w:pPr>
        <w:pStyle w:val="Normal"/>
        <w:jc w:val="center"/>
        <w:spacing w:after="20"/>
      </w:pPr>
      <w:r>
        <w:rPr>
          <w:b/>
          <w:color w:val="2563EB"/>
          <w:sz w:val="28"/>
          <w:szCs w:val="28"/>
        </w:rPr>
        <w:t xml:space="preserve">↓</w:t>
      </w:r>
    </w:p>
    <w:tbl>
      <w:tblPr>
        <w:tblW w:w="9300" w:type="dxa"/>
        <w:tblLayout w:type="fixed"/>
      </w:tblPr>
      <w:tblGrid>
        <w:gridCol w:w="9300"/>
      </w:tblGrid>
      <w:tr>
        <w:tc>
          <w:tcPr>
            <w:tcW w:w="9300" w:type="dxa"/>
            <w:shd w:val="clear" w:fill="E0F2FE"/>
            <w:tcMar>
              <w:top w:w="120" w:type="dxa"/>
              <w:left w:w="120" w:type="dxa"/>
              <w:bottom w:w="120" w:type="dxa"/>
              <w:right w:w="120" w:type="dxa"/>
            </w:tcMar>
          </w:tcPr>
          <w:p>
            <w:pPr>
              <w:jc w:val="center"/>
              <w:spacing w:after="0"/>
            </w:pPr>
            <w:r>
              <w:rPr>
                <w:b/>
                <w:color w:val="172554"/>
                <w:sz w:val="20"/>
                <w:szCs w:val="20"/>
              </w:rPr>
              <w:t xml:space="preserve">Spend • Revenue • Cost per lead • ROAS</w:t>
            </w:r>
          </w:p>
        </w:tc>
      </w:tr>
    </w:tbl>
    <w:p>
      <w:pPr>
        <w:pStyle w:val="Normal"/>
        <w:ind w:left="400" w:hanging="240"/>
        <w:spacing w:after="55"/>
      </w:pPr>
      <w:r>
        <w:rPr/>
        <w:t xml:space="preserve">•  Declared campaign budget is not the same as measured provider spend.</w:t>
      </w:r>
    </w:p>
    <w:p>
      <w:pPr>
        <w:pStyle w:val="Normal"/>
        <w:ind w:left="400" w:hanging="240"/>
        <w:spacing w:after="55"/>
      </w:pPr>
      <w:r>
        <w:rPr/>
        <w:t xml:space="preserve">•  If any date is missing, the report must say incomplete instead of showing a confident ROAS.</w:t>
      </w:r>
    </w:p>
    <w:p>
      <w:pPr>
        <w:pStyle w:val="Normal"/>
        <w:ind w:left="400" w:hanging="240"/>
        <w:spacing w:after="55"/>
      </w:pPr>
      <w:r>
        <w:rPr/>
        <w:t xml:space="preserve">•  If spend and revenue use different currencies, the report must say unavailable unless a dated exchange-rate source exists.</w:t>
      </w:r>
    </w:p>
    <w:p>
      <w:pPr>
        <w:pStyle w:val="Normal"/>
        <w:ind w:left="400" w:hanging="240"/>
        <w:spacing w:after="55"/>
      </w:pPr>
      <w:r>
        <w:rPr/>
        <w:t xml:space="preserve">•  First-touch and last-touch are different views; the selected method must be visible.</w:t>
      </w:r>
    </w:p>
    <w:p>
      <w:pPr>
        <w:pStyle w:val="Heading1"/>
        <w:spacing w:after="90"/>
      </w:pPr>
      <w:r>
        <w:rPr/>
        <w:t xml:space="preserve">Flow 6 — PDF/DOC company knowledge</w:t>
      </w:r>
    </w:p>
    <w:p>
      <w:pPr>
        <w:pStyle w:val="Normal"/>
        <w:ind w:left="400" w:hanging="300"/>
        <w:spacing w:after="85"/>
      </w:pPr>
      <w:r>
        <w:rPr>
          <w:b/>
          <w:color w:val="2563EB"/>
        </w:rPr>
        <w:t xml:space="preserve">1.  </w:t>
      </w:r>
      <w:r>
        <w:rPr>
          <w:b/>
        </w:rPr>
        <w:t xml:space="preserve">Upload: </w:t>
      </w:r>
      <w:r>
        <w:rPr/>
        <w:t xml:space="preserve">An authorised manager uploads a private company PDF or Word document.</w:t>
      </w:r>
    </w:p>
    <w:p>
      <w:pPr>
        <w:pStyle w:val="Normal"/>
        <w:ind w:left="400" w:hanging="300"/>
        <w:spacing w:after="85"/>
      </w:pPr>
      <w:r>
        <w:rPr>
          <w:b/>
          <w:color w:val="2563EB"/>
        </w:rPr>
        <w:t xml:space="preserve">2.  </w:t>
      </w:r>
      <w:r>
        <w:rPr>
          <w:b/>
        </w:rPr>
        <w:t xml:space="preserve">Store privately: </w:t>
      </w:r>
      <w:r>
        <w:rPr/>
        <w:t xml:space="preserve">The original file is kept in private storage, not a public uploads folder.</w:t>
      </w:r>
    </w:p>
    <w:p>
      <w:pPr>
        <w:pStyle w:val="Normal"/>
        <w:ind w:left="400" w:hanging="300"/>
        <w:spacing w:after="85"/>
      </w:pPr>
      <w:r>
        <w:rPr>
          <w:b/>
          <w:color w:val="2563EB"/>
        </w:rPr>
        <w:t xml:space="preserve">3.  </w:t>
      </w:r>
      <w:r>
        <w:rPr>
          <w:b/>
        </w:rPr>
        <w:t xml:space="preserve">Extract and split: </w:t>
      </w:r>
      <w:r>
        <w:rPr/>
        <w:t xml:space="preserve">Readable text is extracted and divided into small searchable sections.</w:t>
      </w:r>
    </w:p>
    <w:p>
      <w:pPr>
        <w:pStyle w:val="Normal"/>
        <w:ind w:left="400" w:hanging="300"/>
        <w:spacing w:after="85"/>
      </w:pPr>
      <w:r>
        <w:rPr>
          <w:b/>
          <w:color w:val="2563EB"/>
        </w:rPr>
        <w:t xml:space="preserve">4.  </w:t>
      </w:r>
      <w:r>
        <w:rPr>
          <w:b/>
        </w:rPr>
        <w:t xml:space="preserve">Search: </w:t>
      </w:r>
      <w:r>
        <w:rPr/>
        <w:t xml:space="preserve">When a customer asks something, CaratOS retrieves only relevant sections for that tenant.</w:t>
      </w:r>
    </w:p>
    <w:p>
      <w:pPr>
        <w:pStyle w:val="Normal"/>
        <w:ind w:left="400" w:hanging="300"/>
        <w:spacing w:after="85"/>
      </w:pPr>
      <w:r>
        <w:rPr>
          <w:b/>
          <w:color w:val="2563EB"/>
        </w:rPr>
        <w:t xml:space="preserve">5.  </w:t>
      </w:r>
      <w:r>
        <w:rPr>
          <w:b/>
        </w:rPr>
        <w:t xml:space="preserve">Draft: </w:t>
      </w:r>
      <w:r>
        <w:rPr/>
        <w:t xml:space="preserve">AI uses those sections to propose an answer and stores document IDs for traceability.</w:t>
      </w:r>
    </w:p>
    <w:p>
      <w:pPr>
        <w:pStyle w:val="Normal"/>
        <w:ind w:left="400" w:hanging="300"/>
        <w:spacing w:after="85"/>
      </w:pPr>
      <w:r>
        <w:rPr>
          <w:b/>
          <w:color w:val="2563EB"/>
        </w:rPr>
        <w:t xml:space="preserve">6.  </w:t>
      </w:r>
      <w:r>
        <w:rPr>
          <w:b/>
        </w:rPr>
        <w:t xml:space="preserve">Human review: </w:t>
      </w:r>
      <w:r>
        <w:rPr/>
        <w:t xml:space="preserve">A person approves or rejects the answer before any delivery instruction is created.</w:t>
      </w:r>
    </w:p>
    <w:p>
      <w:pPr>
        <w:pStyle w:val="Heading1"/>
        <w:spacing w:after="90"/>
      </w:pPr>
      <w:r>
        <w:rPr/>
        <w:t xml:space="preserve">How the same system works for many industries</w:t>
      </w:r>
    </w:p>
    <w:tbl>
      <w:tblPr>
        <w:tblW w:w="0" w:type="auto"/>
        <w:tblBorders>
          <w:top w:val="single" w:sz="5" w:color="CBD5E1"/>
          <w:left w:val="single" w:sz="5" w:color="CBD5E1"/>
          <w:bottom w:val="single" w:sz="5" w:color="CBD5E1"/>
          <w:right w:val="single" w:sz="5" w:color="CBD5E1"/>
          <w:insideH w:val="single" w:sz="4" w:color="E2E8F0"/>
          <w:insideV w:val="single" w:sz="4" w:color="E2E8F0"/>
        </w:tblBorders>
        <w:tblLayout w:type="fixed"/>
      </w:tblPr>
      <w:tblGrid>
        <w:gridCol w:w="2600"/>
        <w:gridCol w:w="3200"/>
        <w:gridCol w:w="3500"/>
      </w:tblGrid>
      <w:tr>
        <w:tc>
          <w:tcPr>
            <w:tcW w:w="2600" w:type="dxa"/>
            <w:shd w:val="clear" w:fill="172554"/>
            <w:tcMar>
              <w:top w:w="120" w:type="dxa"/>
              <w:left w:w="120" w:type="dxa"/>
              <w:bottom w:w="120" w:type="dxa"/>
              <w:right w:w="120" w:type="dxa"/>
            </w:tcMar>
          </w:tcPr>
          <w:p>
            <w:pPr>
              <w:spacing w:after="0"/>
            </w:pPr>
            <w:r>
              <w:rPr>
                <w:b/>
                <w:color w:val="FFFFFF"/>
                <w:sz w:val="20"/>
                <w:szCs w:val="20"/>
              </w:rPr>
              <w:t xml:space="preserve">Universal part</w:t>
            </w:r>
          </w:p>
        </w:tc>
        <w:tc>
          <w:tcPr>
            <w:tcW w:w="3200" w:type="dxa"/>
            <w:shd w:val="clear" w:fill="172554"/>
            <w:tcMar>
              <w:top w:w="120" w:type="dxa"/>
              <w:left w:w="120" w:type="dxa"/>
              <w:bottom w:w="120" w:type="dxa"/>
              <w:right w:w="120" w:type="dxa"/>
            </w:tcMar>
          </w:tcPr>
          <w:p>
            <w:pPr>
              <w:spacing w:after="0"/>
            </w:pPr>
            <w:r>
              <w:rPr>
                <w:b/>
                <w:color w:val="FFFFFF"/>
                <w:sz w:val="20"/>
                <w:szCs w:val="20"/>
              </w:rPr>
              <w:t xml:space="preserve">Changes by industry</w:t>
            </w:r>
          </w:p>
        </w:tc>
        <w:tc>
          <w:tcPr>
            <w:tcW w:w="3500" w:type="dxa"/>
            <w:shd w:val="clear" w:fill="172554"/>
            <w:tcMar>
              <w:top w:w="120" w:type="dxa"/>
              <w:left w:w="120" w:type="dxa"/>
              <w:bottom w:w="120" w:type="dxa"/>
              <w:right w:w="120" w:type="dxa"/>
            </w:tcMar>
          </w:tcPr>
          <w:p>
            <w:pPr>
              <w:spacing w:after="0"/>
            </w:pPr>
            <w:r>
              <w:rPr>
                <w:b/>
                <w:color w:val="FFFFFF"/>
                <w:sz w:val="20"/>
                <w:szCs w:val="20"/>
              </w:rPr>
              <w:t xml:space="preserve">Example</w:t>
            </w:r>
          </w:p>
        </w:tc>
      </w:tr>
      <w:tr>
        <w:tc>
          <w:tcPr>
            <w:tcW w:w="2600" w:type="dxa"/>
            <w:shd w:val="clear" w:fill="FFFFFF"/>
            <w:tcMar>
              <w:top w:w="120" w:type="dxa"/>
              <w:left w:w="120" w:type="dxa"/>
              <w:bottom w:w="120" w:type="dxa"/>
              <w:right w:w="120" w:type="dxa"/>
            </w:tcMar>
          </w:tcPr>
          <w:p>
            <w:pPr>
              <w:spacing w:after="0"/>
            </w:pPr>
            <w:r>
              <w:rPr>
                <w:color w:val="0F172A"/>
                <w:sz w:val="20"/>
                <w:szCs w:val="20"/>
              </w:rPr>
              <w:t xml:space="preserve">CRM, leads, conversations, AI, knowledge, attendance, catalogue and integrations</w:t>
            </w:r>
          </w:p>
        </w:tc>
        <w:tc>
          <w:tcPr>
            <w:tcW w:w="3200" w:type="dxa"/>
            <w:shd w:val="clear" w:fill="FFFFFF"/>
            <w:tcMar>
              <w:top w:w="120" w:type="dxa"/>
              <w:left w:w="120" w:type="dxa"/>
              <w:bottom w:w="120" w:type="dxa"/>
              <w:right w:w="120" w:type="dxa"/>
            </w:tcMar>
          </w:tcPr>
          <w:p>
            <w:pPr>
              <w:spacing w:after="0"/>
            </w:pPr>
            <w:r>
              <w:rPr>
                <w:color w:val="0F172A"/>
                <w:sz w:val="20"/>
                <w:szCs w:val="20"/>
              </w:rPr>
              <w:t xml:space="preserve">Labels, navigation, custom fields, funnel stages and optional modules</w:t>
            </w:r>
          </w:p>
        </w:tc>
        <w:tc>
          <w:tcPr>
            <w:tcW w:w="3500" w:type="dxa"/>
            <w:shd w:val="clear" w:fill="FFFFFF"/>
            <w:tcMar>
              <w:top w:w="120" w:type="dxa"/>
              <w:left w:w="120" w:type="dxa"/>
              <w:bottom w:w="120" w:type="dxa"/>
              <w:right w:w="120" w:type="dxa"/>
            </w:tcMar>
          </w:tcPr>
          <w:p>
            <w:pPr>
              <w:spacing w:after="0"/>
            </w:pPr>
            <w:r>
              <w:rPr>
                <w:color w:val="0F172A"/>
                <w:sz w:val="20"/>
                <w:szCs w:val="20"/>
              </w:rPr>
              <w:t xml:space="preserve">Healthcare shows Patient/Service/Branch; manufacturing shows Account/Item/Plant.</w:t>
            </w:r>
          </w:p>
        </w:tc>
      </w:tr>
      <w:tr>
        <w:tc>
          <w:tcPr>
            <w:tcW w:w="2600" w:type="dxa"/>
            <w:shd w:val="clear" w:fill="F8FAFC"/>
            <w:tcMar>
              <w:top w:w="120" w:type="dxa"/>
              <w:left w:w="120" w:type="dxa"/>
              <w:bottom w:w="120" w:type="dxa"/>
              <w:right w:w="120" w:type="dxa"/>
            </w:tcMar>
          </w:tcPr>
          <w:p>
            <w:pPr>
              <w:spacing w:after="0"/>
            </w:pPr>
            <w:r>
              <w:rPr>
                <w:color w:val="0F172A"/>
                <w:sz w:val="20"/>
                <w:szCs w:val="20"/>
              </w:rPr>
              <w:t xml:space="preserve">Neutral product/customer data</w:t>
            </w:r>
          </w:p>
        </w:tc>
        <w:tc>
          <w:tcPr>
            <w:tcW w:w="3200" w:type="dxa"/>
            <w:shd w:val="clear" w:fill="F8FAFC"/>
            <w:tcMar>
              <w:top w:w="120" w:type="dxa"/>
              <w:left w:w="120" w:type="dxa"/>
              <w:bottom w:w="120" w:type="dxa"/>
              <w:right w:w="120" w:type="dxa"/>
            </w:tcMar>
          </w:tcPr>
          <w:p>
            <w:pPr>
              <w:spacing w:after="0"/>
            </w:pPr>
            <w:r>
              <w:rPr>
                <w:color w:val="0F172A"/>
                <w:sz w:val="20"/>
                <w:szCs w:val="20"/>
              </w:rPr>
              <w:t xml:space="preserve">Industry-specific attributes</w:t>
            </w:r>
          </w:p>
        </w:tc>
        <w:tc>
          <w:tcPr>
            <w:tcW w:w="3500" w:type="dxa"/>
            <w:shd w:val="clear" w:fill="F8FAFC"/>
            <w:tcMar>
              <w:top w:w="120" w:type="dxa"/>
              <w:left w:w="120" w:type="dxa"/>
              <w:bottom w:w="120" w:type="dxa"/>
              <w:right w:w="120" w:type="dxa"/>
            </w:tcMar>
          </w:tcPr>
          <w:p>
            <w:pPr>
              <w:spacing w:after="0"/>
            </w:pPr>
            <w:r>
              <w:rPr>
                <w:color w:val="0F172A"/>
                <w:sz w:val="20"/>
                <w:szCs w:val="20"/>
              </w:rPr>
              <w:t xml:space="preserve">A jewellery product may have karat; a textile item may have GSM; a clinic service may have duration.</w:t>
            </w:r>
          </w:p>
        </w:tc>
      </w:tr>
      <w:tr>
        <w:tc>
          <w:tcPr>
            <w:tcW w:w="2600" w:type="dxa"/>
            <w:shd w:val="clear" w:fill="FFFFFF"/>
            <w:tcMar>
              <w:top w:w="120" w:type="dxa"/>
              <w:left w:w="120" w:type="dxa"/>
              <w:bottom w:w="120" w:type="dxa"/>
              <w:right w:w="120" w:type="dxa"/>
            </w:tcMar>
          </w:tcPr>
          <w:p>
            <w:pPr>
              <w:spacing w:after="0"/>
            </w:pPr>
            <w:r>
              <w:rPr>
                <w:color w:val="0F172A"/>
                <w:sz w:val="20"/>
                <w:szCs w:val="20"/>
              </w:rPr>
              <w:t xml:space="preserve">Same integration framework</w:t>
            </w:r>
          </w:p>
        </w:tc>
        <w:tc>
          <w:tcPr>
            <w:tcW w:w="3200" w:type="dxa"/>
            <w:shd w:val="clear" w:fill="FFFFFF"/>
            <w:tcMar>
              <w:top w:w="120" w:type="dxa"/>
              <w:left w:w="120" w:type="dxa"/>
              <w:bottom w:w="120" w:type="dxa"/>
              <w:right w:w="120" w:type="dxa"/>
            </w:tcMar>
          </w:tcPr>
          <w:p>
            <w:pPr>
              <w:spacing w:after="0"/>
            </w:pPr>
            <w:r>
              <w:rPr>
                <w:color w:val="0F172A"/>
                <w:sz w:val="20"/>
                <w:szCs w:val="20"/>
              </w:rPr>
              <w:t xml:space="preserve">Client connector and mapping profile</w:t>
            </w:r>
          </w:p>
        </w:tc>
        <w:tc>
          <w:tcPr>
            <w:tcW w:w="3500" w:type="dxa"/>
            <w:shd w:val="clear" w:fill="FFFFFF"/>
            <w:tcMar>
              <w:top w:w="120" w:type="dxa"/>
              <w:left w:w="120" w:type="dxa"/>
              <w:bottom w:w="120" w:type="dxa"/>
              <w:right w:w="120" w:type="dxa"/>
            </w:tcMar>
          </w:tcPr>
          <w:p>
            <w:pPr>
              <w:spacing w:after="0"/>
            </w:pPr>
            <w:r>
              <w:rPr>
                <w:color w:val="0F172A"/>
                <w:sz w:val="20"/>
                <w:szCs w:val="20"/>
              </w:rPr>
              <w:t xml:space="preserve">One client uses BUSY, another Tally, another CSV or ODBC.</w:t>
            </w:r>
          </w:p>
        </w:tc>
      </w:tr>
      <w:tr>
        <w:tc>
          <w:tcPr>
            <w:tcW w:w="2600" w:type="dxa"/>
            <w:shd w:val="clear" w:fill="F8FAFC"/>
            <w:tcMar>
              <w:top w:w="120" w:type="dxa"/>
              <w:left w:w="120" w:type="dxa"/>
              <w:bottom w:w="120" w:type="dxa"/>
              <w:right w:w="120" w:type="dxa"/>
            </w:tcMar>
          </w:tcPr>
          <w:p>
            <w:pPr>
              <w:spacing w:after="0"/>
            </w:pPr>
            <w:r>
              <w:rPr>
                <w:color w:val="0F172A"/>
                <w:sz w:val="20"/>
                <w:szCs w:val="20"/>
              </w:rPr>
              <w:t xml:space="preserve">Éclat vertical pack</w:t>
            </w:r>
          </w:p>
        </w:tc>
        <w:tc>
          <w:tcPr>
            <w:tcW w:w="3200" w:type="dxa"/>
            <w:shd w:val="clear" w:fill="F8FAFC"/>
            <w:tcMar>
              <w:top w:w="120" w:type="dxa"/>
              <w:left w:w="120" w:type="dxa"/>
              <w:bottom w:w="120" w:type="dxa"/>
              <w:right w:w="120" w:type="dxa"/>
            </w:tcMar>
          </w:tcPr>
          <w:p>
            <w:pPr>
              <w:spacing w:after="0"/>
            </w:pPr>
            <w:r>
              <w:rPr>
                <w:color w:val="0F172A"/>
                <w:sz w:val="20"/>
                <w:szCs w:val="20"/>
              </w:rPr>
              <w:t xml:space="preserve">Keeps jewellery operations and branding</w:t>
            </w:r>
          </w:p>
        </w:tc>
        <w:tc>
          <w:tcPr>
            <w:tcW w:w="3500" w:type="dxa"/>
            <w:shd w:val="clear" w:fill="F8FAFC"/>
            <w:tcMar>
              <w:top w:w="120" w:type="dxa"/>
              <w:left w:w="120" w:type="dxa"/>
              <w:bottom w:w="120" w:type="dxa"/>
              <w:right w:w="120" w:type="dxa"/>
            </w:tcMar>
          </w:tcPr>
          <w:p>
            <w:pPr>
              <w:spacing w:after="0"/>
            </w:pPr>
            <w:r>
              <w:rPr>
                <w:color w:val="0F172A"/>
                <w:sz w:val="20"/>
                <w:szCs w:val="20"/>
              </w:rPr>
              <w:t xml:space="preserve">Existing jewellery screens continue while universal modules remain reusable.</w:t>
            </w:r>
          </w:p>
        </w:tc>
      </w:tr>
    </w:tbl>
    <w:p>
      <w:pPr>
        <w:pStyle w:val="Normal"/>
        <w:pBdr>
          <w:left w:val="single" w:sz="18" w:space="8" w:color="2563EB"/>
        </w:pBdr>
        <w:shd w:val="clear" w:color="auto" w:fill="FFFBEB"/>
        <w:spacing w:after="90"/>
      </w:pPr>
      <w:r>
        <w:rPr>
          <w:b/>
        </w:rPr>
        <w:t xml:space="preserve">Navigation hiding is not security. The backend also checks whether the tenant is entitled to a module and whether the user can access the organisation/store.</w:t>
      </w:r>
    </w:p>
    <w:p>
      <w:pPr>
        <w:pStyle w:val="Heading1"/>
        <w:spacing w:after="90"/>
      </w:pPr>
      <w:r>
        <w:rPr/>
        <w:t xml:space="preserve">How company data stays separate</w:t>
      </w:r>
    </w:p>
    <w:p>
      <w:pPr>
        <w:pStyle w:val="Normal"/>
        <w:ind w:left="400" w:hanging="240"/>
        <w:spacing w:after="55"/>
      </w:pPr>
      <w:r>
        <w:rPr/>
        <w:t xml:space="preserve">•  Every important record carries an organisation (tenant) ID.</w:t>
      </w:r>
    </w:p>
    <w:p>
      <w:pPr>
        <w:pStyle w:val="Normal"/>
        <w:ind w:left="400" w:hanging="240"/>
        <w:spacing w:after="55"/>
      </w:pPr>
      <w:r>
        <w:rPr/>
        <w:t xml:space="preserve">•  The signed-in user’s organisation comes from the database, not from a request field.</w:t>
      </w:r>
    </w:p>
    <w:p>
      <w:pPr>
        <w:pStyle w:val="Normal"/>
        <w:ind w:left="400" w:hanging="240"/>
        <w:spacing w:after="55"/>
      </w:pPr>
      <w:r>
        <w:rPr/>
        <w:t xml:space="preserve">•  Store-level users see only their assigned branches; central unassigned work is restricted.</w:t>
      </w:r>
    </w:p>
    <w:p>
      <w:pPr>
        <w:pStyle w:val="Normal"/>
        <w:ind w:left="400" w:hanging="240"/>
        <w:spacing w:after="55"/>
      </w:pPr>
      <w:r>
        <w:rPr/>
        <w:t xml:space="preserve">•  Provider assets such as Page ID and Phone Number ID can have only one active owner.</w:t>
      </w:r>
    </w:p>
    <w:p>
      <w:pPr>
        <w:pStyle w:val="Normal"/>
        <w:ind w:left="400" w:hanging="240"/>
        <w:spacing w:after="55"/>
      </w:pPr>
      <w:r>
        <w:rPr/>
        <w:t xml:space="preserve">•  Integration secrets are encrypted and never returned by an API.</w:t>
      </w:r>
    </w:p>
    <w:p>
      <w:pPr>
        <w:pStyle w:val="Normal"/>
        <w:ind w:left="400" w:hanging="240"/>
        <w:spacing w:after="55"/>
      </w:pPr>
      <w:r>
        <w:rPr/>
        <w:t xml:space="preserve">•  Machine/connector accounts can reach only explicitly allowed ingestion routes.</w:t>
      </w:r>
    </w:p>
    <w:p>
      <w:pPr>
        <w:pStyle w:val="Normal"/>
        <w:ind w:left="400" w:hanging="240"/>
        <w:spacing w:after="55"/>
      </w:pPr>
      <w:r>
        <w:rPr/>
        <w:t xml:space="preserve">•  Sensitive decisions and automated assignments leave audit/activity evidence.</w:t>
      </w:r>
    </w:p>
    <w:p>
      <w:pPr>
        <w:pStyle w:val="Heading1"/>
        <w:spacing w:after="90"/>
      </w:pPr>
      <w:r>
        <w:rPr/>
        <w:t xml:space="preserve">What happens when something fails</w:t>
      </w:r>
    </w:p>
    <w:tbl>
      <w:tblPr>
        <w:tblW w:w="0" w:type="auto"/>
        <w:tblBorders>
          <w:top w:val="single" w:sz="5" w:color="CBD5E1"/>
          <w:left w:val="single" w:sz="5" w:color="CBD5E1"/>
          <w:bottom w:val="single" w:sz="5" w:color="CBD5E1"/>
          <w:right w:val="single" w:sz="5" w:color="CBD5E1"/>
          <w:insideH w:val="single" w:sz="4" w:color="E2E8F0"/>
          <w:insideV w:val="single" w:sz="4" w:color="E2E8F0"/>
        </w:tblBorders>
        <w:tblLayout w:type="fixed"/>
      </w:tblPr>
      <w:tblGrid>
        <w:gridCol w:w="2500"/>
        <w:gridCol w:w="4100"/>
        <w:gridCol w:w="2700"/>
      </w:tblGrid>
      <w:tr>
        <w:tc>
          <w:tcPr>
            <w:tcW w:w="2500" w:type="dxa"/>
            <w:shd w:val="clear" w:fill="172554"/>
            <w:tcMar>
              <w:top w:w="120" w:type="dxa"/>
              <w:left w:w="120" w:type="dxa"/>
              <w:bottom w:w="120" w:type="dxa"/>
              <w:right w:w="120" w:type="dxa"/>
            </w:tcMar>
          </w:tcPr>
          <w:p>
            <w:pPr>
              <w:spacing w:after="0"/>
            </w:pPr>
            <w:r>
              <w:rPr>
                <w:b/>
                <w:color w:val="FFFFFF"/>
                <w:sz w:val="20"/>
                <w:szCs w:val="20"/>
              </w:rPr>
              <w:t xml:space="preserve">Problem</w:t>
            </w:r>
          </w:p>
        </w:tc>
        <w:tc>
          <w:tcPr>
            <w:tcW w:w="4100" w:type="dxa"/>
            <w:shd w:val="clear" w:fill="172554"/>
            <w:tcMar>
              <w:top w:w="120" w:type="dxa"/>
              <w:left w:w="120" w:type="dxa"/>
              <w:bottom w:w="120" w:type="dxa"/>
              <w:right w:w="120" w:type="dxa"/>
            </w:tcMar>
          </w:tcPr>
          <w:p>
            <w:pPr>
              <w:spacing w:after="0"/>
            </w:pPr>
            <w:r>
              <w:rPr>
                <w:b/>
                <w:color w:val="FFFFFF"/>
                <w:sz w:val="20"/>
                <w:szCs w:val="20"/>
              </w:rPr>
              <w:t xml:space="preserve">System behaviour</w:t>
            </w:r>
          </w:p>
        </w:tc>
        <w:tc>
          <w:tcPr>
            <w:tcW w:w="2700" w:type="dxa"/>
            <w:shd w:val="clear" w:fill="172554"/>
            <w:tcMar>
              <w:top w:w="120" w:type="dxa"/>
              <w:left w:w="120" w:type="dxa"/>
              <w:bottom w:w="120" w:type="dxa"/>
              <w:right w:w="120" w:type="dxa"/>
            </w:tcMar>
          </w:tcPr>
          <w:p>
            <w:pPr>
              <w:spacing w:after="0"/>
            </w:pPr>
            <w:r>
              <w:rPr>
                <w:b/>
                <w:color w:val="FFFFFF"/>
                <w:sz w:val="20"/>
                <w:szCs w:val="20"/>
              </w:rPr>
              <w:t xml:space="preserve">What staff sees</w:t>
            </w:r>
          </w:p>
        </w:tc>
      </w:tr>
      <w:tr>
        <w:tc>
          <w:tcPr>
            <w:tcW w:w="2500" w:type="dxa"/>
            <w:shd w:val="clear" w:fill="FFFFFF"/>
            <w:tcMar>
              <w:top w:w="120" w:type="dxa"/>
              <w:left w:w="120" w:type="dxa"/>
              <w:bottom w:w="120" w:type="dxa"/>
              <w:right w:w="120" w:type="dxa"/>
            </w:tcMar>
          </w:tcPr>
          <w:p>
            <w:pPr>
              <w:spacing w:after="0"/>
            </w:pPr>
            <w:r>
              <w:rPr>
                <w:color w:val="0F172A"/>
                <w:sz w:val="20"/>
                <w:szCs w:val="20"/>
              </w:rPr>
              <w:t xml:space="preserve">Meta or WhatsApp is temporarily unavailable</w:t>
            </w:r>
          </w:p>
        </w:tc>
        <w:tc>
          <w:tcPr>
            <w:tcW w:w="4100" w:type="dxa"/>
            <w:shd w:val="clear" w:fill="FFFFFF"/>
            <w:tcMar>
              <w:top w:w="120" w:type="dxa"/>
              <w:left w:w="120" w:type="dxa"/>
              <w:bottom w:w="120" w:type="dxa"/>
              <w:right w:w="120" w:type="dxa"/>
            </w:tcMar>
          </w:tcPr>
          <w:p>
            <w:pPr>
              <w:spacing w:after="0"/>
            </w:pPr>
            <w:r>
              <w:rPr>
                <w:color w:val="0F172A"/>
                <w:sz w:val="20"/>
                <w:szCs w:val="20"/>
              </w:rPr>
              <w:t xml:space="preserve">Durable job retries with bounded backoff.</w:t>
            </w:r>
          </w:p>
        </w:tc>
        <w:tc>
          <w:tcPr>
            <w:tcW w:w="2700" w:type="dxa"/>
            <w:shd w:val="clear" w:fill="FFFFFF"/>
            <w:tcMar>
              <w:top w:w="120" w:type="dxa"/>
              <w:left w:w="120" w:type="dxa"/>
              <w:bottom w:w="120" w:type="dxa"/>
              <w:right w:w="120" w:type="dxa"/>
            </w:tcMar>
          </w:tcPr>
          <w:p>
            <w:pPr>
              <w:spacing w:after="0"/>
            </w:pPr>
            <w:r>
              <w:rPr>
                <w:color w:val="0F172A"/>
                <w:sz w:val="20"/>
                <w:szCs w:val="20"/>
              </w:rPr>
              <w:t xml:space="preserve">Queued/retrying; not falsely sent.</w:t>
            </w:r>
          </w:p>
        </w:tc>
      </w:tr>
      <w:tr>
        <w:tc>
          <w:tcPr>
            <w:tcW w:w="2500" w:type="dxa"/>
            <w:shd w:val="clear" w:fill="F8FAFC"/>
            <w:tcMar>
              <w:top w:w="120" w:type="dxa"/>
              <w:left w:w="120" w:type="dxa"/>
              <w:bottom w:w="120" w:type="dxa"/>
              <w:right w:w="120" w:type="dxa"/>
            </w:tcMar>
          </w:tcPr>
          <w:p>
            <w:pPr>
              <w:spacing w:after="0"/>
            </w:pPr>
            <w:r>
              <w:rPr>
                <w:color w:val="0F172A"/>
                <w:sz w:val="20"/>
                <w:szCs w:val="20"/>
              </w:rPr>
              <w:t xml:space="preserve">Retries are exhausted</w:t>
            </w:r>
          </w:p>
        </w:tc>
        <w:tc>
          <w:tcPr>
            <w:tcW w:w="4100" w:type="dxa"/>
            <w:shd w:val="clear" w:fill="F8FAFC"/>
            <w:tcMar>
              <w:top w:w="120" w:type="dxa"/>
              <w:left w:w="120" w:type="dxa"/>
              <w:bottom w:w="120" w:type="dxa"/>
              <w:right w:w="120" w:type="dxa"/>
            </w:tcMar>
          </w:tcPr>
          <w:p>
            <w:pPr>
              <w:spacing w:after="0"/>
            </w:pPr>
            <w:r>
              <w:rPr>
                <w:color w:val="0F172A"/>
                <w:sz w:val="20"/>
                <w:szCs w:val="20"/>
              </w:rPr>
              <w:t xml:space="preserve">Job becomes dead/failed and needs attention.</w:t>
            </w:r>
          </w:p>
        </w:tc>
        <w:tc>
          <w:tcPr>
            <w:tcW w:w="2700" w:type="dxa"/>
            <w:shd w:val="clear" w:fill="F8FAFC"/>
            <w:tcMar>
              <w:top w:w="120" w:type="dxa"/>
              <w:left w:w="120" w:type="dxa"/>
              <w:bottom w:w="120" w:type="dxa"/>
              <w:right w:w="120" w:type="dxa"/>
            </w:tcMar>
          </w:tcPr>
          <w:p>
            <w:pPr>
              <w:spacing w:after="0"/>
            </w:pPr>
            <w:r>
              <w:rPr>
                <w:color w:val="0F172A"/>
                <w:sz w:val="20"/>
                <w:szCs w:val="20"/>
              </w:rPr>
              <w:t xml:space="preserve">Failure reason and manual retry option.</w:t>
            </w:r>
          </w:p>
        </w:tc>
      </w:tr>
      <w:tr>
        <w:tc>
          <w:tcPr>
            <w:tcW w:w="2500" w:type="dxa"/>
            <w:shd w:val="clear" w:fill="FFFFFF"/>
            <w:tcMar>
              <w:top w:w="120" w:type="dxa"/>
              <w:left w:w="120" w:type="dxa"/>
              <w:bottom w:w="120" w:type="dxa"/>
              <w:right w:w="120" w:type="dxa"/>
            </w:tcMar>
          </w:tcPr>
          <w:p>
            <w:pPr>
              <w:spacing w:after="0"/>
            </w:pPr>
            <w:r>
              <w:rPr>
                <w:color w:val="0F172A"/>
                <w:sz w:val="20"/>
                <w:szCs w:val="20"/>
              </w:rPr>
              <w:t xml:space="preserve">Webhook is repeated</w:t>
            </w:r>
          </w:p>
        </w:tc>
        <w:tc>
          <w:tcPr>
            <w:tcW w:w="4100" w:type="dxa"/>
            <w:shd w:val="clear" w:fill="FFFFFF"/>
            <w:tcMar>
              <w:top w:w="120" w:type="dxa"/>
              <w:left w:w="120" w:type="dxa"/>
              <w:bottom w:w="120" w:type="dxa"/>
              <w:right w:w="120" w:type="dxa"/>
            </w:tcMar>
          </w:tcPr>
          <w:p>
            <w:pPr>
              <w:spacing w:after="0"/>
            </w:pPr>
            <w:r>
              <w:rPr>
                <w:color w:val="0F172A"/>
                <w:sz w:val="20"/>
                <w:szCs w:val="20"/>
              </w:rPr>
              <w:t xml:space="preserve">Idempotency key finds the existing event/work.</w:t>
            </w:r>
          </w:p>
        </w:tc>
        <w:tc>
          <w:tcPr>
            <w:tcW w:w="2700" w:type="dxa"/>
            <w:shd w:val="clear" w:fill="FFFFFF"/>
            <w:tcMar>
              <w:top w:w="120" w:type="dxa"/>
              <w:left w:w="120" w:type="dxa"/>
              <w:bottom w:w="120" w:type="dxa"/>
              <w:right w:w="120" w:type="dxa"/>
            </w:tcMar>
          </w:tcPr>
          <w:p>
            <w:pPr>
              <w:spacing w:after="0"/>
            </w:pPr>
            <w:r>
              <w:rPr>
                <w:color w:val="0F172A"/>
                <w:sz w:val="20"/>
                <w:szCs w:val="20"/>
              </w:rPr>
              <w:t xml:space="preserve">No duplicate customer, lead or message.</w:t>
            </w:r>
          </w:p>
        </w:tc>
      </w:tr>
      <w:tr>
        <w:tc>
          <w:tcPr>
            <w:tcW w:w="2500" w:type="dxa"/>
            <w:shd w:val="clear" w:fill="F8FAFC"/>
            <w:tcMar>
              <w:top w:w="120" w:type="dxa"/>
              <w:left w:w="120" w:type="dxa"/>
              <w:bottom w:w="120" w:type="dxa"/>
              <w:right w:w="120" w:type="dxa"/>
            </w:tcMar>
          </w:tcPr>
          <w:p>
            <w:pPr>
              <w:spacing w:after="0"/>
            </w:pPr>
            <w:r>
              <w:rPr>
                <w:color w:val="0F172A"/>
                <w:sz w:val="20"/>
                <w:szCs w:val="20"/>
              </w:rPr>
              <w:t xml:space="preserve">Webhook signature is invalid</w:t>
            </w:r>
          </w:p>
        </w:tc>
        <w:tc>
          <w:tcPr>
            <w:tcW w:w="4100" w:type="dxa"/>
            <w:shd w:val="clear" w:fill="F8FAFC"/>
            <w:tcMar>
              <w:top w:w="120" w:type="dxa"/>
              <w:left w:w="120" w:type="dxa"/>
              <w:bottom w:w="120" w:type="dxa"/>
              <w:right w:w="120" w:type="dxa"/>
            </w:tcMar>
          </w:tcPr>
          <w:p>
            <w:pPr>
              <w:spacing w:after="0"/>
            </w:pPr>
            <w:r>
              <w:rPr>
                <w:color w:val="0F172A"/>
                <w:sz w:val="20"/>
                <w:szCs w:val="20"/>
              </w:rPr>
              <w:t xml:space="preserve">Request is rejected and cannot write business data.</w:t>
            </w:r>
          </w:p>
        </w:tc>
        <w:tc>
          <w:tcPr>
            <w:tcW w:w="2700" w:type="dxa"/>
            <w:shd w:val="clear" w:fill="F8FAFC"/>
            <w:tcMar>
              <w:top w:w="120" w:type="dxa"/>
              <w:left w:w="120" w:type="dxa"/>
              <w:bottom w:w="120" w:type="dxa"/>
              <w:right w:w="120" w:type="dxa"/>
            </w:tcMar>
          </w:tcPr>
          <w:p>
            <w:pPr>
              <w:spacing w:after="0"/>
            </w:pPr>
            <w:r>
              <w:rPr>
                <w:color w:val="0F172A"/>
                <w:sz w:val="20"/>
                <w:szCs w:val="20"/>
              </w:rPr>
              <w:t xml:space="preserve">Security/operations event only.</w:t>
            </w:r>
          </w:p>
        </w:tc>
      </w:tr>
      <w:tr>
        <w:tc>
          <w:tcPr>
            <w:tcW w:w="2500" w:type="dxa"/>
            <w:shd w:val="clear" w:fill="FFFFFF"/>
            <w:tcMar>
              <w:top w:w="120" w:type="dxa"/>
              <w:left w:w="120" w:type="dxa"/>
              <w:bottom w:w="120" w:type="dxa"/>
              <w:right w:w="120" w:type="dxa"/>
            </w:tcMar>
          </w:tcPr>
          <w:p>
            <w:pPr>
              <w:spacing w:after="0"/>
            </w:pPr>
            <w:r>
              <w:rPr>
                <w:color w:val="0F172A"/>
                <w:sz w:val="20"/>
                <w:szCs w:val="20"/>
              </w:rPr>
              <w:t xml:space="preserve">Provider asset owner is missing or ambiguous</w:t>
            </w:r>
          </w:p>
        </w:tc>
        <w:tc>
          <w:tcPr>
            <w:tcW w:w="4100" w:type="dxa"/>
            <w:shd w:val="clear" w:fill="FFFFFF"/>
            <w:tcMar>
              <w:top w:w="120" w:type="dxa"/>
              <w:left w:w="120" w:type="dxa"/>
              <w:bottom w:w="120" w:type="dxa"/>
              <w:right w:w="120" w:type="dxa"/>
            </w:tcMar>
          </w:tcPr>
          <w:p>
            <w:pPr>
              <w:spacing w:after="0"/>
            </w:pPr>
            <w:r>
              <w:rPr>
                <w:color w:val="0F172A"/>
                <w:sz w:val="20"/>
                <w:szCs w:val="20"/>
              </w:rPr>
              <w:t xml:space="preserve">Processing fails closed; no tenant is guessed.</w:t>
            </w:r>
          </w:p>
        </w:tc>
        <w:tc>
          <w:tcPr>
            <w:tcW w:w="2700" w:type="dxa"/>
            <w:shd w:val="clear" w:fill="FFFFFF"/>
            <w:tcMar>
              <w:top w:w="120" w:type="dxa"/>
              <w:left w:w="120" w:type="dxa"/>
              <w:bottom w:w="120" w:type="dxa"/>
              <w:right w:w="120" w:type="dxa"/>
            </w:tcMar>
          </w:tcPr>
          <w:p>
            <w:pPr>
              <w:spacing w:after="0"/>
            </w:pPr>
            <w:r>
              <w:rPr>
                <w:color w:val="0F172A"/>
                <w:sz w:val="20"/>
                <w:szCs w:val="20"/>
              </w:rPr>
              <w:t xml:space="preserve">Needs integration setup review.</w:t>
            </w:r>
          </w:p>
        </w:tc>
      </w:tr>
      <w:tr>
        <w:tc>
          <w:tcPr>
            <w:tcW w:w="2500" w:type="dxa"/>
            <w:shd w:val="clear" w:fill="F8FAFC"/>
            <w:tcMar>
              <w:top w:w="120" w:type="dxa"/>
              <w:left w:w="120" w:type="dxa"/>
              <w:bottom w:w="120" w:type="dxa"/>
              <w:right w:w="120" w:type="dxa"/>
            </w:tcMar>
          </w:tcPr>
          <w:p>
            <w:pPr>
              <w:spacing w:after="0"/>
            </w:pPr>
            <w:r>
              <w:rPr>
                <w:color w:val="0F172A"/>
                <w:sz w:val="20"/>
                <w:szCs w:val="20"/>
              </w:rPr>
              <w:t xml:space="preserve">Knowledge is missing or AI is uncertain</w:t>
            </w:r>
          </w:p>
        </w:tc>
        <w:tc>
          <w:tcPr>
            <w:tcW w:w="4100" w:type="dxa"/>
            <w:shd w:val="clear" w:fill="F8FAFC"/>
            <w:tcMar>
              <w:top w:w="120" w:type="dxa"/>
              <w:left w:w="120" w:type="dxa"/>
              <w:bottom w:w="120" w:type="dxa"/>
              <w:right w:w="120" w:type="dxa"/>
            </w:tcMar>
          </w:tcPr>
          <w:p>
            <w:pPr>
              <w:spacing w:after="0"/>
            </w:pPr>
            <w:r>
              <w:rPr>
                <w:color w:val="0F172A"/>
                <w:sz w:val="20"/>
                <w:szCs w:val="20"/>
              </w:rPr>
              <w:t xml:space="preserve">No AI draft; conversation goes to a person.</w:t>
            </w:r>
          </w:p>
        </w:tc>
        <w:tc>
          <w:tcPr>
            <w:tcW w:w="2700" w:type="dxa"/>
            <w:shd w:val="clear" w:fill="F8FAFC"/>
            <w:tcMar>
              <w:top w:w="120" w:type="dxa"/>
              <w:left w:w="120" w:type="dxa"/>
              <w:bottom w:w="120" w:type="dxa"/>
              <w:right w:w="120" w:type="dxa"/>
            </w:tcMar>
          </w:tcPr>
          <w:p>
            <w:pPr>
              <w:spacing w:after="0"/>
            </w:pPr>
            <w:r>
              <w:rPr>
                <w:color w:val="0F172A"/>
                <w:sz w:val="20"/>
                <w:szCs w:val="20"/>
              </w:rPr>
              <w:t xml:space="preserve">Visible human queue and reason.</w:t>
            </w:r>
          </w:p>
        </w:tc>
      </w:tr>
      <w:tr>
        <w:tc>
          <w:tcPr>
            <w:tcW w:w="2500" w:type="dxa"/>
            <w:shd w:val="clear" w:fill="FFFFFF"/>
            <w:tcMar>
              <w:top w:w="120" w:type="dxa"/>
              <w:left w:w="120" w:type="dxa"/>
              <w:bottom w:w="120" w:type="dxa"/>
              <w:right w:w="120" w:type="dxa"/>
            </w:tcMar>
          </w:tcPr>
          <w:p>
            <w:pPr>
              <w:spacing w:after="0"/>
            </w:pPr>
            <w:r>
              <w:rPr>
                <w:color w:val="0F172A"/>
                <w:sz w:val="20"/>
                <w:szCs w:val="20"/>
              </w:rPr>
              <w:t xml:space="preserve">Consent is missing/revoked</w:t>
            </w:r>
          </w:p>
        </w:tc>
        <w:tc>
          <w:tcPr>
            <w:tcW w:w="4100" w:type="dxa"/>
            <w:shd w:val="clear" w:fill="FFFFFF"/>
            <w:tcMar>
              <w:top w:w="120" w:type="dxa"/>
              <w:left w:w="120" w:type="dxa"/>
              <w:bottom w:w="120" w:type="dxa"/>
              <w:right w:w="120" w:type="dxa"/>
            </w:tcMar>
          </w:tcPr>
          <w:p>
            <w:pPr>
              <w:spacing w:after="0"/>
            </w:pPr>
            <w:r>
              <w:rPr>
                <w:color w:val="0F172A"/>
                <w:sz w:val="20"/>
                <w:szCs w:val="20"/>
              </w:rPr>
              <w:t xml:space="preserve">Marketing send is blocked before provider call.</w:t>
            </w:r>
          </w:p>
        </w:tc>
        <w:tc>
          <w:tcPr>
            <w:tcW w:w="2700" w:type="dxa"/>
            <w:shd w:val="clear" w:fill="FFFFFF"/>
            <w:tcMar>
              <w:top w:w="120" w:type="dxa"/>
              <w:left w:w="120" w:type="dxa"/>
              <w:bottom w:w="120" w:type="dxa"/>
              <w:right w:w="120" w:type="dxa"/>
            </w:tcMar>
          </w:tcPr>
          <w:p>
            <w:pPr>
              <w:spacing w:after="0"/>
            </w:pPr>
            <w:r>
              <w:rPr>
                <w:color w:val="0F172A"/>
                <w:sz w:val="20"/>
                <w:szCs w:val="20"/>
              </w:rPr>
              <w:t xml:space="preserve">Clear policy reason.</w:t>
            </w:r>
          </w:p>
        </w:tc>
      </w:tr>
      <w:tr>
        <w:tc>
          <w:tcPr>
            <w:tcW w:w="2500" w:type="dxa"/>
            <w:shd w:val="clear" w:fill="F8FAFC"/>
            <w:tcMar>
              <w:top w:w="120" w:type="dxa"/>
              <w:left w:w="120" w:type="dxa"/>
              <w:bottom w:w="120" w:type="dxa"/>
              <w:right w:w="120" w:type="dxa"/>
            </w:tcMar>
          </w:tcPr>
          <w:p>
            <w:pPr>
              <w:spacing w:after="0"/>
            </w:pPr>
            <w:r>
              <w:rPr>
                <w:color w:val="0F172A"/>
                <w:sz w:val="20"/>
                <w:szCs w:val="20"/>
              </w:rPr>
              <w:t xml:space="preserve">Spend coverage/currency is unsafe</w:t>
            </w:r>
          </w:p>
        </w:tc>
        <w:tc>
          <w:tcPr>
            <w:tcW w:w="4100" w:type="dxa"/>
            <w:shd w:val="clear" w:fill="F8FAFC"/>
            <w:tcMar>
              <w:top w:w="120" w:type="dxa"/>
              <w:left w:w="120" w:type="dxa"/>
              <w:bottom w:w="120" w:type="dxa"/>
              <w:right w:w="120" w:type="dxa"/>
            </w:tcMar>
          </w:tcPr>
          <w:p>
            <w:pPr>
              <w:spacing w:after="0"/>
            </w:pPr>
            <w:r>
              <w:rPr>
                <w:color w:val="0F172A"/>
                <w:sz w:val="20"/>
                <w:szCs w:val="20"/>
              </w:rPr>
              <w:t xml:space="preserve">ROAS is unavailable rather than estimated.</w:t>
            </w:r>
          </w:p>
        </w:tc>
        <w:tc>
          <w:tcPr>
            <w:tcW w:w="2700" w:type="dxa"/>
            <w:shd w:val="clear" w:fill="F8FAFC"/>
            <w:tcMar>
              <w:top w:w="120" w:type="dxa"/>
              <w:left w:w="120" w:type="dxa"/>
              <w:bottom w:w="120" w:type="dxa"/>
              <w:right w:w="120" w:type="dxa"/>
            </w:tcMar>
          </w:tcPr>
          <w:p>
            <w:pPr>
              <w:spacing w:after="0"/>
            </w:pPr>
            <w:r>
              <w:rPr>
                <w:color w:val="0F172A"/>
                <w:sz w:val="20"/>
                <w:szCs w:val="20"/>
              </w:rPr>
              <w:t xml:space="preserve">Incomplete/currency-mismatch explanation.</w:t>
            </w:r>
          </w:p>
        </w:tc>
      </w:tr>
    </w:tbl>
    <w:p>
      <w:pPr>
        <w:pStyle w:val="Heading1"/>
        <w:spacing w:after="90"/>
      </w:pPr>
      <w:r>
        <w:rPr/>
        <w:t xml:space="preserve">Automatic versus manual work</w:t>
      </w:r>
    </w:p>
    <w:tbl>
      <w:tblPr>
        <w:tblW w:w="0" w:type="auto"/>
        <w:tblBorders>
          <w:top w:val="single" w:sz="5" w:color="CBD5E1"/>
          <w:left w:val="single" w:sz="5" w:color="CBD5E1"/>
          <w:bottom w:val="single" w:sz="5" w:color="CBD5E1"/>
          <w:right w:val="single" w:sz="5" w:color="CBD5E1"/>
          <w:insideH w:val="single" w:sz="4" w:color="E2E8F0"/>
          <w:insideV w:val="single" w:sz="4" w:color="E2E8F0"/>
        </w:tblBorders>
        <w:tblLayout w:type="fixed"/>
      </w:tblPr>
      <w:tblGrid>
        <w:gridCol w:w="4650"/>
        <w:gridCol w:w="4650"/>
      </w:tblGrid>
      <w:tr>
        <w:tc>
          <w:tcPr>
            <w:tcW w:w="4650" w:type="dxa"/>
            <w:shd w:val="clear" w:fill="172554"/>
            <w:tcMar>
              <w:top w:w="120" w:type="dxa"/>
              <w:left w:w="120" w:type="dxa"/>
              <w:bottom w:w="120" w:type="dxa"/>
              <w:right w:w="120" w:type="dxa"/>
            </w:tcMar>
          </w:tcPr>
          <w:p>
            <w:pPr>
              <w:spacing w:after="0"/>
            </w:pPr>
            <w:r>
              <w:rPr>
                <w:b/>
                <w:color w:val="FFFFFF"/>
                <w:sz w:val="20"/>
                <w:szCs w:val="20"/>
              </w:rPr>
              <w:t xml:space="preserve">Automatic</w:t>
            </w:r>
          </w:p>
        </w:tc>
        <w:tc>
          <w:tcPr>
            <w:tcW w:w="4650" w:type="dxa"/>
            <w:shd w:val="clear" w:fill="172554"/>
            <w:tcMar>
              <w:top w:w="120" w:type="dxa"/>
              <w:left w:w="120" w:type="dxa"/>
              <w:bottom w:w="120" w:type="dxa"/>
              <w:right w:w="120" w:type="dxa"/>
            </w:tcMar>
          </w:tcPr>
          <w:p>
            <w:pPr>
              <w:spacing w:after="0"/>
            </w:pPr>
            <w:r>
              <w:rPr>
                <w:b/>
                <w:color w:val="FFFFFF"/>
                <w:sz w:val="20"/>
                <w:szCs w:val="20"/>
              </w:rPr>
              <w:t xml:space="preserve">Human-controlled</w:t>
            </w:r>
          </w:p>
        </w:tc>
      </w:tr>
      <w:tr>
        <w:tc>
          <w:tcPr>
            <w:tcW w:w="4650" w:type="dxa"/>
            <w:shd w:val="clear" w:fill="FFFFFF"/>
            <w:tcMar>
              <w:top w:w="120" w:type="dxa"/>
              <w:left w:w="120" w:type="dxa"/>
              <w:bottom w:w="120" w:type="dxa"/>
              <w:right w:w="120" w:type="dxa"/>
            </w:tcMar>
          </w:tcPr>
          <w:p>
            <w:pPr>
              <w:spacing w:after="0"/>
            </w:pPr>
            <w:r>
              <w:rPr>
                <w:color w:val="0F172A"/>
                <w:sz w:val="20"/>
                <w:szCs w:val="20"/>
              </w:rPr>
              <w:t xml:space="preserve">Signature checks, duplicate checks, event storage and job retries.</w:t>
            </w:r>
          </w:p>
        </w:tc>
        <w:tc>
          <w:tcPr>
            <w:tcW w:w="4650" w:type="dxa"/>
            <w:shd w:val="clear" w:fill="FFFFFF"/>
            <w:tcMar>
              <w:top w:w="120" w:type="dxa"/>
              <w:left w:w="120" w:type="dxa"/>
              <w:bottom w:w="120" w:type="dxa"/>
              <w:right w:w="120" w:type="dxa"/>
            </w:tcMar>
          </w:tcPr>
          <w:p>
            <w:pPr>
              <w:spacing w:after="0"/>
            </w:pPr>
            <w:r>
              <w:rPr>
                <w:color w:val="0F172A"/>
                <w:sz w:val="20"/>
                <w:szCs w:val="20"/>
              </w:rPr>
              <w:t xml:space="preserve">Connecting a provider and entering its credential.</w:t>
            </w:r>
          </w:p>
        </w:tc>
      </w:tr>
      <w:tr>
        <w:tc>
          <w:tcPr>
            <w:tcW w:w="4650" w:type="dxa"/>
            <w:shd w:val="clear" w:fill="F8FAFC"/>
            <w:tcMar>
              <w:top w:w="120" w:type="dxa"/>
              <w:left w:w="120" w:type="dxa"/>
              <w:bottom w:w="120" w:type="dxa"/>
              <w:right w:w="120" w:type="dxa"/>
            </w:tcMar>
          </w:tcPr>
          <w:p>
            <w:pPr>
              <w:spacing w:after="0"/>
            </w:pPr>
            <w:r>
              <w:rPr>
                <w:color w:val="0F172A"/>
                <w:sz w:val="20"/>
                <w:szCs w:val="20"/>
              </w:rPr>
              <w:t xml:space="preserve">Identity matching and configured routing rules.</w:t>
            </w:r>
          </w:p>
        </w:tc>
        <w:tc>
          <w:tcPr>
            <w:tcW w:w="4650" w:type="dxa"/>
            <w:shd w:val="clear" w:fill="F8FAFC"/>
            <w:tcMar>
              <w:top w:w="120" w:type="dxa"/>
              <w:left w:w="120" w:type="dxa"/>
              <w:bottom w:w="120" w:type="dxa"/>
              <w:right w:w="120" w:type="dxa"/>
            </w:tcMar>
          </w:tcPr>
          <w:p>
            <w:pPr>
              <w:spacing w:after="0"/>
            </w:pPr>
            <w:r>
              <w:rPr>
                <w:color w:val="0F172A"/>
                <w:sz w:val="20"/>
                <w:szCs w:val="20"/>
              </w:rPr>
              <w:t xml:space="preserve">Approving risky merges and resolving conflicts.</w:t>
            </w:r>
          </w:p>
        </w:tc>
      </w:tr>
      <w:tr>
        <w:tc>
          <w:tcPr>
            <w:tcW w:w="4650" w:type="dxa"/>
            <w:shd w:val="clear" w:fill="FFFFFF"/>
            <w:tcMar>
              <w:top w:w="120" w:type="dxa"/>
              <w:left w:w="120" w:type="dxa"/>
              <w:bottom w:w="120" w:type="dxa"/>
              <w:right w:w="120" w:type="dxa"/>
            </w:tcMar>
          </w:tcPr>
          <w:p>
            <w:pPr>
              <w:spacing w:after="0"/>
            </w:pPr>
            <w:r>
              <w:rPr>
                <w:color w:val="0F172A"/>
                <w:sz w:val="20"/>
                <w:szCs w:val="20"/>
              </w:rPr>
              <w:t xml:space="preserve">Knowledge retrieval and AI draft proposal.</w:t>
            </w:r>
          </w:p>
        </w:tc>
        <w:tc>
          <w:tcPr>
            <w:tcW w:w="4650" w:type="dxa"/>
            <w:shd w:val="clear" w:fill="FFFFFF"/>
            <w:tcMar>
              <w:top w:w="120" w:type="dxa"/>
              <w:left w:w="120" w:type="dxa"/>
              <w:bottom w:w="120" w:type="dxa"/>
              <w:right w:w="120" w:type="dxa"/>
            </w:tcMar>
          </w:tcPr>
          <w:p>
            <w:pPr>
              <w:spacing w:after="0"/>
            </w:pPr>
            <w:r>
              <w:rPr>
                <w:color w:val="0F172A"/>
                <w:sz w:val="20"/>
                <w:szCs w:val="20"/>
              </w:rPr>
              <w:t xml:space="preserve">Approving/rejecting AI drafts.</w:t>
            </w:r>
          </w:p>
        </w:tc>
      </w:tr>
      <w:tr>
        <w:tc>
          <w:tcPr>
            <w:tcW w:w="4650" w:type="dxa"/>
            <w:shd w:val="clear" w:fill="F8FAFC"/>
            <w:tcMar>
              <w:top w:w="120" w:type="dxa"/>
              <w:left w:w="120" w:type="dxa"/>
              <w:bottom w:w="120" w:type="dxa"/>
              <w:right w:w="120" w:type="dxa"/>
            </w:tcMar>
          </w:tcPr>
          <w:p>
            <w:pPr>
              <w:spacing w:after="0"/>
            </w:pPr>
            <w:r>
              <w:rPr>
                <w:color w:val="0F172A"/>
                <w:sz w:val="20"/>
                <w:szCs w:val="20"/>
              </w:rPr>
              <w:t xml:space="preserve">Delivery receipt updates.</w:t>
            </w:r>
          </w:p>
        </w:tc>
        <w:tc>
          <w:tcPr>
            <w:tcW w:w="4650" w:type="dxa"/>
            <w:shd w:val="clear" w:fill="F8FAFC"/>
            <w:tcMar>
              <w:top w:w="120" w:type="dxa"/>
              <w:left w:w="120" w:type="dxa"/>
              <w:bottom w:w="120" w:type="dxa"/>
              <w:right w:w="120" w:type="dxa"/>
            </w:tcMar>
          </w:tcPr>
          <w:p>
            <w:pPr>
              <w:spacing w:after="0"/>
            </w:pPr>
            <w:r>
              <w:rPr>
                <w:color w:val="0F172A"/>
                <w:sz w:val="20"/>
                <w:szCs w:val="20"/>
              </w:rPr>
              <w:t xml:space="preserve">Granting/revoking consent when evidence exists.</w:t>
            </w:r>
          </w:p>
        </w:tc>
      </w:tr>
      <w:tr>
        <w:tc>
          <w:tcPr>
            <w:tcW w:w="4650" w:type="dxa"/>
            <w:shd w:val="clear" w:fill="FFFFFF"/>
            <w:tcMar>
              <w:top w:w="120" w:type="dxa"/>
              <w:left w:w="120" w:type="dxa"/>
              <w:bottom w:w="120" w:type="dxa"/>
              <w:right w:w="120" w:type="dxa"/>
            </w:tcMar>
          </w:tcPr>
          <w:p>
            <w:pPr>
              <w:spacing w:after="0"/>
            </w:pPr>
            <w:r>
              <w:rPr>
                <w:color w:val="0F172A"/>
                <w:sz w:val="20"/>
                <w:szCs w:val="20"/>
              </w:rPr>
              <w:t xml:space="preserve">Scheduled Insights pulls after setup.</w:t>
            </w:r>
          </w:p>
        </w:tc>
        <w:tc>
          <w:tcPr>
            <w:tcW w:w="4650" w:type="dxa"/>
            <w:shd w:val="clear" w:fill="FFFFFF"/>
            <w:tcMar>
              <w:top w:w="120" w:type="dxa"/>
              <w:left w:w="120" w:type="dxa"/>
              <w:bottom w:w="120" w:type="dxa"/>
              <w:right w:w="120" w:type="dxa"/>
            </w:tcMar>
          </w:tcPr>
          <w:p>
            <w:pPr>
              <w:spacing w:after="0"/>
            </w:pPr>
            <w:r>
              <w:rPr>
                <w:color w:val="0F172A"/>
                <w:sz w:val="20"/>
                <w:szCs w:val="20"/>
              </w:rPr>
              <w:t xml:space="preserve">Approving templates in Meta and production go-live.</w:t>
            </w:r>
          </w:p>
        </w:tc>
      </w:tr>
      <w:tr>
        <w:tc>
          <w:tcPr>
            <w:tcW w:w="4650" w:type="dxa"/>
            <w:shd w:val="clear" w:fill="F8FAFC"/>
            <w:tcMar>
              <w:top w:w="120" w:type="dxa"/>
              <w:left w:w="120" w:type="dxa"/>
              <w:bottom w:w="120" w:type="dxa"/>
              <w:right w:w="120" w:type="dxa"/>
            </w:tcMar>
          </w:tcPr>
          <w:p>
            <w:pPr>
              <w:spacing w:after="0"/>
            </w:pPr>
            <w:r>
              <w:rPr>
                <w:color w:val="0F172A"/>
                <w:sz w:val="20"/>
                <w:szCs w:val="20"/>
              </w:rPr>
              <w:t xml:space="preserve">Connector incremental sync after an approved profile.</w:t>
            </w:r>
          </w:p>
        </w:tc>
        <w:tc>
          <w:tcPr>
            <w:tcW w:w="4650" w:type="dxa"/>
            <w:shd w:val="clear" w:fill="F8FAFC"/>
            <w:tcMar>
              <w:top w:w="120" w:type="dxa"/>
              <w:left w:w="120" w:type="dxa"/>
              <w:bottom w:w="120" w:type="dxa"/>
              <w:right w:w="120" w:type="dxa"/>
            </w:tcMar>
          </w:tcPr>
          <w:p>
            <w:pPr>
              <w:spacing w:after="0"/>
            </w:pPr>
            <w:r>
              <w:rPr>
                <w:color w:val="0F172A"/>
                <w:sz w:val="20"/>
                <w:szCs w:val="20"/>
              </w:rPr>
              <w:t xml:space="preserve">First preview, mapping and reconciliation for each client.</w:t>
            </w:r>
          </w:p>
        </w:tc>
      </w:tr>
    </w:tbl>
    <w:p>
      <w:pPr>
        <w:pStyle w:val="Heading1"/>
        <w:spacing w:after="90"/>
      </w:pPr>
      <w:r>
        <w:rPr/>
        <w:t xml:space="preserve">Current project position</w:t>
      </w:r>
    </w:p>
    <w:p>
      <w:pPr>
        <w:pStyle w:val="Normal"/>
        <w:pBdr>
          <w:left w:val="single" w:sz="18" w:space="8" w:color="2563EB"/>
        </w:pBdr>
        <w:shd w:val="clear" w:color="auto" w:fill="EFF6FF"/>
        <w:spacing w:after="90"/>
      </w:pPr>
      <w:r>
        <w:rPr/>
        <w:t xml:space="preserve">The local backend and database regression baseline is green, and the main architecture is present. Meta-facing code is still fixture-tested rather than live-provider verified. Engineering must finish the remaining connection seams and safety gates; the intern must then complete staging account/webhook setup and evidence before production.</w:t>
      </w:r>
    </w:p>
    <w:p>
      <w:pPr>
        <w:pStyle w:val="Normal"/>
        <w:ind w:left="400" w:hanging="240"/>
        <w:spacing w:after="55"/>
      </w:pPr>
      <w:r>
        <w:rPr/>
        <w:t xml:space="preserve">•  Code complete: internal handlers, migrations, policies, UI and tests are finished.</w:t>
      </w:r>
    </w:p>
    <w:p>
      <w:pPr>
        <w:pStyle w:val="Normal"/>
        <w:ind w:left="400" w:hanging="240"/>
        <w:spacing w:after="55"/>
      </w:pPr>
      <w:r>
        <w:rPr/>
        <w:t xml:space="preserve">•  Locally verified: fixture and database tests pass without real provider calls.</w:t>
      </w:r>
    </w:p>
    <w:p>
      <w:pPr>
        <w:pStyle w:val="Normal"/>
        <w:ind w:left="400" w:hanging="240"/>
        <w:spacing w:after="55"/>
      </w:pPr>
      <w:r>
        <w:rPr/>
        <w:t xml:space="preserve">•  Staging connected: test credentials/assets and signed test traffic work on a deployed staging system.</w:t>
      </w:r>
    </w:p>
    <w:p>
      <w:pPr>
        <w:pStyle w:val="Normal"/>
        <w:ind w:left="400" w:hanging="240"/>
        <w:spacing w:after="55"/>
      </w:pPr>
      <w:r>
        <w:rPr/>
        <w:t xml:space="preserve">•  Live verified: reviewed permissions, real tenant credentials and real signed provider traffic have been observed.</w:t>
      </w:r>
    </w:p>
    <w:p>
      <w:pPr>
        <w:pStyle w:val="Normal"/>
        <w:spacing w:after="90"/>
      </w:pPr>
      <w:r>
        <w:rPr>
          <w:b/>
          <w:color w:val="991B1B"/>
        </w:rPr>
        <w:t xml:space="preserve">These four statuses must always be reported separately.</w:t>
      </w:r>
    </w:p>
    <w:p>
      <w:pPr>
        <w:pStyle w:val="Heading1"/>
        <w:spacing w:after="90"/>
      </w:pPr>
      <w:r>
        <w:rPr/>
        <w:t xml:space="preserve">Short glossary</w:t>
      </w:r>
    </w:p>
    <w:tbl>
      <w:tblPr>
        <w:tblW w:w="0" w:type="auto"/>
        <w:tblBorders>
          <w:top w:val="single" w:sz="5" w:color="CBD5E1"/>
          <w:left w:val="single" w:sz="5" w:color="CBD5E1"/>
          <w:bottom w:val="single" w:sz="5" w:color="CBD5E1"/>
          <w:right w:val="single" w:sz="5" w:color="CBD5E1"/>
          <w:insideH w:val="single" w:sz="4" w:color="E2E8F0"/>
          <w:insideV w:val="single" w:sz="4" w:color="E2E8F0"/>
        </w:tblBorders>
        <w:tblLayout w:type="fixed"/>
      </w:tblPr>
      <w:tblGrid>
        <w:gridCol w:w="2600"/>
        <w:gridCol w:w="6700"/>
      </w:tblGrid>
      <w:tr>
        <w:tc>
          <w:tcPr>
            <w:tcW w:w="2600" w:type="dxa"/>
            <w:shd w:val="clear" w:fill="172554"/>
            <w:tcMar>
              <w:top w:w="120" w:type="dxa"/>
              <w:left w:w="120" w:type="dxa"/>
              <w:bottom w:w="120" w:type="dxa"/>
              <w:right w:w="120" w:type="dxa"/>
            </w:tcMar>
          </w:tcPr>
          <w:p>
            <w:pPr>
              <w:spacing w:after="0"/>
            </w:pPr>
            <w:r>
              <w:rPr>
                <w:b/>
                <w:color w:val="FFFFFF"/>
                <w:sz w:val="20"/>
                <w:szCs w:val="20"/>
              </w:rPr>
              <w:t xml:space="preserve">Term</w:t>
            </w:r>
          </w:p>
        </w:tc>
        <w:tc>
          <w:tcPr>
            <w:tcW w:w="6700" w:type="dxa"/>
            <w:shd w:val="clear" w:fill="172554"/>
            <w:tcMar>
              <w:top w:w="120" w:type="dxa"/>
              <w:left w:w="120" w:type="dxa"/>
              <w:bottom w:w="120" w:type="dxa"/>
              <w:right w:w="120" w:type="dxa"/>
            </w:tcMar>
          </w:tcPr>
          <w:p>
            <w:pPr>
              <w:spacing w:after="0"/>
            </w:pPr>
            <w:r>
              <w:rPr>
                <w:b/>
                <w:color w:val="FFFFFF"/>
                <w:sz w:val="20"/>
                <w:szCs w:val="20"/>
              </w:rPr>
              <w:t xml:space="preserve">Plain meaning</w:t>
            </w:r>
          </w:p>
        </w:tc>
      </w:tr>
      <w:tr>
        <w:tc>
          <w:tcPr>
            <w:tcW w:w="2600" w:type="dxa"/>
            <w:shd w:val="clear" w:fill="FFFFFF"/>
            <w:tcMar>
              <w:top w:w="120" w:type="dxa"/>
              <w:left w:w="120" w:type="dxa"/>
              <w:bottom w:w="120" w:type="dxa"/>
              <w:right w:w="120" w:type="dxa"/>
            </w:tcMar>
          </w:tcPr>
          <w:p>
            <w:pPr>
              <w:spacing w:after="0"/>
            </w:pPr>
            <w:r>
              <w:rPr>
                <w:color w:val="0F172A"/>
                <w:sz w:val="20"/>
                <w:szCs w:val="20"/>
              </w:rPr>
              <w:t xml:space="preserve">Tenant</w:t>
            </w:r>
          </w:p>
        </w:tc>
        <w:tc>
          <w:tcPr>
            <w:tcW w:w="6700" w:type="dxa"/>
            <w:shd w:val="clear" w:fill="FFFFFF"/>
            <w:tcMar>
              <w:top w:w="120" w:type="dxa"/>
              <w:left w:w="120" w:type="dxa"/>
              <w:bottom w:w="120" w:type="dxa"/>
              <w:right w:w="120" w:type="dxa"/>
            </w:tcMar>
          </w:tcPr>
          <w:p>
            <w:pPr>
              <w:spacing w:after="0"/>
            </w:pPr>
            <w:r>
              <w:rPr>
                <w:color w:val="0F172A"/>
                <w:sz w:val="20"/>
                <w:szCs w:val="20"/>
              </w:rPr>
              <w:t xml:space="preserve">One client company and its separated data.</w:t>
            </w:r>
          </w:p>
        </w:tc>
      </w:tr>
      <w:tr>
        <w:tc>
          <w:tcPr>
            <w:tcW w:w="2600" w:type="dxa"/>
            <w:shd w:val="clear" w:fill="F8FAFC"/>
            <w:tcMar>
              <w:top w:w="120" w:type="dxa"/>
              <w:left w:w="120" w:type="dxa"/>
              <w:bottom w:w="120" w:type="dxa"/>
              <w:right w:w="120" w:type="dxa"/>
            </w:tcMar>
          </w:tcPr>
          <w:p>
            <w:pPr>
              <w:spacing w:after="0"/>
            </w:pPr>
            <w:r>
              <w:rPr>
                <w:color w:val="0F172A"/>
                <w:sz w:val="20"/>
                <w:szCs w:val="20"/>
              </w:rPr>
              <w:t xml:space="preserve">Webhook</w:t>
            </w:r>
          </w:p>
        </w:tc>
        <w:tc>
          <w:tcPr>
            <w:tcW w:w="6700" w:type="dxa"/>
            <w:shd w:val="clear" w:fill="F8FAFC"/>
            <w:tcMar>
              <w:top w:w="120" w:type="dxa"/>
              <w:left w:w="120" w:type="dxa"/>
              <w:bottom w:w="120" w:type="dxa"/>
              <w:right w:w="120" w:type="dxa"/>
            </w:tcMar>
          </w:tcPr>
          <w:p>
            <w:pPr>
              <w:spacing w:after="0"/>
            </w:pPr>
            <w:r>
              <w:rPr>
                <w:color w:val="0F172A"/>
                <w:sz w:val="20"/>
                <w:szCs w:val="20"/>
              </w:rPr>
              <w:t xml:space="preserve">A provider calling CaratOS when something happens.</w:t>
            </w:r>
          </w:p>
        </w:tc>
      </w:tr>
      <w:tr>
        <w:tc>
          <w:tcPr>
            <w:tcW w:w="2600" w:type="dxa"/>
            <w:shd w:val="clear" w:fill="FFFFFF"/>
            <w:tcMar>
              <w:top w:w="120" w:type="dxa"/>
              <w:left w:w="120" w:type="dxa"/>
              <w:bottom w:w="120" w:type="dxa"/>
              <w:right w:w="120" w:type="dxa"/>
            </w:tcMar>
          </w:tcPr>
          <w:p>
            <w:pPr>
              <w:spacing w:after="0"/>
            </w:pPr>
            <w:r>
              <w:rPr>
                <w:color w:val="0F172A"/>
                <w:sz w:val="20"/>
                <w:szCs w:val="20"/>
              </w:rPr>
              <w:t xml:space="preserve">API</w:t>
            </w:r>
          </w:p>
        </w:tc>
        <w:tc>
          <w:tcPr>
            <w:tcW w:w="6700" w:type="dxa"/>
            <w:shd w:val="clear" w:fill="FFFFFF"/>
            <w:tcMar>
              <w:top w:w="120" w:type="dxa"/>
              <w:left w:w="120" w:type="dxa"/>
              <w:bottom w:w="120" w:type="dxa"/>
              <w:right w:w="120" w:type="dxa"/>
            </w:tcMar>
          </w:tcPr>
          <w:p>
            <w:pPr>
              <w:spacing w:after="0"/>
            </w:pPr>
            <w:r>
              <w:rPr>
                <w:color w:val="0F172A"/>
                <w:sz w:val="20"/>
                <w:szCs w:val="20"/>
              </w:rPr>
              <w:t xml:space="preserve">A controlled way for two software systems to exchange data.</w:t>
            </w:r>
          </w:p>
        </w:tc>
      </w:tr>
      <w:tr>
        <w:tc>
          <w:tcPr>
            <w:tcW w:w="2600" w:type="dxa"/>
            <w:shd w:val="clear" w:fill="F8FAFC"/>
            <w:tcMar>
              <w:top w:w="120" w:type="dxa"/>
              <w:left w:w="120" w:type="dxa"/>
              <w:bottom w:w="120" w:type="dxa"/>
              <w:right w:w="120" w:type="dxa"/>
            </w:tcMar>
          </w:tcPr>
          <w:p>
            <w:pPr>
              <w:spacing w:after="0"/>
            </w:pPr>
            <w:r>
              <w:rPr>
                <w:color w:val="0F172A"/>
                <w:sz w:val="20"/>
                <w:szCs w:val="20"/>
              </w:rPr>
              <w:t xml:space="preserve">Asset</w:t>
            </w:r>
          </w:p>
        </w:tc>
        <w:tc>
          <w:tcPr>
            <w:tcW w:w="6700" w:type="dxa"/>
            <w:shd w:val="clear" w:fill="F8FAFC"/>
            <w:tcMar>
              <w:top w:w="120" w:type="dxa"/>
              <w:left w:w="120" w:type="dxa"/>
              <w:bottom w:w="120" w:type="dxa"/>
              <w:right w:w="120" w:type="dxa"/>
            </w:tcMar>
          </w:tcPr>
          <w:p>
            <w:pPr>
              <w:spacing w:after="0"/>
            </w:pPr>
            <w:r>
              <w:rPr>
                <w:color w:val="0F172A"/>
                <w:sz w:val="20"/>
                <w:szCs w:val="20"/>
              </w:rPr>
              <w:t xml:space="preserve">A provider object owned by a tenant: Page, form, ad account or phone number.</w:t>
            </w:r>
          </w:p>
        </w:tc>
      </w:tr>
      <w:tr>
        <w:tc>
          <w:tcPr>
            <w:tcW w:w="2600" w:type="dxa"/>
            <w:shd w:val="clear" w:fill="FFFFFF"/>
            <w:tcMar>
              <w:top w:w="120" w:type="dxa"/>
              <w:left w:w="120" w:type="dxa"/>
              <w:bottom w:w="120" w:type="dxa"/>
              <w:right w:w="120" w:type="dxa"/>
            </w:tcMar>
          </w:tcPr>
          <w:p>
            <w:pPr>
              <w:spacing w:after="0"/>
            </w:pPr>
            <w:r>
              <w:rPr>
                <w:color w:val="0F172A"/>
                <w:sz w:val="20"/>
                <w:szCs w:val="20"/>
              </w:rPr>
              <w:t xml:space="preserve">Integration credential</w:t>
            </w:r>
          </w:p>
        </w:tc>
        <w:tc>
          <w:tcPr>
            <w:tcW w:w="6700" w:type="dxa"/>
            <w:shd w:val="clear" w:fill="FFFFFF"/>
            <w:tcMar>
              <w:top w:w="120" w:type="dxa"/>
              <w:left w:w="120" w:type="dxa"/>
              <w:bottom w:w="120" w:type="dxa"/>
              <w:right w:w="120" w:type="dxa"/>
            </w:tcMar>
          </w:tcPr>
          <w:p>
            <w:pPr>
              <w:spacing w:after="0"/>
            </w:pPr>
            <w:r>
              <w:rPr>
                <w:color w:val="0F172A"/>
                <w:sz w:val="20"/>
                <w:szCs w:val="20"/>
              </w:rPr>
              <w:t xml:space="preserve">An encrypted token that lets CaratOS act for one tenant.</w:t>
            </w:r>
          </w:p>
        </w:tc>
      </w:tr>
      <w:tr>
        <w:tc>
          <w:tcPr>
            <w:tcW w:w="2600" w:type="dxa"/>
            <w:shd w:val="clear" w:fill="F8FAFC"/>
            <w:tcMar>
              <w:top w:w="120" w:type="dxa"/>
              <w:left w:w="120" w:type="dxa"/>
              <w:bottom w:w="120" w:type="dxa"/>
              <w:right w:w="120" w:type="dxa"/>
            </w:tcMar>
          </w:tcPr>
          <w:p>
            <w:pPr>
              <w:spacing w:after="0"/>
            </w:pPr>
            <w:r>
              <w:rPr>
                <w:color w:val="0F172A"/>
                <w:sz w:val="20"/>
                <w:szCs w:val="20"/>
              </w:rPr>
              <w:t xml:space="preserve">Idempotent</w:t>
            </w:r>
          </w:p>
        </w:tc>
        <w:tc>
          <w:tcPr>
            <w:tcW w:w="6700" w:type="dxa"/>
            <w:shd w:val="clear" w:fill="F8FAFC"/>
            <w:tcMar>
              <w:top w:w="120" w:type="dxa"/>
              <w:left w:w="120" w:type="dxa"/>
              <w:bottom w:w="120" w:type="dxa"/>
              <w:right w:w="120" w:type="dxa"/>
            </w:tcMar>
          </w:tcPr>
          <w:p>
            <w:pPr>
              <w:spacing w:after="0"/>
            </w:pPr>
            <w:r>
              <w:rPr>
                <w:color w:val="0F172A"/>
                <w:sz w:val="20"/>
                <w:szCs w:val="20"/>
              </w:rPr>
              <w:t xml:space="preserve">Repeating the same event produces one result, not duplicates.</w:t>
            </w:r>
          </w:p>
        </w:tc>
      </w:tr>
      <w:tr>
        <w:tc>
          <w:tcPr>
            <w:tcW w:w="2600" w:type="dxa"/>
            <w:shd w:val="clear" w:fill="FFFFFF"/>
            <w:tcMar>
              <w:top w:w="120" w:type="dxa"/>
              <w:left w:w="120" w:type="dxa"/>
              <w:bottom w:w="120" w:type="dxa"/>
              <w:right w:w="120" w:type="dxa"/>
            </w:tcMar>
          </w:tcPr>
          <w:p>
            <w:pPr>
              <w:spacing w:after="0"/>
            </w:pPr>
            <w:r>
              <w:rPr>
                <w:color w:val="0F172A"/>
                <w:sz w:val="20"/>
                <w:szCs w:val="20"/>
              </w:rPr>
              <w:t xml:space="preserve">Outbox</w:t>
            </w:r>
          </w:p>
        </w:tc>
        <w:tc>
          <w:tcPr>
            <w:tcW w:w="6700" w:type="dxa"/>
            <w:shd w:val="clear" w:fill="FFFFFF"/>
            <w:tcMar>
              <w:top w:w="120" w:type="dxa"/>
              <w:left w:w="120" w:type="dxa"/>
              <w:bottom w:w="120" w:type="dxa"/>
              <w:right w:w="120" w:type="dxa"/>
            </w:tcMar>
          </w:tcPr>
          <w:p>
            <w:pPr>
              <w:spacing w:after="0"/>
            </w:pPr>
            <w:r>
              <w:rPr>
                <w:color w:val="0F172A"/>
                <w:sz w:val="20"/>
                <w:szCs w:val="20"/>
              </w:rPr>
              <w:t xml:space="preserve">The list of messages waiting for or reporting delivery.</w:t>
            </w:r>
          </w:p>
        </w:tc>
      </w:tr>
      <w:tr>
        <w:tc>
          <w:tcPr>
            <w:tcW w:w="2600" w:type="dxa"/>
            <w:shd w:val="clear" w:fill="F8FAFC"/>
            <w:tcMar>
              <w:top w:w="120" w:type="dxa"/>
              <w:left w:w="120" w:type="dxa"/>
              <w:bottom w:w="120" w:type="dxa"/>
              <w:right w:w="120" w:type="dxa"/>
            </w:tcMar>
          </w:tcPr>
          <w:p>
            <w:pPr>
              <w:spacing w:after="0"/>
            </w:pPr>
            <w:r>
              <w:rPr>
                <w:color w:val="0F172A"/>
                <w:sz w:val="20"/>
                <w:szCs w:val="20"/>
              </w:rPr>
              <w:t xml:space="preserve">Dead-letter</w:t>
            </w:r>
          </w:p>
        </w:tc>
        <w:tc>
          <w:tcPr>
            <w:tcW w:w="6700" w:type="dxa"/>
            <w:shd w:val="clear" w:fill="F8FAFC"/>
            <w:tcMar>
              <w:top w:w="120" w:type="dxa"/>
              <w:left w:w="120" w:type="dxa"/>
              <w:bottom w:w="120" w:type="dxa"/>
              <w:right w:w="120" w:type="dxa"/>
            </w:tcMar>
          </w:tcPr>
          <w:p>
            <w:pPr>
              <w:spacing w:after="0"/>
            </w:pPr>
            <w:r>
              <w:rPr>
                <w:color w:val="0F172A"/>
                <w:sz w:val="20"/>
                <w:szCs w:val="20"/>
              </w:rPr>
              <w:t xml:space="preserve">Work that failed all automatic retries and needs a person.</w:t>
            </w:r>
          </w:p>
        </w:tc>
      </w:tr>
      <w:tr>
        <w:tc>
          <w:tcPr>
            <w:tcW w:w="2600" w:type="dxa"/>
            <w:shd w:val="clear" w:fill="FFFFFF"/>
            <w:tcMar>
              <w:top w:w="120" w:type="dxa"/>
              <w:left w:w="120" w:type="dxa"/>
              <w:bottom w:w="120" w:type="dxa"/>
              <w:right w:w="120" w:type="dxa"/>
            </w:tcMar>
          </w:tcPr>
          <w:p>
            <w:pPr>
              <w:spacing w:after="0"/>
            </w:pPr>
            <w:r>
              <w:rPr>
                <w:color w:val="0F172A"/>
                <w:sz w:val="20"/>
                <w:szCs w:val="20"/>
              </w:rPr>
              <w:t xml:space="preserve">Attribution</w:t>
            </w:r>
          </w:p>
        </w:tc>
        <w:tc>
          <w:tcPr>
            <w:tcW w:w="6700" w:type="dxa"/>
            <w:shd w:val="clear" w:fill="FFFFFF"/>
            <w:tcMar>
              <w:top w:w="120" w:type="dxa"/>
              <w:left w:w="120" w:type="dxa"/>
              <w:bottom w:w="120" w:type="dxa"/>
              <w:right w:w="120" w:type="dxa"/>
            </w:tcMar>
          </w:tcPr>
          <w:p>
            <w:pPr>
              <w:spacing w:after="0"/>
            </w:pPr>
            <w:r>
              <w:rPr>
                <w:color w:val="0F172A"/>
                <w:sz w:val="20"/>
                <w:szCs w:val="20"/>
              </w:rPr>
              <w:t xml:space="preserve">Evidence connecting an enquiry or sale to its source.</w:t>
            </w:r>
          </w:p>
        </w:tc>
      </w:tr>
      <w:tr>
        <w:tc>
          <w:tcPr>
            <w:tcW w:w="2600" w:type="dxa"/>
            <w:shd w:val="clear" w:fill="F8FAFC"/>
            <w:tcMar>
              <w:top w:w="120" w:type="dxa"/>
              <w:left w:w="120" w:type="dxa"/>
              <w:bottom w:w="120" w:type="dxa"/>
              <w:right w:w="120" w:type="dxa"/>
            </w:tcMar>
          </w:tcPr>
          <w:p>
            <w:pPr>
              <w:spacing w:after="0"/>
            </w:pPr>
            <w:r>
              <w:rPr>
                <w:color w:val="0F172A"/>
                <w:sz w:val="20"/>
                <w:szCs w:val="20"/>
              </w:rPr>
              <w:t xml:space="preserve">ROAS</w:t>
            </w:r>
          </w:p>
        </w:tc>
        <w:tc>
          <w:tcPr>
            <w:tcW w:w="6700" w:type="dxa"/>
            <w:shd w:val="clear" w:fill="F8FAFC"/>
            <w:tcMar>
              <w:top w:w="120" w:type="dxa"/>
              <w:left w:w="120" w:type="dxa"/>
              <w:bottom w:w="120" w:type="dxa"/>
              <w:right w:w="120" w:type="dxa"/>
            </w:tcMar>
          </w:tcPr>
          <w:p>
            <w:pPr>
              <w:spacing w:after="0"/>
            </w:pPr>
            <w:r>
              <w:rPr>
                <w:color w:val="0F172A"/>
                <w:sz w:val="20"/>
                <w:szCs w:val="20"/>
              </w:rPr>
              <w:t xml:space="preserve">Attributed revenue divided by measured advertising spend.</w:t>
            </w:r>
          </w:p>
        </w:tc>
      </w:tr>
      <w:tr>
        <w:tc>
          <w:tcPr>
            <w:tcW w:w="2600" w:type="dxa"/>
            <w:shd w:val="clear" w:fill="FFFFFF"/>
            <w:tcMar>
              <w:top w:w="120" w:type="dxa"/>
              <w:left w:w="120" w:type="dxa"/>
              <w:bottom w:w="120" w:type="dxa"/>
              <w:right w:w="120" w:type="dxa"/>
            </w:tcMar>
          </w:tcPr>
          <w:p>
            <w:pPr>
              <w:spacing w:after="0"/>
            </w:pPr>
            <w:r>
              <w:rPr>
                <w:color w:val="0F172A"/>
                <w:sz w:val="20"/>
                <w:szCs w:val="20"/>
              </w:rPr>
              <w:t xml:space="preserve">Industry pack</w:t>
            </w:r>
          </w:p>
        </w:tc>
        <w:tc>
          <w:tcPr>
            <w:tcW w:w="6700" w:type="dxa"/>
            <w:shd w:val="clear" w:fill="FFFFFF"/>
            <w:tcMar>
              <w:top w:w="120" w:type="dxa"/>
              <w:left w:w="120" w:type="dxa"/>
              <w:bottom w:w="120" w:type="dxa"/>
              <w:right w:w="120" w:type="dxa"/>
            </w:tcMar>
          </w:tcPr>
          <w:p>
            <w:pPr>
              <w:spacing w:after="0"/>
            </w:pPr>
            <w:r>
              <w:rPr>
                <w:color w:val="0F172A"/>
                <w:sz w:val="20"/>
                <w:szCs w:val="20"/>
              </w:rPr>
              <w:t xml:space="preserve">Configuration that changes labels, fields and enabled modules for an industry.</w:t>
            </w:r>
          </w:p>
        </w:tc>
      </w:tr>
    </w:tbl>
    <w:p>
      <w:pPr>
        <w:pStyle w:val="Heading1"/>
        <w:spacing w:after="90"/>
      </w:pPr>
      <w:r>
        <w:rPr/>
        <w:t xml:space="preserve">Related handover files</w:t>
      </w:r>
    </w:p>
    <w:p>
      <w:pPr>
        <w:pStyle w:val="Normal"/>
        <w:ind w:left="400" w:hanging="240"/>
        <w:spacing w:after="55"/>
      </w:pPr>
      <w:r>
        <w:rPr/>
        <w:t xml:space="preserve">•  Intern integration checklist: C:\Users\Shrey\Eclat\docs\handovers\CaratOS-Meta-WhatsApp-Manual-Integration-Handover.xlsx</w:t>
      </w:r>
    </w:p>
    <w:p>
      <w:pPr>
        <w:pStyle w:val="Normal"/>
        <w:ind w:left="400" w:hanging="240"/>
        <w:spacing w:after="55"/>
      </w:pPr>
      <w:r>
        <w:rPr/>
        <w:t xml:space="preserve">•  Simple integration setup brief: C:\Users\Shrey\Eclat\docs\handovers\CaratOS-Meta-WhatsApp-Integration-Intern-Brief.docx</w:t>
      </w:r>
    </w:p>
    <w:p>
      <w:pPr>
        <w:pStyle w:val="Normal"/>
        <w:ind w:left="400" w:hanging="240"/>
        <w:spacing w:after="55"/>
      </w:pPr>
      <w:r>
        <w:rPr/>
        <w:t xml:space="preserve">•  Engineering completion prompt: C:\Users\Shrey\Eclat\docs\work-requests\CLAUDE-FINAL-INTEGRATION-COMPLETION-PROMPT.txt</w:t>
      </w:r>
    </w:p>
    <w:sectPr>
      <w:footerReference w:type="default" r:id="rIdFooter1"/>
      <w:pgSz w:w="11906" w:h="16838"/>
      <w:pgMar w:top="900" w:right="850" w:bottom="900" w:left="850" w:header="400" w:footer="400" w:gutter="0"/>
    </w:sectPr>
  </w:body>
</w:document>
</file>

<file path=word/footer1.xml><?xml version="1.0" encoding="utf-8"?>
<w:ftr xmlns:w="http://schemas.openxmlformats.org/wordprocessingml/2006/main">
  <w:p>
    <w:pPr>
      <w:jc w:val="center"/>
    </w:pPr>
    <w:r>
      <w:rPr>
        <w:color w:val="64748B"/>
        <w:sz w:val="16"/>
        <w:szCs w:val="16"/>
      </w:rPr>
      <w:t xml:space="preserve">CaratOS — simple system design and flow</w:t>
    </w:r>
  </w:p>
</w:ftr>
</file>

<file path=word/styles.xml><?xml version="1.0" encoding="utf-8"?>
<w:styles xmlns:w="http://schemas.openxmlformats.org/wordprocessingml/2006/main">
  <w:docDefaults>
    <w:rPrDefault>
      <w:rPr>
        <w:rFonts w:ascii="Aptos" w:hAnsi="Aptos"/>
        <w:sz w:val="21"/>
        <w:color w:val="0F172A"/>
      </w:rPr>
    </w:rPrDefault>
    <w:pPrDefault>
      <w:pPr>
        <w:spacing w:line="270" w:lineRule="auto"/>
      </w:pPr>
    </w:pPrDefault>
  </w:docDefaults>
  <w:style w:type="paragraph" w:default="1" w:styleId="Normal">
    <w:name w:val="Normal"/>
  </w:style>
  <w:style w:type="paragraph" w:styleId="Title">
    <w:name w:val="Title"/>
    <w:basedOn w:val="Normal"/>
    <w:next w:val="Subtitle"/>
  </w:style>
  <w:style w:type="paragraph" w:styleId="Subtitle">
    <w:name w:val="Subtitle"/>
    <w:basedOn w:val="Normal"/>
    <w:next w:val="Normal"/>
  </w:style>
  <w:style w:type="paragraph" w:styleId="Heading1">
    <w:name w:val="heading 1"/>
    <w:basedOn w:val="Normal"/>
    <w:next w:val="Normal"/>
    <w:keepNext/>
    <w:keepLines/>
    <w:pPr>
      <w:spacing w:before="260" w:after="110"/>
      <w:outlineLvl w:val="0"/>
    </w:pPr>
    <w:rPr>
      <w:b/>
      <w:color w:val="172554"/>
      <w:sz w:val="30"/>
    </w:rPr>
  </w:style>
  <w:style w:type="paragraph" w:styleId="Heading2">
    <w:name w:val="heading 2"/>
    <w:basedOn w:val="Normal"/>
    <w:next w:val="Normal"/>
    <w:keepNext/>
    <w:pPr>
      <w:spacing w:before="180" w:after="80"/>
      <w:outlineLvl w:val="1"/>
    </w:pPr>
    <w:rPr>
      <w:b/>
      <w:color w:val="2563EB"/>
      <w:sz w:val="24"/>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Footer1"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CaratOS</Application>
</Properties>
</file>

<file path=docProps/core.xml><?xml version="1.0" encoding="utf-8"?>
<cp:coreProperties xmlns:cp="http://schemas.openxmlformats.org/package/2006/metadata/core-properties" xmlns:dc="http://purl.org/dc/elements/1.1/" xmlns:dcterms="http://purl.org/dc/terms/" xmlns:xsi="http://www.w3.org/2001/XMLSchema-instance">
  <dc:title>CaratOS System Design and Flow — Simple Guide</dc:title>
  <dc:creator>CaratOS Engineering</dc:creator>
  <dc:subject>Layman system architecture guide</dc:subject>
  <dcterms:created xsi:type="dcterms:W3CDTF">2026-09-09T09:18:12.760Z</dcterms:created>
</cp:coreProperties>
</file>