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CaratOS competitor parity status</w:t>
      </w:r>
    </w:p>
    <w:p>
      <w:r>
        <w:rPr>
          <w:i/>
        </w:rPr>
        <w:t>Audited 10 September 2026 against the Zithara.ai demonstration (40:24 recording, 19 August 2026).</w:t>
      </w:r>
    </w:p>
    <w:p>
      <w:r>
        <w:t>The competitor is Zithara.ai, a seed-stage retail CRM company based in Hyderabad. The meeting notes circulated earlier call it “Satara AI”, which is a mis-hearing: the product on screen throughout is app.zithara.com. Anything else in those notes that was heard rather than seen should be treated with the same caution.</w:t>
      </w:r>
    </w:p>
    <w:p>
      <w:pPr>
        <w:pStyle w:val="Heading1"/>
      </w:pPr>
      <w:r>
        <w:t>How to read the status column</w:t>
      </w:r>
    </w:p>
    <w:p>
      <w:pPr>
        <w:pStyle w:val="ListBullet"/>
      </w:pPr>
      <w:r>
        <w:rPr>
          <w:b/>
        </w:rPr>
        <w:t xml:space="preserve">BUILT — </w:t>
      </w:r>
      <w:r>
        <w:t>Working in the product, covered by tests.</w:t>
      </w:r>
    </w:p>
    <w:p>
      <w:pPr>
        <w:pStyle w:val="ListBullet"/>
      </w:pPr>
      <w:r>
        <w:rPr>
          <w:b/>
        </w:rPr>
        <w:t xml:space="preserve">FIXTURE — </w:t>
      </w:r>
      <w:r>
        <w:t>Code complete and proven against a recorded payload. No live provider has ever answered.</w:t>
      </w:r>
    </w:p>
    <w:p>
      <w:pPr>
        <w:pStyle w:val="ListBullet"/>
      </w:pPr>
      <w:r>
        <w:rPr>
          <w:b/>
        </w:rPr>
        <w:t xml:space="preserve">LIVE — </w:t>
      </w:r>
      <w:r>
        <w:t>Verified end to end against a real running system.</w:t>
      </w:r>
    </w:p>
    <w:p>
      <w:pPr>
        <w:pStyle w:val="ListBullet"/>
      </w:pPr>
      <w:r>
        <w:rPr>
          <w:b/>
        </w:rPr>
        <w:t xml:space="preserve">PARTIAL — </w:t>
      </w:r>
      <w:r>
        <w:t>Some of it works; the rest is named in the note.</w:t>
      </w:r>
    </w:p>
    <w:p>
      <w:pPr>
        <w:pStyle w:val="ListBullet"/>
      </w:pPr>
      <w:r>
        <w:rPr>
          <w:b/>
        </w:rPr>
        <w:t xml:space="preserve">BLOCKED — </w:t>
      </w:r>
      <w:r>
        <w:t>Cannot progress without a credential, account or approval from outside this repo.</w:t>
      </w:r>
    </w:p>
    <w:p>
      <w:pPr>
        <w:pStyle w:val="ListBullet"/>
      </w:pPr>
      <w:r>
        <w:rPr>
          <w:b/>
        </w:rPr>
        <w:t xml:space="preserve">MISSING — </w:t>
      </w:r>
      <w:r>
        <w:t>No code exists.</w:t>
      </w:r>
    </w:p>
    <w:p>
      <w:r>
        <w:t>BUILT and FIXTURE are deliberately different words. A great deal of the Meta work is complete, correct and tested, and has still never had a real message from Meta arrive at it. Calling that “done” would be the single easiest way to mislead everyone reading this.</w:t>
      </w:r>
    </w:p>
    <w:p>
      <w:pPr>
        <w:pStyle w:val="Heading1"/>
      </w:pPr>
      <w:r>
        <w:t>Lead capture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Where it lives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What is still needed</w:t>
            </w:r>
          </w:p>
        </w:tc>
      </w:tr>
      <w:tr>
        <w:tc>
          <w:tcPr>
            <w:tcW w:type="dxa" w:w="2160"/>
          </w:tcPr>
          <w:p>
            <w:r>
              <w:t>Meta Lead Ads form becomes a CRM lead</w:t>
            </w:r>
          </w:p>
        </w:tc>
        <w:tc>
          <w:tcPr>
            <w:tcW w:type="dxa" w:w="2160"/>
          </w:tcPr>
          <w:p>
            <w:r>
              <w:t>FIXTURE</w:t>
            </w:r>
          </w:p>
        </w:tc>
        <w:tc>
          <w:tcPr>
            <w:tcW w:type="dxa" w:w="2160"/>
          </w:tcPr>
          <w:p>
            <w:r>
              <w:t>meta-lead.adapter.ts; meta-lead-sink e2e</w:t>
            </w:r>
          </w:p>
        </w:tc>
        <w:tc>
          <w:tcPr>
            <w:tcW w:type="dxa" w:w="2160"/>
          </w:tcPr>
          <w:p>
            <w:r>
              <w:t>Meta App Review + leads_retrieval</w:t>
            </w:r>
          </w:p>
        </w:tc>
      </w:tr>
      <w:tr>
        <w:tc>
          <w:tcPr>
            <w:tcW w:type="dxa" w:w="2160"/>
          </w:tcPr>
          <w:p>
            <w:r>
              <w:t>Click-to-WhatsApp ad becomes a conversation and lead</w:t>
            </w:r>
          </w:p>
        </w:tc>
        <w:tc>
          <w:tcPr>
            <w:tcW w:type="dxa" w:w="2160"/>
          </w:tcPr>
          <w:p>
            <w:r>
              <w:t>FIXTURE</w:t>
            </w:r>
          </w:p>
        </w:tc>
        <w:tc>
          <w:tcPr>
            <w:tcW w:type="dxa" w:w="2160"/>
          </w:tcPr>
          <w:p>
            <w:r>
              <w:t>conversations.service recordAdOrigin; ctwa-routing e2e</w:t>
            </w:r>
          </w:p>
        </w:tc>
        <w:tc>
          <w:tcPr>
            <w:tcW w:type="dxa" w:w="2160"/>
          </w:tcPr>
          <w:p>
            <w:r>
              <w:t>A real ad + live webhook</w:t>
            </w:r>
          </w:p>
        </w:tc>
      </w:tr>
      <w:tr>
        <w:tc>
          <w:tcPr>
            <w:tcW w:type="dxa" w:w="2160"/>
          </w:tcPr>
          <w:p>
            <w:r>
              <w:t>Ad click routed by hand later still opens exactly one lead</w:t>
            </w:r>
          </w:p>
        </w:tc>
        <w:tc>
          <w:tcPr>
            <w:tcW w:type="dxa" w:w="2160"/>
          </w:tcPr>
          <w:p>
            <w:r>
              <w:t>BUILT</w:t>
            </w:r>
          </w:p>
        </w:tc>
        <w:tc>
          <w:tcPr>
            <w:tcW w:type="dxa" w:w="2160"/>
          </w:tcPr>
          <w:p>
            <w:r>
              <w:t>backfillAdLeadOnAssign; lead-path-consistency e2e (8 tests)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Meta lead joins the branch fair queue when no assignee named</w:t>
            </w:r>
          </w:p>
        </w:tc>
        <w:tc>
          <w:tcPr>
            <w:tcW w:type="dxa" w:w="2160"/>
          </w:tcPr>
          <w:p>
            <w:r>
              <w:t>BUILT</w:t>
            </w:r>
          </w:p>
        </w:tc>
        <w:tc>
          <w:tcPr>
            <w:tcW w:type="dxa" w:w="2160"/>
          </w:tcPr>
          <w:p>
            <w:r>
              <w:t>autoAssignLead; lead-path-consistency e2e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QR code at the counter becomes a lead</w:t>
            </w:r>
          </w:p>
        </w:tc>
        <w:tc>
          <w:tcPr>
            <w:tcW w:type="dxa" w:w="2160"/>
          </w:tcPr>
          <w:p>
            <w:r>
              <w:t>LIVE</w:t>
            </w:r>
          </w:p>
        </w:tc>
        <w:tc>
          <w:tcPr>
            <w:tcW w:type="dxa" w:w="2160"/>
          </w:tcPr>
          <w:p>
            <w:r>
              <w:t>captureLead + both screens; driven on staging, LD-5004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Manual lead entry</w:t>
            </w:r>
          </w:p>
        </w:tc>
        <w:tc>
          <w:tcPr>
            <w:tcW w:type="dxa" w:w="2160"/>
          </w:tcPr>
          <w:p>
            <w:r>
              <w:t>BUILT</w:t>
            </w:r>
          </w:p>
        </w:tc>
        <w:tc>
          <w:tcPr>
            <w:tcW w:type="dxa" w:w="2160"/>
          </w:tcPr>
          <w:p>
            <w:r>
              <w:t>leads.service create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Website form on the customer’s own site</w:t>
            </w:r>
          </w:p>
        </w:tc>
        <w:tc>
          <w:tcPr>
            <w:tcW w:type="dxa" w:w="2160"/>
          </w:tcPr>
          <w:p>
            <w:r>
              <w:t>MISSING</w:t>
            </w:r>
          </w:p>
        </w:tc>
        <w:tc>
          <w:tcPr>
            <w:tcW w:type="dxa" w:w="2160"/>
          </w:tcPr>
          <w:p>
            <w:r>
              <w:t>No endpoint and no UI on either side</w:t>
            </w:r>
          </w:p>
        </w:tc>
        <w:tc>
          <w:tcPr>
            <w:tcW w:type="dxa" w:w="2160"/>
          </w:tcPr>
          <w:p>
            <w:r>
              <w:t>None. This is a build.</w:t>
            </w:r>
          </w:p>
        </w:tc>
      </w:tr>
      <w:tr>
        <w:tc>
          <w:tcPr>
            <w:tcW w:type="dxa" w:w="2160"/>
          </w:tcPr>
          <w:p>
            <w:r>
              <w:t>Instagram Direct</w:t>
            </w:r>
          </w:p>
        </w:tc>
        <w:tc>
          <w:tcPr>
            <w:tcW w:type="dxa" w:w="2160"/>
          </w:tcPr>
          <w:p>
            <w:r>
              <w:t>BLOCKED</w:t>
            </w:r>
          </w:p>
        </w:tc>
        <w:tc>
          <w:tcPr>
            <w:tcW w:type="dxa" w:w="2160"/>
          </w:tcPr>
          <w:p>
            <w:r>
              <w:t>provider-registry declares available:false with the reason</w:t>
            </w:r>
          </w:p>
        </w:tc>
        <w:tc>
          <w:tcPr>
            <w:tcW w:type="dxa" w:w="2160"/>
          </w:tcPr>
          <w:p>
            <w:r>
              <w:t>Reviewed Meta app with messaging permissions + IG professional account</w:t>
            </w:r>
          </w:p>
        </w:tc>
      </w:tr>
      <w:tr>
        <w:tc>
          <w:tcPr>
            <w:tcW w:type="dxa" w:w="2160"/>
          </w:tcPr>
          <w:p>
            <w:r>
              <w:t>Organic WhatsApp “Convert to lead” action</w:t>
            </w:r>
          </w:p>
        </w:tc>
        <w:tc>
          <w:tcPr>
            <w:tcW w:type="dxa" w:w="2160"/>
          </w:tcPr>
          <w:p>
            <w:r>
              <w:t>MISSING</w:t>
            </w:r>
          </w:p>
        </w:tc>
        <w:tc>
          <w:tcPr>
            <w:tcW w:type="dxa" w:w="2160"/>
          </w:tcPr>
          <w:p>
            <w:r>
              <w:t>Organic threads deliberately create no lead; no explicit convert action exists</w:t>
            </w:r>
          </w:p>
        </w:tc>
        <w:tc>
          <w:tcPr>
            <w:tcW w:type="dxa" w:w="2160"/>
          </w:tcPr>
          <w:p>
            <w:r>
              <w:t>None. This is a build.</w:t>
            </w:r>
          </w:p>
        </w:tc>
      </w:tr>
      <w:tr>
        <w:tc>
          <w:tcPr>
            <w:tcW w:type="dxa" w:w="2160"/>
          </w:tcPr>
          <w:p>
            <w:r>
              <w:t>Import can optionally create leads, not just customers</w:t>
            </w:r>
          </w:p>
        </w:tc>
        <w:tc>
          <w:tcPr>
            <w:tcW w:type="dxa" w:w="2160"/>
          </w:tcPr>
          <w:p>
            <w:r>
              <w:t>MISSING</w:t>
            </w:r>
          </w:p>
        </w:tc>
        <w:tc>
          <w:tcPr>
            <w:tcW w:type="dxa" w:w="2160"/>
          </w:tcPr>
          <w:p>
            <w:r>
              <w:t>Import engine creates and updates Party only</w:t>
            </w:r>
          </w:p>
        </w:tc>
        <w:tc>
          <w:tcPr>
            <w:tcW w:type="dxa" w:w="2160"/>
          </w:tcPr>
          <w:p>
            <w:r>
              <w:t>None. This is a build.</w:t>
            </w:r>
          </w:p>
        </w:tc>
      </w:tr>
    </w:tbl>
    <w:p>
      <w:pPr>
        <w:pStyle w:val="Heading1"/>
      </w:pPr>
      <w:r>
        <w:t>AI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Where it lives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What is still needed</w:t>
            </w:r>
          </w:p>
        </w:tc>
      </w:tr>
      <w:tr>
        <w:tc>
          <w:tcPr>
            <w:tcW w:type="dxa" w:w="2160"/>
          </w:tcPr>
          <w:p>
            <w:r>
              <w:t>Intent score with explanation and evidence</w:t>
            </w:r>
          </w:p>
        </w:tc>
        <w:tc>
          <w:tcPr>
            <w:tcW w:type="dxa" w:w="2160"/>
          </w:tcPr>
          <w:p>
            <w:r>
              <w:t>BUILT</w:t>
            </w:r>
          </w:p>
        </w:tc>
        <w:tc>
          <w:tcPr>
            <w:tcW w:type="dxa" w:w="2160"/>
          </w:tcPr>
          <w:p>
            <w:r>
              <w:t>qualification.service; re-scored after every inbound message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Knowledge-grounded AI draft</w:t>
            </w:r>
          </w:p>
        </w:tc>
        <w:tc>
          <w:tcPr>
            <w:tcW w:type="dxa" w:w="2160"/>
          </w:tcPr>
          <w:p>
            <w:r>
              <w:t>BUILT</w:t>
            </w:r>
          </w:p>
        </w:tc>
        <w:tc>
          <w:tcPr>
            <w:tcW w:type="dxa" w:w="2160"/>
          </w:tcPr>
          <w:p>
            <w:r>
              <w:t>ai-responder.ts; chunking + ranked retrieval in knowledge.service</w:t>
            </w:r>
          </w:p>
        </w:tc>
        <w:tc>
          <w:tcPr>
            <w:tcW w:type="dxa" w:w="2160"/>
          </w:tcPr>
          <w:p>
            <w:r>
              <w:t>An AI provider key</w:t>
            </w:r>
          </w:p>
        </w:tc>
      </w:tr>
      <w:tr>
        <w:tc>
          <w:tcPr>
            <w:tcW w:type="dxa" w:w="2160"/>
          </w:tcPr>
          <w:p>
            <w:r>
              <w:t>Knowledge ingest: PDF, DOCX, DOC, TXT</w:t>
            </w:r>
          </w:p>
        </w:tc>
        <w:tc>
          <w:tcPr>
            <w:tcW w:type="dxa" w:w="2160"/>
          </w:tcPr>
          <w:p>
            <w:r>
              <w:t>BUILT</w:t>
            </w:r>
          </w:p>
        </w:tc>
        <w:tc>
          <w:tcPr>
            <w:tcW w:type="dxa" w:w="2160"/>
          </w:tcPr>
          <w:p>
            <w:r>
              <w:t>document-extractor.ts, with a needs_ocr state for image-only PDFs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AI replies to the customer on its own</w:t>
            </w:r>
          </w:p>
        </w:tc>
        <w:tc>
          <w:tcPr>
            <w:tcW w:type="dxa" w:w="2160"/>
          </w:tcPr>
          <w:p>
            <w:r>
              <w:t>MISSING</w:t>
            </w:r>
          </w:p>
        </w:tc>
        <w:tc>
          <w:tcPr>
            <w:tcW w:type="dxa" w:w="2160"/>
          </w:tcPr>
          <w:p>
            <w:r>
              <w:t>ai-responder stores a draft and stops: “Nothing here delivers a message.” autoSendEnabled exists and is deliberately unimplemented.</w:t>
            </w:r>
          </w:p>
        </w:tc>
        <w:tc>
          <w:tcPr>
            <w:tcW w:type="dxa" w:w="2160"/>
          </w:tcPr>
          <w:p>
            <w:r>
              <w:t>A product decision, plus WhatsApp window and template rules verified against a live provider</w:t>
            </w:r>
          </w:p>
        </w:tc>
      </w:tr>
      <w:tr>
        <w:tc>
          <w:tcPr>
            <w:tcW w:type="dxa" w:w="2160"/>
          </w:tcPr>
          <w:p>
            <w:r>
              <w:t>Automatic customer segmentation (VIP, loyal, one-time)</w:t>
            </w:r>
          </w:p>
        </w:tc>
        <w:tc>
          <w:tcPr>
            <w:tcW w:type="dxa" w:w="2160"/>
          </w:tcPr>
          <w:p>
            <w:r>
              <w:t>MISSING</w:t>
            </w:r>
          </w:p>
        </w:tc>
        <w:tc>
          <w:tcPr>
            <w:tcW w:type="dxa" w:w="2160"/>
          </w:tcPr>
          <w:p>
            <w:r>
              <w:t>Saved lead segments are manual, tenant-defined and capped at 100. No engine.</w:t>
            </w:r>
          </w:p>
        </w:tc>
        <w:tc>
          <w:tcPr>
            <w:tcW w:type="dxa" w:w="2160"/>
          </w:tcPr>
          <w:p>
            <w:r>
              <w:t>None. This is a build.</w:t>
            </w:r>
          </w:p>
        </w:tc>
      </w:tr>
    </w:tbl>
    <w:p>
      <w:pPr>
        <w:pStyle w:val="Heading1"/>
      </w:pPr>
      <w:r>
        <w:t>Messaging safety and delivery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Where it lives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What is still needed</w:t>
            </w:r>
          </w:p>
        </w:tc>
      </w:tr>
      <w:tr>
        <w:tc>
          <w:tcPr>
            <w:tcW w:type="dxa" w:w="2160"/>
          </w:tcPr>
          <w:p>
            <w:r>
              <w:t>Consent and STOP recorded before anything is sent</w:t>
            </w:r>
          </w:p>
        </w:tc>
        <w:tc>
          <w:tcPr>
            <w:tcW w:type="dxa" w:w="2160"/>
          </w:tcPr>
          <w:p>
            <w:r>
              <w:t>BUILT</w:t>
            </w:r>
          </w:p>
        </w:tc>
        <w:tc>
          <w:tcPr>
            <w:tcW w:type="dxa" w:w="2160"/>
          </w:tcPr>
          <w:p>
            <w:r>
              <w:t>omnichannel-policy; consent held as an ActivityEvent stream</w:t>
            </w:r>
          </w:p>
        </w:tc>
        <w:tc>
          <w:tcPr>
            <w:tcW w:type="dxa" w:w="2160"/>
          </w:tcPr>
          <w:p>
            <w:r>
              <w:t>Resolution reads the most recent 200 events per party and channel. Fine today, unbounded in principle.</w:t>
            </w:r>
          </w:p>
        </w:tc>
      </w:tr>
      <w:tr>
        <w:tc>
          <w:tcPr>
            <w:tcW w:type="dxa" w:w="2160"/>
          </w:tcPr>
          <w:p>
            <w:r>
              <w:t>24-hour window; approved template required outside it</w:t>
            </w:r>
          </w:p>
        </w:tc>
        <w:tc>
          <w:tcPr>
            <w:tcW w:type="dxa" w:w="2160"/>
          </w:tcPr>
          <w:p>
            <w:r>
              <w:t>BUILT</w:t>
            </w:r>
          </w:p>
        </w:tc>
        <w:tc>
          <w:tcPr>
            <w:tcW w:type="dxa" w:w="2160"/>
          </w:tcPr>
          <w:p>
            <w:r>
              <w:t>omnichannel-policy; template identity is name+language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Direct provider endpoint cannot bypass consent or the outbox</w:t>
            </w:r>
          </w:p>
        </w:tc>
        <w:tc>
          <w:tcPr>
            <w:tcW w:type="dxa" w:w="2160"/>
          </w:tcPr>
          <w:p>
            <w:r>
              <w:t>BUILT</w:t>
            </w:r>
          </w:p>
        </w:tc>
        <w:tc>
          <w:tcPr>
            <w:tcW w:type="dxa" w:w="2160"/>
          </w:tcPr>
          <w:p>
            <w:r>
              <w:t>Legacy send now routes through queueToContact; legacy-send-hardening e2e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Outbox states and retries</w:t>
            </w:r>
          </w:p>
        </w:tc>
        <w:tc>
          <w:tcPr>
            <w:tcW w:type="dxa" w:w="2160"/>
          </w:tcPr>
          <w:p>
            <w:r>
              <w:t>PARTIAL</w:t>
            </w:r>
          </w:p>
        </w:tc>
        <w:tc>
          <w:tcPr>
            <w:tcW w:type="dxa" w:w="2160"/>
          </w:tcPr>
          <w:p>
            <w:r>
              <w:t>Message.status covers received/queued/sent/delivered/read/failed. There is no dead state on the message; dead-lettering lives on JobTask.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Dead-job alerting without customer data</w:t>
            </w:r>
          </w:p>
        </w:tc>
        <w:tc>
          <w:tcPr>
            <w:tcW w:type="dxa" w:w="2160"/>
          </w:tcPr>
          <w:p>
            <w:r>
              <w:t>BUILT</w:t>
            </w:r>
          </w:p>
        </w:tc>
        <w:tc>
          <w:tcPr>
            <w:tcW w:type="dxa" w:w="2160"/>
          </w:tcPr>
          <w:p>
            <w:r>
              <w:t>job-alerts.service; 30-minute sweep, counts and ids only</w:t>
            </w:r>
          </w:p>
        </w:tc>
        <w:tc>
          <w:tcPr>
            <w:tcW w:type="dxa" w:w="2160"/>
          </w:tcPr>
          <w:p>
            <w:r>
              <w:t>A webhook URL to point it at</w:t>
            </w:r>
          </w:p>
        </w:tc>
      </w:tr>
      <w:tr>
        <w:tc>
          <w:tcPr>
            <w:tcW w:type="dxa" w:w="2160"/>
          </w:tcPr>
          <w:p>
            <w:r>
              <w:t>Email, SMS, RCS, Messenger, IVR</w:t>
            </w:r>
          </w:p>
        </w:tc>
        <w:tc>
          <w:tcPr>
            <w:tcW w:type="dxa" w:w="2160"/>
          </w:tcPr>
          <w:p>
            <w:r>
              <w:t>MISSING</w:t>
            </w:r>
          </w:p>
        </w:tc>
        <w:tc>
          <w:tcPr>
            <w:tcW w:type="dxa" w:w="2160"/>
          </w:tcPr>
          <w:p>
            <w:r>
              <w:t>Channel names exist in OMNICHANNEL_CHANNELS. Only WhatsApp has an adapter. Email is nodemailer for report delivery, not campaigns.</w:t>
            </w:r>
          </w:p>
        </w:tc>
        <w:tc>
          <w:tcPr>
            <w:tcW w:type="dxa" w:w="2160"/>
          </w:tcPr>
          <w:p>
            <w:r>
              <w:t>A provider account per channel</w:t>
            </w:r>
          </w:p>
        </w:tc>
      </w:tr>
    </w:tbl>
    <w:p>
      <w:pPr>
        <w:pStyle w:val="Heading1"/>
      </w:pPr>
      <w:r>
        <w:t>Meta, spend and ROAS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Where it lives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What is still needed</w:t>
            </w:r>
          </w:p>
        </w:tc>
      </w:tr>
      <w:tr>
        <w:tc>
          <w:tcPr>
            <w:tcW w:type="dxa" w:w="2160"/>
          </w:tcPr>
          <w:p>
            <w:r>
              <w:t>Asset ownership verified by reading assets back</w:t>
            </w:r>
          </w:p>
        </w:tc>
        <w:tc>
          <w:tcPr>
            <w:tcW w:type="dxa" w:w="2160"/>
          </w:tcPr>
          <w:p>
            <w:r>
              <w:t>FIXTURE</w:t>
            </w:r>
          </w:p>
        </w:tc>
        <w:tc>
          <w:tcPr>
            <w:tcW w:type="dxa" w:w="2160"/>
          </w:tcPr>
          <w:p>
            <w:r>
              <w:t>meta-asset-ownership.service; meta-health e2e</w:t>
            </w:r>
          </w:p>
        </w:tc>
        <w:tc>
          <w:tcPr>
            <w:tcW w:type="dxa" w:w="2160"/>
          </w:tcPr>
          <w:p>
            <w:r>
              <w:t>A live token</w:t>
            </w:r>
          </w:p>
        </w:tc>
      </w:tr>
      <w:tr>
        <w:tc>
          <w:tcPr>
            <w:tcW w:type="dxa" w:w="2160"/>
          </w:tcPr>
          <w:p>
            <w:r>
              <w:t>Webhook signature validation and verify-token isolation</w:t>
            </w:r>
          </w:p>
        </w:tc>
        <w:tc>
          <w:tcPr>
            <w:tcW w:type="dxa" w:w="2160"/>
          </w:tcPr>
          <w:p>
            <w:r>
              <w:t>LIVE</w:t>
            </w:r>
          </w:p>
        </w:tc>
        <w:tc>
          <w:tcPr>
            <w:tcW w:type="dxa" w:w="2160"/>
          </w:tcPr>
          <w:p>
            <w:r>
              <w:t>Measured on staging: correct token 200, wrong token 403, each token refused on the other endpoint, unsigned POST 403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Measured ad spend in dedicated models, never LegacyRow</w:t>
            </w:r>
          </w:p>
        </w:tc>
        <w:tc>
          <w:tcPr>
            <w:tcW w:type="dxa" w:w="2160"/>
          </w:tcPr>
          <w:p>
            <w:r>
              <w:t>BUILT</w:t>
            </w:r>
          </w:p>
        </w:tc>
        <w:tc>
          <w:tcPr>
            <w:tcW w:type="dxa" w:w="2160"/>
          </w:tcPr>
          <w:p>
            <w:r>
              <w:t>AdSpendDaily and AdSpendCoverage with explicit currency</w:t>
            </w:r>
          </w:p>
        </w:tc>
        <w:tc>
          <w:tcPr>
            <w:tcW w:type="dxa" w:w="2160"/>
          </w:tcPr>
          <w:p>
            <w:r>
              <w:t>Ads Insights access</w:t>
            </w:r>
          </w:p>
        </w:tc>
      </w:tr>
      <w:tr>
        <w:tc>
          <w:tcPr>
            <w:tcW w:type="dxa" w:w="2160"/>
          </w:tcPr>
          <w:p>
            <w:r>
              <w:t>ROAS refuses to divide across currencies</w:t>
            </w:r>
          </w:p>
        </w:tc>
        <w:tc>
          <w:tcPr>
            <w:tcW w:type="dxa" w:w="2160"/>
          </w:tcPr>
          <w:p>
            <w:r>
              <w:t>BUILT</w:t>
            </w:r>
          </w:p>
        </w:tc>
        <w:tc>
          <w:tcPr>
            <w:tcW w:type="dxa" w:w="2160"/>
          </w:tcPr>
          <w:p>
            <w:r>
              <w:t>meta-ads-insights roasResult returns null and flags the mismatch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</w:tbl>
    <w:p>
      <w:pPr>
        <w:pStyle w:val="Heading1"/>
      </w:pPr>
      <w:r>
        <w:t>Marketing, loyalty and feedback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Where it lives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What is still needed</w:t>
            </w:r>
          </w:p>
        </w:tc>
      </w:tr>
      <w:tr>
        <w:tc>
          <w:tcPr>
            <w:tcW w:type="dxa" w:w="2160"/>
          </w:tcPr>
          <w:p>
            <w:r>
              <w:t>Saved audience segments</w:t>
            </w:r>
          </w:p>
        </w:tc>
        <w:tc>
          <w:tcPr>
            <w:tcW w:type="dxa" w:w="2160"/>
          </w:tcPr>
          <w:p>
            <w:r>
              <w:t>PARTIAL</w:t>
            </w:r>
          </w:p>
        </w:tc>
        <w:tc>
          <w:tcPr>
            <w:tcW w:type="dxa" w:w="2160"/>
          </w:tcPr>
          <w:p>
            <w:r>
              <w:t>Tenant-defined saved filters, max 100. No automatic segmentation.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Campaigns</w:t>
            </w:r>
          </w:p>
        </w:tc>
        <w:tc>
          <w:tcPr>
            <w:tcW w:type="dxa" w:w="2160"/>
          </w:tcPr>
          <w:p>
            <w:r>
              <w:t>PARTIAL</w:t>
            </w:r>
          </w:p>
        </w:tc>
        <w:tc>
          <w:tcPr>
            <w:tcW w:type="dxa" w:w="2160"/>
          </w:tcPr>
          <w:p>
            <w:r>
              <w:t>Campaign records exist in the marketing module. Nothing sends them through the shared outbox.</w:t>
            </w:r>
          </w:p>
        </w:tc>
        <w:tc>
          <w:tcPr>
            <w:tcW w:type="dxa" w:w="2160"/>
          </w:tcPr>
          <w:p>
            <w:r>
              <w:t>None. This is a build.</w:t>
            </w:r>
          </w:p>
        </w:tc>
      </w:tr>
      <w:tr>
        <w:tc>
          <w:tcPr>
            <w:tcW w:type="dxa" w:w="2160"/>
          </w:tcPr>
          <w:p>
            <w:r>
              <w:t>Loyalty points and redemption</w:t>
            </w:r>
          </w:p>
        </w:tc>
        <w:tc>
          <w:tcPr>
            <w:tcW w:type="dxa" w:w="2160"/>
          </w:tcPr>
          <w:p>
            <w:r>
              <w:t>BUILT</w:t>
            </w:r>
          </w:p>
        </w:tc>
        <w:tc>
          <w:tcPr>
            <w:tcW w:type="dxa" w:w="2160"/>
          </w:tcPr>
          <w:p>
            <w:r>
              <w:t>Plans, members, referrals, wallets, payouts</w:t>
            </w:r>
          </w:p>
        </w:tc>
        <w:tc>
          <w:tcPr>
            <w:tcW w:type="dxa" w:w="2160"/>
          </w:tcPr>
          <w:p>
            <w:r>
              <w:t>Website redemption unproven</w:t>
            </w:r>
          </w:p>
        </w:tc>
      </w:tr>
      <w:tr>
        <w:tc>
          <w:tcPr>
            <w:tcW w:type="dxa" w:w="2160"/>
          </w:tcPr>
          <w:p>
            <w:r>
              <w:t>Feedback capture and Google Reviews</w:t>
            </w:r>
          </w:p>
        </w:tc>
        <w:tc>
          <w:tcPr>
            <w:tcW w:type="dxa" w:w="2160"/>
          </w:tcPr>
          <w:p>
            <w:r>
              <w:t>MISSING</w:t>
            </w:r>
          </w:p>
        </w:tc>
        <w:tc>
          <w:tcPr>
            <w:tcW w:type="dxa" w:w="2160"/>
          </w:tcPr>
          <w:p>
            <w:r>
              <w:t>No code found for either</w:t>
            </w:r>
          </w:p>
        </w:tc>
        <w:tc>
          <w:tcPr>
            <w:tcW w:type="dxa" w:w="2160"/>
          </w:tcPr>
          <w:p>
            <w:r>
              <w:t>Google Business credentials for the review half</w:t>
            </w:r>
          </w:p>
        </w:tc>
      </w:tr>
    </w:tbl>
    <w:p>
      <w:pPr>
        <w:pStyle w:val="Heading1"/>
      </w:pPr>
      <w:r>
        <w:t>In-store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Where it lives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What is still needed</w:t>
            </w:r>
          </w:p>
        </w:tc>
      </w:tr>
      <w:tr>
        <w:tc>
          <w:tcPr>
            <w:tcW w:type="dxa" w:w="2160"/>
          </w:tcPr>
          <w:p>
            <w:r>
              <w:t>Customer lookup and full history</w:t>
            </w:r>
          </w:p>
        </w:tc>
        <w:tc>
          <w:tcPr>
            <w:tcW w:type="dxa" w:w="2160"/>
          </w:tcPr>
          <w:p>
            <w:r>
              <w:t>BUILT</w:t>
            </w:r>
          </w:p>
        </w:tc>
        <w:tc>
          <w:tcPr>
            <w:tcW w:type="dxa" w:w="2160"/>
          </w:tcPr>
          <w:p>
            <w:r>
              <w:t>customer360.service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Scan a product barcode or SKU against a customer</w:t>
            </w:r>
          </w:p>
        </w:tc>
        <w:tc>
          <w:tcPr>
            <w:tcW w:type="dxa" w:w="2160"/>
          </w:tcPr>
          <w:p>
            <w:r>
              <w:t>BUILT</w:t>
            </w:r>
          </w:p>
        </w:tc>
        <w:tc>
          <w:tcPr>
            <w:tcW w:type="dxa" w:w="2160"/>
          </w:tcPr>
          <w:p>
            <w:r>
              <w:t>POST /crm/interactions resolves a scanned or typed SKU to a catalogue item</w:t>
            </w:r>
          </w:p>
        </w:tc>
        <w:tc>
          <w:tcPr>
            <w:tcW w:type="dxa" w:w="2160"/>
          </w:tcPr>
          <w:p>
            <w:r>
              <w:t>Camera scanning needs device work; keyboard and Bluetooth scanners work</w:t>
            </w:r>
          </w:p>
        </w:tc>
      </w:tr>
      <w:tr>
        <w:tc>
          <w:tcPr>
            <w:tcW w:type="dxa" w:w="2160"/>
          </w:tcPr>
          <w:p>
            <w:r>
              <w:t>Walk-in and footfall check-ins</w:t>
            </w:r>
          </w:p>
        </w:tc>
        <w:tc>
          <w:tcPr>
            <w:tcW w:type="dxa" w:w="2160"/>
          </w:tcPr>
          <w:p>
            <w:r>
              <w:t>BUILT</w:t>
            </w:r>
          </w:p>
        </w:tc>
        <w:tc>
          <w:tcPr>
            <w:tcW w:type="dxa" w:w="2160"/>
          </w:tcPr>
          <w:p>
            <w:r>
              <w:t>checkins module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Native phone app</w:t>
            </w:r>
          </w:p>
        </w:tc>
        <w:tc>
          <w:tcPr>
            <w:tcW w:type="dxa" w:w="2160"/>
          </w:tcPr>
          <w:p>
            <w:r>
              <w:t>MISSING</w:t>
            </w:r>
          </w:p>
        </w:tc>
        <w:tc>
          <w:tcPr>
            <w:tcW w:type="dxa" w:w="2160"/>
          </w:tcPr>
          <w:p>
            <w:r>
              <w:t>The product is a responsive PWA, not a native app</w:t>
            </w:r>
          </w:p>
        </w:tc>
        <w:tc>
          <w:tcPr>
            <w:tcW w:type="dxa" w:w="2160"/>
          </w:tcPr>
          <w:p>
            <w:r>
              <w:t>A product decision</w:t>
            </w:r>
          </w:p>
        </w:tc>
      </w:tr>
      <w:tr>
        <w:tc>
          <w:tcPr>
            <w:tcW w:type="dxa" w:w="2160"/>
          </w:tcPr>
          <w:p>
            <w:r>
              <w:t>IVR call logs and recordings</w:t>
            </w:r>
          </w:p>
        </w:tc>
        <w:tc>
          <w:tcPr>
            <w:tcW w:type="dxa" w:w="2160"/>
          </w:tcPr>
          <w:p>
            <w:r>
              <w:t>MISSING</w:t>
            </w:r>
          </w:p>
        </w:tc>
        <w:tc>
          <w:tcPr>
            <w:tcW w:type="dxa" w:w="2160"/>
          </w:tcPr>
          <w:p>
            <w:r>
              <w:t>No code found</w:t>
            </w:r>
          </w:p>
        </w:tc>
        <w:tc>
          <w:tcPr>
            <w:tcW w:type="dxa" w:w="2160"/>
          </w:tcPr>
          <w:p>
            <w:r>
              <w:t>A telephony provider account, plus a retention and consent decision</w:t>
            </w:r>
          </w:p>
        </w:tc>
      </w:tr>
    </w:tbl>
    <w:p>
      <w:pPr>
        <w:pStyle w:val="Heading1"/>
      </w:pPr>
      <w:r>
        <w:t>Platform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Where it lives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What is still needed</w:t>
            </w:r>
          </w:p>
        </w:tc>
      </w:tr>
      <w:tr>
        <w:tc>
          <w:tcPr>
            <w:tcW w:type="dxa" w:w="2160"/>
          </w:tcPr>
          <w:p>
            <w:r>
              <w:t>Multi-tenant isolation</w:t>
            </w:r>
          </w:p>
        </w:tc>
        <w:tc>
          <w:tcPr>
            <w:tcW w:type="dxa" w:w="2160"/>
          </w:tcPr>
          <w:p>
            <w:r>
              <w:t>BUILT</w:t>
            </w:r>
          </w:p>
        </w:tc>
        <w:tc>
          <w:tcPr>
            <w:tcW w:type="dxa" w:w="2160"/>
          </w:tcPr>
          <w:p>
            <w:r>
              <w:t>77 of 103 models carry organisationId; 11 dedicated isolation suites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14 industry packs, enforced on the API not just the menu</w:t>
            </w:r>
          </w:p>
        </w:tc>
        <w:tc>
          <w:tcPr>
            <w:tcW w:type="dxa" w:w="2160"/>
          </w:tcPr>
          <w:p>
            <w:r>
              <w:t>BUILT</w:t>
            </w:r>
          </w:p>
        </w:tc>
        <w:tc>
          <w:tcPr>
            <w:tcW w:type="dxa" w:w="2160"/>
          </w:tcPr>
          <w:p>
            <w:r>
              <w:t>packs.ts and the entitlement guard; every controller must be classified or a test goes red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ERP and connector framework</w:t>
            </w:r>
          </w:p>
        </w:tc>
        <w:tc>
          <w:tcPr>
            <w:tcW w:type="dxa" w:w="2160"/>
          </w:tcPr>
          <w:p>
            <w:r>
              <w:t>BUILT</w:t>
            </w:r>
          </w:p>
        </w:tc>
        <w:tc>
          <w:tcPr>
            <w:tcW w:type="dxa" w:w="2160"/>
          </w:tcPr>
          <w:p>
            <w:r>
              <w:t>connector-runtime: registration, receipts, cursors, health, row-level errors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Tally, BUSY, ODBC, Gati adapters</w:t>
            </w:r>
          </w:p>
        </w:tc>
        <w:tc>
          <w:tcPr>
            <w:tcW w:type="dxa" w:w="2160"/>
          </w:tcPr>
          <w:p>
            <w:r>
              <w:t>FIXTURE</w:t>
            </w:r>
          </w:p>
        </w:tc>
        <w:tc>
          <w:tcPr>
            <w:tcW w:type="dxa" w:w="2160"/>
          </w:tcPr>
          <w:p>
            <w:r>
              <w:t>Registered and available in the provider registry</w:t>
            </w:r>
          </w:p>
        </w:tc>
        <w:tc>
          <w:tcPr>
            <w:tcW w:type="dxa" w:w="2160"/>
          </w:tcPr>
          <w:p>
            <w:r>
              <w:t>A real client installation to point at</w:t>
            </w:r>
          </w:p>
        </w:tc>
      </w:tr>
    </w:tbl>
    <w:p>
      <w:pPr>
        <w:pStyle w:val="Heading1"/>
      </w:pPr>
      <w:r>
        <w:t>The honest headline</w:t>
      </w:r>
    </w:p>
    <w:p>
      <w:r>
        <w:t>CaratOS is ahead of the demonstrated system on the parts that are hard to retrofit: tenant isolation, customer identity, consent, attribution honesty and audit. It is behind on surface area.</w:t>
      </w:r>
    </w:p>
    <w:p>
      <w:pPr>
        <w:pStyle w:val="ListBullet"/>
      </w:pPr>
      <w:r>
        <w:t>The single largest product gap is the AI agent. Zithara’s AI talks to the customer. Ours writes a draft and waits for a person. That is a deliberate choice recorded in the code, not an oversight, but it is the capability their pitch is built on and we should not claim it.</w:t>
      </w:r>
    </w:p>
    <w:p>
      <w:pPr>
        <w:pStyle w:val="ListBullet"/>
      </w:pPr>
      <w:r>
        <w:t>Seven advertised capabilities have no code behind them here: website forms, Instagram DMs, automatic segmentation, Google Reviews, IVR, RCS/SMS campaigns and a native in-store app.</w:t>
      </w:r>
    </w:p>
    <w:p>
      <w:pPr>
        <w:pStyle w:val="ListBullet"/>
      </w:pPr>
      <w:r>
        <w:t>Their Meta lane is not obviously stronger than ours. During the recorded demo their Meta Ads module was labelled BETA and showed “Meta token expired — please re-onboard”, which is the exact failure our connection health check and dead-job alerting exist to catch.</w:t>
      </w:r>
    </w:p>
    <w:p>
      <w:pPr>
        <w:pStyle w:val="Heading1"/>
      </w:pPr>
      <w:r>
        <w:t>What this document is not</w:t>
      </w:r>
    </w:p>
    <w:p>
      <w:r>
        <w:t>This is an audit, not a completion report. It was produced before the bulk of the twelve-phase parity programme was attempted, precisely so that programme can be sequenced against evidence instead of against a feature list. Two items in it moved to BUILT on 10 September (the ad-click backfill and the Meta lead fair queue); everything else is reported as it was found.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CaratOS competitor parity status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